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020C" w:rsidRPr="000B521F" w:rsidRDefault="00C66051" w:rsidP="0059011D">
      <w:pPr>
        <w:spacing w:after="120" w:line="240" w:lineRule="auto"/>
        <w:jc w:val="center"/>
        <w:rPr>
          <w:rFonts w:ascii="Times New Roman" w:hAnsi="Times New Roman" w:cs="Times New Roman"/>
          <w:b/>
          <w:sz w:val="44"/>
          <w:szCs w:val="44"/>
        </w:rPr>
      </w:pPr>
      <w:bookmarkStart w:id="0" w:name="_Toc352918641"/>
      <w:bookmarkStart w:id="1" w:name="_GoBack"/>
      <w:bookmarkEnd w:id="1"/>
      <w:r w:rsidRPr="000B521F">
        <w:rPr>
          <w:rFonts w:ascii="Times New Roman" w:hAnsi="Times New Roman" w:cs="Times New Roman"/>
          <w:b/>
          <w:sz w:val="44"/>
          <w:szCs w:val="44"/>
        </w:rPr>
        <w:t xml:space="preserve"> </w:t>
      </w:r>
      <w:r w:rsidR="004E020C" w:rsidRPr="000B521F">
        <w:rPr>
          <w:rFonts w:ascii="Times New Roman" w:hAnsi="Times New Roman" w:cs="Times New Roman"/>
          <w:b/>
          <w:sz w:val="44"/>
          <w:szCs w:val="44"/>
        </w:rPr>
        <w:t>MINISTERSTVO PRO MÍSTNÍ ROZVOJ</w:t>
      </w:r>
    </w:p>
    <w:p w:rsidR="004E020C" w:rsidRPr="000B521F" w:rsidRDefault="004E020C" w:rsidP="0059011D">
      <w:pPr>
        <w:spacing w:after="120" w:line="240" w:lineRule="auto"/>
        <w:jc w:val="center"/>
        <w:rPr>
          <w:rFonts w:ascii="Times New Roman" w:hAnsi="Times New Roman" w:cs="Times New Roman"/>
          <w:b/>
          <w:sz w:val="44"/>
          <w:szCs w:val="44"/>
          <w:lang w:eastAsia="cs-CZ"/>
        </w:rPr>
      </w:pPr>
    </w:p>
    <w:p w:rsidR="004E020C" w:rsidRPr="000B521F" w:rsidRDefault="004E020C" w:rsidP="0059011D">
      <w:pPr>
        <w:spacing w:after="120" w:line="240" w:lineRule="auto"/>
        <w:jc w:val="center"/>
        <w:rPr>
          <w:rFonts w:ascii="Times New Roman" w:hAnsi="Times New Roman" w:cs="Times New Roman"/>
          <w:b/>
          <w:sz w:val="44"/>
          <w:szCs w:val="44"/>
          <w:lang w:eastAsia="cs-CZ"/>
        </w:rPr>
      </w:pPr>
    </w:p>
    <w:p w:rsidR="00CD358B" w:rsidRPr="000B521F" w:rsidRDefault="00CD358B" w:rsidP="0059011D">
      <w:pPr>
        <w:spacing w:after="120" w:line="240" w:lineRule="auto"/>
        <w:jc w:val="center"/>
        <w:rPr>
          <w:rFonts w:ascii="Times New Roman" w:hAnsi="Times New Roman" w:cs="Times New Roman"/>
          <w:b/>
          <w:sz w:val="44"/>
          <w:szCs w:val="44"/>
          <w:lang w:eastAsia="cs-CZ"/>
        </w:rPr>
      </w:pPr>
    </w:p>
    <w:p w:rsidR="00937E3A" w:rsidRPr="000B521F" w:rsidRDefault="00937E3A" w:rsidP="0059011D">
      <w:pPr>
        <w:spacing w:after="120" w:line="240" w:lineRule="auto"/>
        <w:jc w:val="center"/>
        <w:rPr>
          <w:rFonts w:ascii="Times New Roman" w:hAnsi="Times New Roman" w:cs="Times New Roman"/>
          <w:b/>
          <w:sz w:val="44"/>
          <w:szCs w:val="44"/>
          <w:lang w:eastAsia="cs-CZ"/>
        </w:rPr>
      </w:pPr>
    </w:p>
    <w:p w:rsidR="003963D4" w:rsidRPr="000B521F" w:rsidRDefault="003963D4" w:rsidP="0059011D">
      <w:pPr>
        <w:spacing w:after="120" w:line="240" w:lineRule="auto"/>
        <w:jc w:val="center"/>
        <w:rPr>
          <w:rFonts w:ascii="Times New Roman" w:hAnsi="Times New Roman" w:cs="Times New Roman"/>
          <w:b/>
          <w:sz w:val="44"/>
          <w:szCs w:val="44"/>
          <w:lang w:eastAsia="cs-CZ"/>
        </w:rPr>
      </w:pPr>
    </w:p>
    <w:p w:rsidR="003963D4" w:rsidRPr="000B521F" w:rsidRDefault="003963D4" w:rsidP="0059011D">
      <w:pPr>
        <w:spacing w:after="120" w:line="240" w:lineRule="auto"/>
        <w:jc w:val="center"/>
        <w:rPr>
          <w:rFonts w:ascii="Times New Roman" w:hAnsi="Times New Roman" w:cs="Times New Roman"/>
          <w:b/>
          <w:sz w:val="44"/>
          <w:szCs w:val="44"/>
          <w:lang w:eastAsia="cs-CZ"/>
        </w:rPr>
      </w:pPr>
    </w:p>
    <w:p w:rsidR="003963D4" w:rsidRPr="000B521F" w:rsidRDefault="003963D4" w:rsidP="0059011D">
      <w:pPr>
        <w:spacing w:after="120" w:line="240" w:lineRule="auto"/>
        <w:jc w:val="center"/>
        <w:rPr>
          <w:rFonts w:ascii="Times New Roman" w:hAnsi="Times New Roman" w:cs="Times New Roman"/>
          <w:b/>
          <w:sz w:val="44"/>
          <w:szCs w:val="44"/>
          <w:lang w:eastAsia="cs-CZ"/>
        </w:rPr>
      </w:pPr>
    </w:p>
    <w:p w:rsidR="00937E3A" w:rsidRPr="000B521F" w:rsidRDefault="00937E3A" w:rsidP="0059011D">
      <w:pPr>
        <w:spacing w:after="120" w:line="240" w:lineRule="auto"/>
        <w:jc w:val="center"/>
        <w:rPr>
          <w:rFonts w:ascii="Times New Roman" w:hAnsi="Times New Roman" w:cs="Times New Roman"/>
          <w:b/>
          <w:sz w:val="44"/>
          <w:szCs w:val="44"/>
          <w:lang w:eastAsia="cs-CZ"/>
        </w:rPr>
      </w:pPr>
    </w:p>
    <w:p w:rsidR="00CD358B" w:rsidRPr="000B521F" w:rsidRDefault="00CD358B" w:rsidP="0059011D">
      <w:pPr>
        <w:spacing w:after="120" w:line="240" w:lineRule="auto"/>
        <w:jc w:val="center"/>
        <w:rPr>
          <w:rFonts w:ascii="Times New Roman" w:hAnsi="Times New Roman" w:cs="Times New Roman"/>
          <w:b/>
          <w:sz w:val="44"/>
          <w:szCs w:val="44"/>
          <w:lang w:eastAsia="cs-CZ"/>
        </w:rPr>
      </w:pPr>
    </w:p>
    <w:p w:rsidR="004C0B28" w:rsidRPr="000B521F" w:rsidRDefault="004E020C" w:rsidP="0059011D">
      <w:pPr>
        <w:spacing w:after="120" w:line="240" w:lineRule="auto"/>
        <w:jc w:val="center"/>
        <w:rPr>
          <w:rFonts w:ascii="Times New Roman" w:hAnsi="Times New Roman" w:cs="Times New Roman"/>
          <w:b/>
          <w:sz w:val="44"/>
          <w:szCs w:val="44"/>
          <w:lang w:eastAsia="cs-CZ"/>
        </w:rPr>
      </w:pPr>
      <w:r w:rsidRPr="000B521F">
        <w:rPr>
          <w:rFonts w:ascii="Times New Roman" w:hAnsi="Times New Roman" w:cs="Times New Roman"/>
          <w:b/>
          <w:sz w:val="44"/>
          <w:szCs w:val="44"/>
          <w:lang w:eastAsia="cs-CZ"/>
        </w:rPr>
        <w:t>DOHOD</w:t>
      </w:r>
      <w:r w:rsidR="00DC5F52" w:rsidRPr="000B521F">
        <w:rPr>
          <w:rFonts w:ascii="Times New Roman" w:hAnsi="Times New Roman" w:cs="Times New Roman"/>
          <w:b/>
          <w:sz w:val="44"/>
          <w:szCs w:val="44"/>
          <w:lang w:eastAsia="cs-CZ"/>
        </w:rPr>
        <w:t>A</w:t>
      </w:r>
      <w:r w:rsidRPr="000B521F">
        <w:rPr>
          <w:rFonts w:ascii="Times New Roman" w:hAnsi="Times New Roman" w:cs="Times New Roman"/>
          <w:b/>
          <w:sz w:val="44"/>
          <w:szCs w:val="44"/>
          <w:lang w:eastAsia="cs-CZ"/>
        </w:rPr>
        <w:t xml:space="preserve"> O PARTNERSTVÍ </w:t>
      </w:r>
    </w:p>
    <w:p w:rsidR="004C0B28" w:rsidRPr="000B521F" w:rsidRDefault="004E020C" w:rsidP="0059011D">
      <w:pPr>
        <w:spacing w:after="120" w:line="240" w:lineRule="auto"/>
        <w:jc w:val="center"/>
        <w:rPr>
          <w:rFonts w:ascii="Times New Roman" w:hAnsi="Times New Roman" w:cs="Times New Roman"/>
          <w:b/>
          <w:sz w:val="44"/>
          <w:szCs w:val="44"/>
          <w:lang w:eastAsia="cs-CZ"/>
        </w:rPr>
      </w:pPr>
      <w:r w:rsidRPr="000B521F">
        <w:rPr>
          <w:rFonts w:ascii="Times New Roman" w:hAnsi="Times New Roman" w:cs="Times New Roman"/>
          <w:b/>
          <w:sz w:val="44"/>
          <w:szCs w:val="44"/>
          <w:lang w:eastAsia="cs-CZ"/>
        </w:rPr>
        <w:t xml:space="preserve">PRO PROGRAMOVÉ OBDOBÍ </w:t>
      </w:r>
    </w:p>
    <w:p w:rsidR="004E020C" w:rsidRPr="000B521F" w:rsidRDefault="004E020C" w:rsidP="0059011D">
      <w:pPr>
        <w:spacing w:after="120" w:line="240" w:lineRule="auto"/>
        <w:jc w:val="center"/>
        <w:rPr>
          <w:rFonts w:ascii="Times New Roman" w:hAnsi="Times New Roman" w:cs="Times New Roman"/>
          <w:b/>
          <w:sz w:val="44"/>
          <w:szCs w:val="44"/>
          <w:lang w:eastAsia="cs-CZ"/>
        </w:rPr>
      </w:pPr>
      <w:r w:rsidRPr="000B521F">
        <w:rPr>
          <w:rFonts w:ascii="Times New Roman" w:hAnsi="Times New Roman" w:cs="Times New Roman"/>
          <w:b/>
          <w:sz w:val="44"/>
          <w:szCs w:val="44"/>
          <w:lang w:eastAsia="cs-CZ"/>
        </w:rPr>
        <w:t>2014</w:t>
      </w:r>
      <w:r w:rsidR="002831A5">
        <w:rPr>
          <w:rFonts w:ascii="Times New Roman" w:hAnsi="Times New Roman" w:cs="Times New Roman"/>
          <w:b/>
          <w:sz w:val="44"/>
          <w:szCs w:val="44"/>
          <w:lang w:eastAsia="cs-CZ"/>
        </w:rPr>
        <w:t>–</w:t>
      </w:r>
      <w:r w:rsidRPr="000B521F">
        <w:rPr>
          <w:rFonts w:ascii="Times New Roman" w:hAnsi="Times New Roman" w:cs="Times New Roman"/>
          <w:b/>
          <w:sz w:val="44"/>
          <w:szCs w:val="44"/>
          <w:lang w:eastAsia="cs-CZ"/>
        </w:rPr>
        <w:t>2020</w:t>
      </w:r>
    </w:p>
    <w:p w:rsidR="004E020C" w:rsidRPr="000B521F" w:rsidRDefault="004E020C" w:rsidP="0059011D">
      <w:pPr>
        <w:spacing w:after="120" w:line="240" w:lineRule="auto"/>
        <w:jc w:val="center"/>
        <w:rPr>
          <w:rFonts w:ascii="Times New Roman" w:hAnsi="Times New Roman" w:cs="Times New Roman"/>
          <w:b/>
          <w:sz w:val="44"/>
          <w:szCs w:val="44"/>
          <w:lang w:eastAsia="cs-CZ"/>
        </w:rPr>
      </w:pPr>
    </w:p>
    <w:p w:rsidR="004E020C" w:rsidRPr="000B521F" w:rsidRDefault="008726F7" w:rsidP="0059011D">
      <w:pPr>
        <w:spacing w:after="120" w:line="240" w:lineRule="auto"/>
        <w:jc w:val="center"/>
        <w:rPr>
          <w:rFonts w:ascii="Times New Roman" w:hAnsi="Times New Roman" w:cs="Times New Roman"/>
          <w:b/>
          <w:sz w:val="44"/>
          <w:szCs w:val="44"/>
          <w:lang w:eastAsia="cs-CZ"/>
        </w:rPr>
      </w:pPr>
      <w:r w:rsidRPr="000B521F">
        <w:rPr>
          <w:rFonts w:ascii="Times New Roman" w:hAnsi="Times New Roman" w:cs="Times New Roman"/>
          <w:b/>
          <w:sz w:val="44"/>
          <w:szCs w:val="44"/>
          <w:lang w:eastAsia="cs-CZ"/>
        </w:rPr>
        <w:t>Č</w:t>
      </w:r>
      <w:r w:rsidR="004E020C" w:rsidRPr="000B521F">
        <w:rPr>
          <w:rFonts w:ascii="Times New Roman" w:hAnsi="Times New Roman" w:cs="Times New Roman"/>
          <w:b/>
          <w:sz w:val="44"/>
          <w:szCs w:val="44"/>
          <w:lang w:eastAsia="cs-CZ"/>
        </w:rPr>
        <w:t>ESKÁ REPUBLIKA</w:t>
      </w:r>
    </w:p>
    <w:p w:rsidR="004E020C" w:rsidRPr="000B521F" w:rsidRDefault="004E020C" w:rsidP="0059011D">
      <w:pPr>
        <w:spacing w:after="120" w:line="240" w:lineRule="auto"/>
        <w:jc w:val="center"/>
        <w:rPr>
          <w:rFonts w:ascii="Times New Roman" w:hAnsi="Times New Roman" w:cs="Times New Roman"/>
          <w:b/>
          <w:sz w:val="24"/>
          <w:szCs w:val="24"/>
          <w:lang w:eastAsia="cs-CZ"/>
        </w:rPr>
      </w:pPr>
    </w:p>
    <w:p w:rsidR="004E020C" w:rsidRPr="000B521F" w:rsidRDefault="004E020C" w:rsidP="0059011D">
      <w:pPr>
        <w:spacing w:after="120" w:line="240" w:lineRule="auto"/>
        <w:jc w:val="center"/>
        <w:rPr>
          <w:rFonts w:ascii="Times New Roman" w:hAnsi="Times New Roman" w:cs="Times New Roman"/>
          <w:b/>
          <w:sz w:val="24"/>
          <w:szCs w:val="24"/>
          <w:lang w:eastAsia="cs-CZ"/>
        </w:rPr>
      </w:pPr>
    </w:p>
    <w:p w:rsidR="004E020C" w:rsidRPr="000B521F" w:rsidRDefault="004E020C" w:rsidP="0059011D">
      <w:pPr>
        <w:spacing w:after="120" w:line="240" w:lineRule="auto"/>
        <w:jc w:val="center"/>
        <w:rPr>
          <w:rFonts w:ascii="Times New Roman" w:hAnsi="Times New Roman" w:cs="Times New Roman"/>
          <w:b/>
          <w:sz w:val="24"/>
          <w:szCs w:val="24"/>
          <w:lang w:eastAsia="cs-CZ"/>
        </w:rPr>
      </w:pPr>
    </w:p>
    <w:p w:rsidR="00937E3A" w:rsidRPr="000B521F" w:rsidRDefault="00937E3A" w:rsidP="0059011D">
      <w:pPr>
        <w:spacing w:after="120" w:line="240" w:lineRule="auto"/>
        <w:jc w:val="center"/>
        <w:rPr>
          <w:rFonts w:ascii="Times New Roman" w:hAnsi="Times New Roman" w:cs="Times New Roman"/>
          <w:b/>
          <w:sz w:val="24"/>
          <w:szCs w:val="24"/>
          <w:lang w:eastAsia="cs-CZ"/>
        </w:rPr>
      </w:pPr>
    </w:p>
    <w:p w:rsidR="004E020C" w:rsidRPr="000B521F" w:rsidRDefault="004E020C" w:rsidP="0059011D">
      <w:pPr>
        <w:spacing w:after="120" w:line="240" w:lineRule="auto"/>
        <w:jc w:val="center"/>
        <w:rPr>
          <w:rFonts w:ascii="Times New Roman" w:hAnsi="Times New Roman" w:cs="Times New Roman"/>
          <w:b/>
          <w:sz w:val="24"/>
          <w:szCs w:val="24"/>
          <w:lang w:eastAsia="cs-CZ"/>
        </w:rPr>
      </w:pPr>
    </w:p>
    <w:p w:rsidR="003963D4" w:rsidRPr="000B521F" w:rsidRDefault="003963D4" w:rsidP="0059011D">
      <w:pPr>
        <w:spacing w:after="120" w:line="240" w:lineRule="auto"/>
        <w:jc w:val="center"/>
        <w:rPr>
          <w:rFonts w:ascii="Times New Roman" w:hAnsi="Times New Roman" w:cs="Times New Roman"/>
          <w:b/>
          <w:sz w:val="24"/>
          <w:szCs w:val="24"/>
          <w:lang w:eastAsia="cs-CZ"/>
        </w:rPr>
      </w:pPr>
    </w:p>
    <w:p w:rsidR="003963D4" w:rsidRPr="000B521F" w:rsidRDefault="003963D4" w:rsidP="0059011D">
      <w:pPr>
        <w:spacing w:after="120" w:line="240" w:lineRule="auto"/>
        <w:jc w:val="center"/>
        <w:rPr>
          <w:rFonts w:ascii="Times New Roman" w:hAnsi="Times New Roman" w:cs="Times New Roman"/>
          <w:b/>
          <w:sz w:val="24"/>
          <w:szCs w:val="24"/>
          <w:lang w:eastAsia="cs-CZ"/>
        </w:rPr>
      </w:pPr>
    </w:p>
    <w:p w:rsidR="003963D4" w:rsidRPr="000B521F" w:rsidRDefault="003963D4" w:rsidP="0059011D">
      <w:pPr>
        <w:spacing w:after="120" w:line="240" w:lineRule="auto"/>
        <w:jc w:val="center"/>
        <w:rPr>
          <w:rFonts w:ascii="Times New Roman" w:hAnsi="Times New Roman" w:cs="Times New Roman"/>
          <w:b/>
          <w:sz w:val="24"/>
          <w:szCs w:val="24"/>
          <w:lang w:eastAsia="cs-CZ"/>
        </w:rPr>
      </w:pPr>
    </w:p>
    <w:p w:rsidR="003963D4" w:rsidRPr="000B521F" w:rsidRDefault="003963D4" w:rsidP="0059011D">
      <w:pPr>
        <w:spacing w:after="120" w:line="240" w:lineRule="auto"/>
        <w:jc w:val="center"/>
        <w:rPr>
          <w:rFonts w:ascii="Times New Roman" w:hAnsi="Times New Roman" w:cs="Times New Roman"/>
          <w:b/>
          <w:sz w:val="24"/>
          <w:szCs w:val="24"/>
          <w:lang w:eastAsia="cs-CZ"/>
        </w:rPr>
      </w:pPr>
    </w:p>
    <w:p w:rsidR="009A397C" w:rsidRPr="000B521F" w:rsidRDefault="009A397C" w:rsidP="0059011D">
      <w:pPr>
        <w:spacing w:after="120" w:line="240" w:lineRule="auto"/>
        <w:jc w:val="center"/>
        <w:rPr>
          <w:rFonts w:ascii="Times New Roman" w:hAnsi="Times New Roman" w:cs="Times New Roman"/>
          <w:b/>
          <w:sz w:val="24"/>
          <w:szCs w:val="24"/>
          <w:lang w:eastAsia="cs-CZ"/>
        </w:rPr>
      </w:pPr>
    </w:p>
    <w:p w:rsidR="003963D4" w:rsidRPr="000B521F" w:rsidRDefault="008F5036" w:rsidP="0059011D">
      <w:pPr>
        <w:spacing w:after="120" w:line="240" w:lineRule="auto"/>
        <w:jc w:val="center"/>
        <w:rPr>
          <w:rFonts w:ascii="Times New Roman" w:hAnsi="Times New Roman" w:cs="Times New Roman"/>
          <w:b/>
          <w:sz w:val="24"/>
          <w:szCs w:val="24"/>
          <w:lang w:eastAsia="cs-CZ"/>
        </w:rPr>
      </w:pPr>
      <w:r>
        <w:rPr>
          <w:rFonts w:ascii="Times New Roman" w:hAnsi="Times New Roman" w:cs="Times New Roman"/>
          <w:b/>
          <w:sz w:val="24"/>
          <w:szCs w:val="24"/>
          <w:lang w:eastAsia="cs-CZ"/>
        </w:rPr>
        <w:t>Prosinec</w:t>
      </w:r>
      <w:r w:rsidR="009A397C" w:rsidRPr="000B521F">
        <w:rPr>
          <w:rFonts w:ascii="Times New Roman" w:hAnsi="Times New Roman" w:cs="Times New Roman"/>
          <w:b/>
          <w:sz w:val="24"/>
          <w:szCs w:val="24"/>
          <w:lang w:eastAsia="cs-CZ"/>
        </w:rPr>
        <w:t xml:space="preserve"> 2013</w:t>
      </w:r>
      <w:r w:rsidR="003105E4" w:rsidRPr="000B521F">
        <w:rPr>
          <w:rFonts w:ascii="Times New Roman" w:hAnsi="Times New Roman" w:cs="Times New Roman"/>
          <w:b/>
          <w:sz w:val="24"/>
          <w:szCs w:val="24"/>
          <w:lang w:eastAsia="cs-CZ"/>
        </w:rPr>
        <w:t xml:space="preserve"> – verze </w:t>
      </w:r>
      <w:r>
        <w:rPr>
          <w:rFonts w:ascii="Times New Roman" w:hAnsi="Times New Roman" w:cs="Times New Roman"/>
          <w:b/>
          <w:sz w:val="24"/>
          <w:szCs w:val="24"/>
          <w:lang w:eastAsia="cs-CZ"/>
        </w:rPr>
        <w:t>pro meziresortní připomínkové řízení</w:t>
      </w:r>
    </w:p>
    <w:p w:rsidR="004E020C" w:rsidRPr="000B521F" w:rsidRDefault="003963D4" w:rsidP="0059011D">
      <w:pPr>
        <w:spacing w:after="120" w:line="240" w:lineRule="auto"/>
        <w:rPr>
          <w:rFonts w:ascii="Times New Roman" w:hAnsi="Times New Roman" w:cs="Times New Roman"/>
          <w:b/>
          <w:sz w:val="24"/>
          <w:szCs w:val="24"/>
          <w:lang w:eastAsia="cs-CZ"/>
        </w:rPr>
      </w:pPr>
      <w:r w:rsidRPr="000B521F">
        <w:rPr>
          <w:rFonts w:ascii="Times New Roman" w:hAnsi="Times New Roman" w:cs="Times New Roman"/>
          <w:b/>
          <w:sz w:val="24"/>
          <w:szCs w:val="24"/>
          <w:lang w:eastAsia="cs-CZ"/>
        </w:rPr>
        <w:br w:type="page"/>
      </w:r>
      <w:r w:rsidR="004E020C" w:rsidRPr="000B521F">
        <w:rPr>
          <w:rFonts w:ascii="Times New Roman" w:hAnsi="Times New Roman" w:cs="Times New Roman"/>
          <w:b/>
          <w:sz w:val="24"/>
          <w:szCs w:val="24"/>
          <w:lang w:eastAsia="cs-CZ"/>
        </w:rPr>
        <w:lastRenderedPageBreak/>
        <w:t>OBSAH</w:t>
      </w:r>
    </w:p>
    <w:p w:rsidR="00FA5DE6" w:rsidRDefault="00842329">
      <w:pPr>
        <w:pStyle w:val="Obsah1"/>
        <w:tabs>
          <w:tab w:val="right" w:leader="dot" w:pos="9060"/>
        </w:tabs>
        <w:rPr>
          <w:rFonts w:asciiTheme="minorHAnsi" w:eastAsiaTheme="minorEastAsia" w:hAnsiTheme="minorHAnsi" w:cstheme="minorBidi"/>
          <w:b w:val="0"/>
          <w:bCs w:val="0"/>
          <w:caps w:val="0"/>
          <w:noProof/>
          <w:sz w:val="22"/>
          <w:szCs w:val="22"/>
          <w:lang w:eastAsia="cs-CZ"/>
        </w:rPr>
      </w:pPr>
      <w:r w:rsidRPr="000B521F">
        <w:rPr>
          <w:rFonts w:ascii="Times New Roman" w:hAnsi="Times New Roman" w:cs="Times New Roman"/>
          <w:b w:val="0"/>
          <w:bCs w:val="0"/>
          <w:caps w:val="0"/>
          <w:sz w:val="24"/>
          <w:szCs w:val="24"/>
          <w:lang w:eastAsia="cs-CZ"/>
        </w:rPr>
        <w:fldChar w:fldCharType="begin"/>
      </w:r>
      <w:r w:rsidR="00B57418" w:rsidRPr="000B521F">
        <w:rPr>
          <w:rFonts w:ascii="Times New Roman" w:hAnsi="Times New Roman" w:cs="Times New Roman"/>
          <w:b w:val="0"/>
          <w:bCs w:val="0"/>
          <w:caps w:val="0"/>
          <w:sz w:val="24"/>
          <w:szCs w:val="24"/>
          <w:lang w:eastAsia="cs-CZ"/>
        </w:rPr>
        <w:instrText xml:space="preserve"> TOC \o "1-4" \h \z \u </w:instrText>
      </w:r>
      <w:r w:rsidRPr="000B521F">
        <w:rPr>
          <w:rFonts w:ascii="Times New Roman" w:hAnsi="Times New Roman" w:cs="Times New Roman"/>
          <w:b w:val="0"/>
          <w:bCs w:val="0"/>
          <w:caps w:val="0"/>
          <w:sz w:val="24"/>
          <w:szCs w:val="24"/>
          <w:lang w:eastAsia="cs-CZ"/>
        </w:rPr>
        <w:fldChar w:fldCharType="separate"/>
      </w:r>
      <w:hyperlink w:anchor="_Toc374702850" w:history="1">
        <w:r w:rsidR="00FA5DE6" w:rsidRPr="00540E32">
          <w:rPr>
            <w:rStyle w:val="Hypertextovodkaz"/>
            <w:noProof/>
          </w:rPr>
          <w:t>Úvod</w:t>
        </w:r>
        <w:r w:rsidR="00FA5DE6">
          <w:rPr>
            <w:noProof/>
            <w:webHidden/>
          </w:rPr>
          <w:tab/>
        </w:r>
        <w:r w:rsidR="00FA5DE6">
          <w:rPr>
            <w:noProof/>
            <w:webHidden/>
          </w:rPr>
          <w:fldChar w:fldCharType="begin"/>
        </w:r>
        <w:r w:rsidR="00FA5DE6">
          <w:rPr>
            <w:noProof/>
            <w:webHidden/>
          </w:rPr>
          <w:instrText xml:space="preserve"> PAGEREF _Toc374702850 \h </w:instrText>
        </w:r>
        <w:r w:rsidR="00FA5DE6">
          <w:rPr>
            <w:noProof/>
            <w:webHidden/>
          </w:rPr>
        </w:r>
        <w:r w:rsidR="00FA5DE6">
          <w:rPr>
            <w:noProof/>
            <w:webHidden/>
          </w:rPr>
          <w:fldChar w:fldCharType="separate"/>
        </w:r>
        <w:r w:rsidR="007C638F">
          <w:rPr>
            <w:noProof/>
            <w:webHidden/>
          </w:rPr>
          <w:t>5</w:t>
        </w:r>
        <w:r w:rsidR="00FA5DE6">
          <w:rPr>
            <w:noProof/>
            <w:webHidden/>
          </w:rPr>
          <w:fldChar w:fldCharType="end"/>
        </w:r>
      </w:hyperlink>
    </w:p>
    <w:p w:rsidR="00FA5DE6" w:rsidRDefault="00885D8C">
      <w:pPr>
        <w:pStyle w:val="Obsah1"/>
        <w:tabs>
          <w:tab w:val="left" w:pos="440"/>
          <w:tab w:val="right" w:leader="dot" w:pos="9060"/>
        </w:tabs>
        <w:rPr>
          <w:rFonts w:asciiTheme="minorHAnsi" w:eastAsiaTheme="minorEastAsia" w:hAnsiTheme="minorHAnsi" w:cstheme="minorBidi"/>
          <w:b w:val="0"/>
          <w:bCs w:val="0"/>
          <w:caps w:val="0"/>
          <w:noProof/>
          <w:sz w:val="22"/>
          <w:szCs w:val="22"/>
          <w:lang w:eastAsia="cs-CZ"/>
        </w:rPr>
      </w:pPr>
      <w:hyperlink w:anchor="_Toc374702851" w:history="1">
        <w:r w:rsidR="00FA5DE6" w:rsidRPr="00540E32">
          <w:rPr>
            <w:rStyle w:val="Hypertextovodkaz"/>
            <w:rFonts w:ascii="Times New Roman" w:hAnsi="Times New Roman" w:cs="Times New Roman"/>
            <w:noProof/>
          </w:rPr>
          <w:t>1</w:t>
        </w:r>
        <w:r w:rsidR="00FA5DE6">
          <w:rPr>
            <w:rFonts w:asciiTheme="minorHAnsi" w:eastAsiaTheme="minorEastAsia" w:hAnsiTheme="minorHAnsi" w:cstheme="minorBidi"/>
            <w:b w:val="0"/>
            <w:bCs w:val="0"/>
            <w:caps w:val="0"/>
            <w:noProof/>
            <w:sz w:val="22"/>
            <w:szCs w:val="22"/>
            <w:lang w:eastAsia="cs-CZ"/>
          </w:rPr>
          <w:tab/>
        </w:r>
        <w:r w:rsidR="00FA5DE6" w:rsidRPr="00540E32">
          <w:rPr>
            <w:rStyle w:val="Hypertextovodkaz"/>
            <w:rFonts w:ascii="Times New Roman" w:hAnsi="Times New Roman" w:cs="Times New Roman"/>
            <w:noProof/>
          </w:rPr>
          <w:t>Zajištění provázanosti se strategií Evropa 2020</w:t>
        </w:r>
        <w:r w:rsidR="00FA5DE6">
          <w:rPr>
            <w:noProof/>
            <w:webHidden/>
          </w:rPr>
          <w:tab/>
        </w:r>
        <w:r w:rsidR="00FA5DE6">
          <w:rPr>
            <w:noProof/>
            <w:webHidden/>
          </w:rPr>
          <w:fldChar w:fldCharType="begin"/>
        </w:r>
        <w:r w:rsidR="00FA5DE6">
          <w:rPr>
            <w:noProof/>
            <w:webHidden/>
          </w:rPr>
          <w:instrText xml:space="preserve"> PAGEREF _Toc374702851 \h </w:instrText>
        </w:r>
        <w:r w:rsidR="00FA5DE6">
          <w:rPr>
            <w:noProof/>
            <w:webHidden/>
          </w:rPr>
        </w:r>
        <w:r w:rsidR="00FA5DE6">
          <w:rPr>
            <w:noProof/>
            <w:webHidden/>
          </w:rPr>
          <w:fldChar w:fldCharType="separate"/>
        </w:r>
        <w:r w:rsidR="007C638F">
          <w:rPr>
            <w:noProof/>
            <w:webHidden/>
          </w:rPr>
          <w:t>6</w:t>
        </w:r>
        <w:r w:rsidR="00FA5DE6">
          <w:rPr>
            <w:noProof/>
            <w:webHidden/>
          </w:rPr>
          <w:fldChar w:fldCharType="end"/>
        </w:r>
      </w:hyperlink>
    </w:p>
    <w:p w:rsidR="00FA5DE6" w:rsidRDefault="00885D8C">
      <w:pPr>
        <w:pStyle w:val="Obsah2"/>
        <w:tabs>
          <w:tab w:val="left" w:pos="880"/>
          <w:tab w:val="right" w:leader="dot" w:pos="9060"/>
        </w:tabs>
        <w:rPr>
          <w:rFonts w:asciiTheme="minorHAnsi" w:eastAsiaTheme="minorEastAsia" w:hAnsiTheme="minorHAnsi" w:cstheme="minorBidi"/>
          <w:smallCaps w:val="0"/>
          <w:noProof/>
          <w:sz w:val="22"/>
          <w:szCs w:val="22"/>
          <w:lang w:eastAsia="cs-CZ"/>
        </w:rPr>
      </w:pPr>
      <w:hyperlink w:anchor="_Toc374702852" w:history="1">
        <w:r w:rsidR="00FA5DE6" w:rsidRPr="00540E32">
          <w:rPr>
            <w:rStyle w:val="Hypertextovodkaz"/>
            <w:noProof/>
          </w:rPr>
          <w:t>1.1</w:t>
        </w:r>
        <w:r w:rsidR="00FA5DE6">
          <w:rPr>
            <w:rFonts w:asciiTheme="minorHAnsi" w:eastAsiaTheme="minorEastAsia" w:hAnsiTheme="minorHAnsi" w:cstheme="minorBidi"/>
            <w:smallCaps w:val="0"/>
            <w:noProof/>
            <w:sz w:val="22"/>
            <w:szCs w:val="22"/>
            <w:lang w:eastAsia="cs-CZ"/>
          </w:rPr>
          <w:tab/>
        </w:r>
        <w:r w:rsidR="00FA5DE6" w:rsidRPr="00540E32">
          <w:rPr>
            <w:rStyle w:val="Hypertextovodkaz"/>
            <w:noProof/>
          </w:rPr>
          <w:t>Analýza disparit, rozvojových potřeb a růstového potenciálu</w:t>
        </w:r>
        <w:r w:rsidR="00FA5DE6">
          <w:rPr>
            <w:noProof/>
            <w:webHidden/>
          </w:rPr>
          <w:tab/>
        </w:r>
        <w:r w:rsidR="00FA5DE6">
          <w:rPr>
            <w:noProof/>
            <w:webHidden/>
          </w:rPr>
          <w:fldChar w:fldCharType="begin"/>
        </w:r>
        <w:r w:rsidR="00FA5DE6">
          <w:rPr>
            <w:noProof/>
            <w:webHidden/>
          </w:rPr>
          <w:instrText xml:space="preserve"> PAGEREF _Toc374702852 \h </w:instrText>
        </w:r>
        <w:r w:rsidR="00FA5DE6">
          <w:rPr>
            <w:noProof/>
            <w:webHidden/>
          </w:rPr>
        </w:r>
        <w:r w:rsidR="00FA5DE6">
          <w:rPr>
            <w:noProof/>
            <w:webHidden/>
          </w:rPr>
          <w:fldChar w:fldCharType="separate"/>
        </w:r>
        <w:r w:rsidR="007C638F">
          <w:rPr>
            <w:noProof/>
            <w:webHidden/>
          </w:rPr>
          <w:t>6</w:t>
        </w:r>
        <w:r w:rsidR="00FA5DE6">
          <w:rPr>
            <w:noProof/>
            <w:webHidden/>
          </w:rPr>
          <w:fldChar w:fldCharType="end"/>
        </w:r>
      </w:hyperlink>
    </w:p>
    <w:p w:rsidR="00FA5DE6" w:rsidRDefault="00885D8C">
      <w:pPr>
        <w:pStyle w:val="Obsah3"/>
        <w:tabs>
          <w:tab w:val="right" w:leader="dot" w:pos="9060"/>
        </w:tabs>
        <w:rPr>
          <w:rFonts w:asciiTheme="minorHAnsi" w:eastAsiaTheme="minorEastAsia" w:hAnsiTheme="minorHAnsi" w:cstheme="minorBidi"/>
          <w:i w:val="0"/>
          <w:iCs w:val="0"/>
          <w:noProof/>
          <w:sz w:val="22"/>
          <w:szCs w:val="22"/>
          <w:lang w:eastAsia="cs-CZ"/>
        </w:rPr>
      </w:pPr>
      <w:hyperlink w:anchor="_Toc374702853" w:history="1">
        <w:r w:rsidR="00FA5DE6" w:rsidRPr="00540E32">
          <w:rPr>
            <w:rStyle w:val="Hypertextovodkaz"/>
            <w:rFonts w:ascii="Times New Roman" w:hAnsi="Times New Roman" w:cs="Times New Roman"/>
            <w:noProof/>
          </w:rPr>
          <w:t>Makroekonomická situace České republiky</w:t>
        </w:r>
        <w:r w:rsidR="00FA5DE6">
          <w:rPr>
            <w:noProof/>
            <w:webHidden/>
          </w:rPr>
          <w:tab/>
        </w:r>
        <w:r w:rsidR="00FA5DE6">
          <w:rPr>
            <w:noProof/>
            <w:webHidden/>
          </w:rPr>
          <w:fldChar w:fldCharType="begin"/>
        </w:r>
        <w:r w:rsidR="00FA5DE6">
          <w:rPr>
            <w:noProof/>
            <w:webHidden/>
          </w:rPr>
          <w:instrText xml:space="preserve"> PAGEREF _Toc374702853 \h </w:instrText>
        </w:r>
        <w:r w:rsidR="00FA5DE6">
          <w:rPr>
            <w:noProof/>
            <w:webHidden/>
          </w:rPr>
        </w:r>
        <w:r w:rsidR="00FA5DE6">
          <w:rPr>
            <w:noProof/>
            <w:webHidden/>
          </w:rPr>
          <w:fldChar w:fldCharType="separate"/>
        </w:r>
        <w:r w:rsidR="007C638F">
          <w:rPr>
            <w:noProof/>
            <w:webHidden/>
          </w:rPr>
          <w:t>6</w:t>
        </w:r>
        <w:r w:rsidR="00FA5DE6">
          <w:rPr>
            <w:noProof/>
            <w:webHidden/>
          </w:rPr>
          <w:fldChar w:fldCharType="end"/>
        </w:r>
      </w:hyperlink>
    </w:p>
    <w:p w:rsidR="00FA5DE6" w:rsidRDefault="00885D8C">
      <w:pPr>
        <w:pStyle w:val="Obsah3"/>
        <w:tabs>
          <w:tab w:val="right" w:leader="dot" w:pos="9060"/>
        </w:tabs>
        <w:rPr>
          <w:rFonts w:asciiTheme="minorHAnsi" w:eastAsiaTheme="minorEastAsia" w:hAnsiTheme="minorHAnsi" w:cstheme="minorBidi"/>
          <w:i w:val="0"/>
          <w:iCs w:val="0"/>
          <w:noProof/>
          <w:sz w:val="22"/>
          <w:szCs w:val="22"/>
          <w:lang w:eastAsia="cs-CZ"/>
        </w:rPr>
      </w:pPr>
      <w:hyperlink w:anchor="_Toc374702854" w:history="1">
        <w:r w:rsidR="00FA5DE6" w:rsidRPr="00540E32">
          <w:rPr>
            <w:rStyle w:val="Hypertextovodkaz"/>
            <w:rFonts w:ascii="Times New Roman" w:hAnsi="Times New Roman" w:cs="Times New Roman"/>
            <w:noProof/>
          </w:rPr>
          <w:t>Východiska pro analýzu disparit, rozvojových potřeb a růstového potenciálu</w:t>
        </w:r>
        <w:r w:rsidR="00FA5DE6">
          <w:rPr>
            <w:noProof/>
            <w:webHidden/>
          </w:rPr>
          <w:tab/>
        </w:r>
        <w:r w:rsidR="00FA5DE6">
          <w:rPr>
            <w:noProof/>
            <w:webHidden/>
          </w:rPr>
          <w:fldChar w:fldCharType="begin"/>
        </w:r>
        <w:r w:rsidR="00FA5DE6">
          <w:rPr>
            <w:noProof/>
            <w:webHidden/>
          </w:rPr>
          <w:instrText xml:space="preserve"> PAGEREF _Toc374702854 \h </w:instrText>
        </w:r>
        <w:r w:rsidR="00FA5DE6">
          <w:rPr>
            <w:noProof/>
            <w:webHidden/>
          </w:rPr>
        </w:r>
        <w:r w:rsidR="00FA5DE6">
          <w:rPr>
            <w:noProof/>
            <w:webHidden/>
          </w:rPr>
          <w:fldChar w:fldCharType="separate"/>
        </w:r>
        <w:r w:rsidR="007C638F">
          <w:rPr>
            <w:noProof/>
            <w:webHidden/>
          </w:rPr>
          <w:t>7</w:t>
        </w:r>
        <w:r w:rsidR="00FA5DE6">
          <w:rPr>
            <w:noProof/>
            <w:webHidden/>
          </w:rPr>
          <w:fldChar w:fldCharType="end"/>
        </w:r>
      </w:hyperlink>
    </w:p>
    <w:p w:rsidR="00FA5DE6" w:rsidRDefault="00885D8C">
      <w:pPr>
        <w:pStyle w:val="Obsah3"/>
        <w:tabs>
          <w:tab w:val="left" w:pos="1100"/>
          <w:tab w:val="right" w:leader="dot" w:pos="9060"/>
        </w:tabs>
        <w:rPr>
          <w:rFonts w:asciiTheme="minorHAnsi" w:eastAsiaTheme="minorEastAsia" w:hAnsiTheme="minorHAnsi" w:cstheme="minorBidi"/>
          <w:i w:val="0"/>
          <w:iCs w:val="0"/>
          <w:noProof/>
          <w:sz w:val="22"/>
          <w:szCs w:val="22"/>
          <w:lang w:eastAsia="cs-CZ"/>
        </w:rPr>
      </w:pPr>
      <w:hyperlink w:anchor="_Toc374702855" w:history="1">
        <w:r w:rsidR="00FA5DE6" w:rsidRPr="00540E32">
          <w:rPr>
            <w:rStyle w:val="Hypertextovodkaz"/>
            <w:rFonts w:ascii="Times New Roman" w:hAnsi="Times New Roman" w:cs="Times New Roman"/>
            <w:noProof/>
          </w:rPr>
          <w:t>1.1.1</w:t>
        </w:r>
        <w:r w:rsidR="00FA5DE6">
          <w:rPr>
            <w:rFonts w:asciiTheme="minorHAnsi" w:eastAsiaTheme="minorEastAsia" w:hAnsiTheme="minorHAnsi" w:cstheme="minorBidi"/>
            <w:i w:val="0"/>
            <w:iCs w:val="0"/>
            <w:noProof/>
            <w:sz w:val="22"/>
            <w:szCs w:val="22"/>
            <w:lang w:eastAsia="cs-CZ"/>
          </w:rPr>
          <w:tab/>
        </w:r>
        <w:r w:rsidR="00FA5DE6" w:rsidRPr="00540E32">
          <w:rPr>
            <w:rStyle w:val="Hypertextovodkaz"/>
            <w:rFonts w:ascii="Times New Roman" w:hAnsi="Times New Roman" w:cs="Times New Roman"/>
            <w:noProof/>
          </w:rPr>
          <w:t>Konkurenceschopnost ekonomiky</w:t>
        </w:r>
        <w:r w:rsidR="00FA5DE6">
          <w:rPr>
            <w:noProof/>
            <w:webHidden/>
          </w:rPr>
          <w:tab/>
        </w:r>
        <w:r w:rsidR="00FA5DE6">
          <w:rPr>
            <w:noProof/>
            <w:webHidden/>
          </w:rPr>
          <w:fldChar w:fldCharType="begin"/>
        </w:r>
        <w:r w:rsidR="00FA5DE6">
          <w:rPr>
            <w:noProof/>
            <w:webHidden/>
          </w:rPr>
          <w:instrText xml:space="preserve"> PAGEREF _Toc374702855 \h </w:instrText>
        </w:r>
        <w:r w:rsidR="00FA5DE6">
          <w:rPr>
            <w:noProof/>
            <w:webHidden/>
          </w:rPr>
        </w:r>
        <w:r w:rsidR="00FA5DE6">
          <w:rPr>
            <w:noProof/>
            <w:webHidden/>
          </w:rPr>
          <w:fldChar w:fldCharType="separate"/>
        </w:r>
        <w:r w:rsidR="007C638F">
          <w:rPr>
            <w:noProof/>
            <w:webHidden/>
          </w:rPr>
          <w:t>8</w:t>
        </w:r>
        <w:r w:rsidR="00FA5DE6">
          <w:rPr>
            <w:noProof/>
            <w:webHidden/>
          </w:rPr>
          <w:fldChar w:fldCharType="end"/>
        </w:r>
      </w:hyperlink>
    </w:p>
    <w:p w:rsidR="00FA5DE6" w:rsidRDefault="00885D8C">
      <w:pPr>
        <w:pStyle w:val="Obsah4"/>
        <w:tabs>
          <w:tab w:val="left" w:pos="1540"/>
          <w:tab w:val="right" w:leader="dot" w:pos="9060"/>
        </w:tabs>
        <w:rPr>
          <w:rFonts w:asciiTheme="minorHAnsi" w:eastAsiaTheme="minorEastAsia" w:hAnsiTheme="minorHAnsi" w:cstheme="minorBidi"/>
          <w:noProof/>
          <w:sz w:val="22"/>
          <w:szCs w:val="22"/>
          <w:lang w:eastAsia="cs-CZ"/>
        </w:rPr>
      </w:pPr>
      <w:hyperlink w:anchor="_Toc374702856" w:history="1">
        <w:r w:rsidR="00FA5DE6" w:rsidRPr="00540E32">
          <w:rPr>
            <w:rStyle w:val="Hypertextovodkaz"/>
            <w:rFonts w:ascii="Times New Roman" w:hAnsi="Times New Roman" w:cs="Times New Roman"/>
            <w:noProof/>
          </w:rPr>
          <w:t>1.1.1.1</w:t>
        </w:r>
        <w:r w:rsidR="00FA5DE6">
          <w:rPr>
            <w:rFonts w:asciiTheme="minorHAnsi" w:eastAsiaTheme="minorEastAsia" w:hAnsiTheme="minorHAnsi" w:cstheme="minorBidi"/>
            <w:noProof/>
            <w:sz w:val="22"/>
            <w:szCs w:val="22"/>
            <w:lang w:eastAsia="cs-CZ"/>
          </w:rPr>
          <w:tab/>
        </w:r>
        <w:r w:rsidR="00FA5DE6" w:rsidRPr="00540E32">
          <w:rPr>
            <w:rStyle w:val="Hypertextovodkaz"/>
            <w:rFonts w:ascii="Times New Roman" w:hAnsi="Times New Roman" w:cs="Times New Roman"/>
            <w:noProof/>
          </w:rPr>
          <w:t>Trh práce</w:t>
        </w:r>
        <w:r w:rsidR="00FA5DE6">
          <w:rPr>
            <w:noProof/>
            <w:webHidden/>
          </w:rPr>
          <w:tab/>
        </w:r>
        <w:r w:rsidR="00FA5DE6">
          <w:rPr>
            <w:noProof/>
            <w:webHidden/>
          </w:rPr>
          <w:fldChar w:fldCharType="begin"/>
        </w:r>
        <w:r w:rsidR="00FA5DE6">
          <w:rPr>
            <w:noProof/>
            <w:webHidden/>
          </w:rPr>
          <w:instrText xml:space="preserve"> PAGEREF _Toc374702856 \h </w:instrText>
        </w:r>
        <w:r w:rsidR="00FA5DE6">
          <w:rPr>
            <w:noProof/>
            <w:webHidden/>
          </w:rPr>
        </w:r>
        <w:r w:rsidR="00FA5DE6">
          <w:rPr>
            <w:noProof/>
            <w:webHidden/>
          </w:rPr>
          <w:fldChar w:fldCharType="separate"/>
        </w:r>
        <w:r w:rsidR="007C638F">
          <w:rPr>
            <w:noProof/>
            <w:webHidden/>
          </w:rPr>
          <w:t>9</w:t>
        </w:r>
        <w:r w:rsidR="00FA5DE6">
          <w:rPr>
            <w:noProof/>
            <w:webHidden/>
          </w:rPr>
          <w:fldChar w:fldCharType="end"/>
        </w:r>
      </w:hyperlink>
    </w:p>
    <w:p w:rsidR="00FA5DE6" w:rsidRDefault="00885D8C">
      <w:pPr>
        <w:pStyle w:val="Obsah4"/>
        <w:tabs>
          <w:tab w:val="left" w:pos="1540"/>
          <w:tab w:val="right" w:leader="dot" w:pos="9060"/>
        </w:tabs>
        <w:rPr>
          <w:rFonts w:asciiTheme="minorHAnsi" w:eastAsiaTheme="minorEastAsia" w:hAnsiTheme="minorHAnsi" w:cstheme="minorBidi"/>
          <w:noProof/>
          <w:sz w:val="22"/>
          <w:szCs w:val="22"/>
          <w:lang w:eastAsia="cs-CZ"/>
        </w:rPr>
      </w:pPr>
      <w:hyperlink w:anchor="_Toc374702857" w:history="1">
        <w:r w:rsidR="00FA5DE6" w:rsidRPr="00540E32">
          <w:rPr>
            <w:rStyle w:val="Hypertextovodkaz"/>
            <w:rFonts w:ascii="Times New Roman" w:hAnsi="Times New Roman" w:cs="Times New Roman"/>
            <w:noProof/>
          </w:rPr>
          <w:t>1.1.1.2</w:t>
        </w:r>
        <w:r w:rsidR="00FA5DE6">
          <w:rPr>
            <w:rFonts w:asciiTheme="minorHAnsi" w:eastAsiaTheme="minorEastAsia" w:hAnsiTheme="minorHAnsi" w:cstheme="minorBidi"/>
            <w:noProof/>
            <w:sz w:val="22"/>
            <w:szCs w:val="22"/>
            <w:lang w:eastAsia="cs-CZ"/>
          </w:rPr>
          <w:tab/>
        </w:r>
        <w:r w:rsidR="00FA5DE6" w:rsidRPr="00540E32">
          <w:rPr>
            <w:rStyle w:val="Hypertextovodkaz"/>
            <w:rFonts w:ascii="Times New Roman" w:hAnsi="Times New Roman" w:cs="Times New Roman"/>
            <w:noProof/>
          </w:rPr>
          <w:t>Vzdělávání</w:t>
        </w:r>
        <w:r w:rsidR="00FA5DE6">
          <w:rPr>
            <w:noProof/>
            <w:webHidden/>
          </w:rPr>
          <w:tab/>
        </w:r>
        <w:r w:rsidR="00FA5DE6">
          <w:rPr>
            <w:noProof/>
            <w:webHidden/>
          </w:rPr>
          <w:fldChar w:fldCharType="begin"/>
        </w:r>
        <w:r w:rsidR="00FA5DE6">
          <w:rPr>
            <w:noProof/>
            <w:webHidden/>
          </w:rPr>
          <w:instrText xml:space="preserve"> PAGEREF _Toc374702857 \h </w:instrText>
        </w:r>
        <w:r w:rsidR="00FA5DE6">
          <w:rPr>
            <w:noProof/>
            <w:webHidden/>
          </w:rPr>
        </w:r>
        <w:r w:rsidR="00FA5DE6">
          <w:rPr>
            <w:noProof/>
            <w:webHidden/>
          </w:rPr>
          <w:fldChar w:fldCharType="separate"/>
        </w:r>
        <w:r w:rsidR="007C638F">
          <w:rPr>
            <w:noProof/>
            <w:webHidden/>
          </w:rPr>
          <w:t>16</w:t>
        </w:r>
        <w:r w:rsidR="00FA5DE6">
          <w:rPr>
            <w:noProof/>
            <w:webHidden/>
          </w:rPr>
          <w:fldChar w:fldCharType="end"/>
        </w:r>
      </w:hyperlink>
    </w:p>
    <w:p w:rsidR="00FA5DE6" w:rsidRDefault="00885D8C">
      <w:pPr>
        <w:pStyle w:val="Obsah4"/>
        <w:tabs>
          <w:tab w:val="left" w:pos="1540"/>
          <w:tab w:val="right" w:leader="dot" w:pos="9060"/>
        </w:tabs>
        <w:rPr>
          <w:rFonts w:asciiTheme="minorHAnsi" w:eastAsiaTheme="minorEastAsia" w:hAnsiTheme="minorHAnsi" w:cstheme="minorBidi"/>
          <w:noProof/>
          <w:sz w:val="22"/>
          <w:szCs w:val="22"/>
          <w:lang w:eastAsia="cs-CZ"/>
        </w:rPr>
      </w:pPr>
      <w:hyperlink w:anchor="_Toc374702858" w:history="1">
        <w:r w:rsidR="00FA5DE6" w:rsidRPr="00540E32">
          <w:rPr>
            <w:rStyle w:val="Hypertextovodkaz"/>
            <w:rFonts w:ascii="Times New Roman" w:hAnsi="Times New Roman" w:cs="Times New Roman"/>
            <w:noProof/>
          </w:rPr>
          <w:t>1.1.1.3</w:t>
        </w:r>
        <w:r w:rsidR="00FA5DE6">
          <w:rPr>
            <w:rFonts w:asciiTheme="minorHAnsi" w:eastAsiaTheme="minorEastAsia" w:hAnsiTheme="minorHAnsi" w:cstheme="minorBidi"/>
            <w:noProof/>
            <w:sz w:val="22"/>
            <w:szCs w:val="22"/>
            <w:lang w:eastAsia="cs-CZ"/>
          </w:rPr>
          <w:tab/>
        </w:r>
        <w:r w:rsidR="00FA5DE6" w:rsidRPr="00540E32">
          <w:rPr>
            <w:rStyle w:val="Hypertextovodkaz"/>
            <w:rFonts w:ascii="Times New Roman" w:hAnsi="Times New Roman" w:cs="Times New Roman"/>
            <w:noProof/>
          </w:rPr>
          <w:t>Výzkumný a inovační systém</w:t>
        </w:r>
        <w:r w:rsidR="00FA5DE6">
          <w:rPr>
            <w:noProof/>
            <w:webHidden/>
          </w:rPr>
          <w:tab/>
        </w:r>
        <w:r w:rsidR="00FA5DE6">
          <w:rPr>
            <w:noProof/>
            <w:webHidden/>
          </w:rPr>
          <w:fldChar w:fldCharType="begin"/>
        </w:r>
        <w:r w:rsidR="00FA5DE6">
          <w:rPr>
            <w:noProof/>
            <w:webHidden/>
          </w:rPr>
          <w:instrText xml:space="preserve"> PAGEREF _Toc374702858 \h </w:instrText>
        </w:r>
        <w:r w:rsidR="00FA5DE6">
          <w:rPr>
            <w:noProof/>
            <w:webHidden/>
          </w:rPr>
        </w:r>
        <w:r w:rsidR="00FA5DE6">
          <w:rPr>
            <w:noProof/>
            <w:webHidden/>
          </w:rPr>
          <w:fldChar w:fldCharType="separate"/>
        </w:r>
        <w:r w:rsidR="007C638F">
          <w:rPr>
            <w:noProof/>
            <w:webHidden/>
          </w:rPr>
          <w:t>24</w:t>
        </w:r>
        <w:r w:rsidR="00FA5DE6">
          <w:rPr>
            <w:noProof/>
            <w:webHidden/>
          </w:rPr>
          <w:fldChar w:fldCharType="end"/>
        </w:r>
      </w:hyperlink>
    </w:p>
    <w:p w:rsidR="00FA5DE6" w:rsidRDefault="00885D8C">
      <w:pPr>
        <w:pStyle w:val="Obsah4"/>
        <w:tabs>
          <w:tab w:val="left" w:pos="1540"/>
          <w:tab w:val="right" w:leader="dot" w:pos="9060"/>
        </w:tabs>
        <w:rPr>
          <w:rFonts w:asciiTheme="minorHAnsi" w:eastAsiaTheme="minorEastAsia" w:hAnsiTheme="minorHAnsi" w:cstheme="minorBidi"/>
          <w:noProof/>
          <w:sz w:val="22"/>
          <w:szCs w:val="22"/>
          <w:lang w:eastAsia="cs-CZ"/>
        </w:rPr>
      </w:pPr>
      <w:hyperlink w:anchor="_Toc374702859" w:history="1">
        <w:r w:rsidR="00FA5DE6" w:rsidRPr="00540E32">
          <w:rPr>
            <w:rStyle w:val="Hypertextovodkaz"/>
            <w:rFonts w:ascii="Times New Roman" w:hAnsi="Times New Roman" w:cs="Times New Roman"/>
            <w:noProof/>
          </w:rPr>
          <w:t>1.1.1.4</w:t>
        </w:r>
        <w:r w:rsidR="00FA5DE6">
          <w:rPr>
            <w:rFonts w:asciiTheme="minorHAnsi" w:eastAsiaTheme="minorEastAsia" w:hAnsiTheme="minorHAnsi" w:cstheme="minorBidi"/>
            <w:noProof/>
            <w:sz w:val="22"/>
            <w:szCs w:val="22"/>
            <w:lang w:eastAsia="cs-CZ"/>
          </w:rPr>
          <w:tab/>
        </w:r>
        <w:r w:rsidR="00FA5DE6" w:rsidRPr="00540E32">
          <w:rPr>
            <w:rStyle w:val="Hypertextovodkaz"/>
            <w:rFonts w:ascii="Times New Roman" w:hAnsi="Times New Roman" w:cs="Times New Roman"/>
            <w:noProof/>
          </w:rPr>
          <w:t>Konkurenceschopné podniky</w:t>
        </w:r>
        <w:r w:rsidR="00FA5DE6">
          <w:rPr>
            <w:noProof/>
            <w:webHidden/>
          </w:rPr>
          <w:tab/>
        </w:r>
        <w:r w:rsidR="00FA5DE6">
          <w:rPr>
            <w:noProof/>
            <w:webHidden/>
          </w:rPr>
          <w:fldChar w:fldCharType="begin"/>
        </w:r>
        <w:r w:rsidR="00FA5DE6">
          <w:rPr>
            <w:noProof/>
            <w:webHidden/>
          </w:rPr>
          <w:instrText xml:space="preserve"> PAGEREF _Toc374702859 \h </w:instrText>
        </w:r>
        <w:r w:rsidR="00FA5DE6">
          <w:rPr>
            <w:noProof/>
            <w:webHidden/>
          </w:rPr>
        </w:r>
        <w:r w:rsidR="00FA5DE6">
          <w:rPr>
            <w:noProof/>
            <w:webHidden/>
          </w:rPr>
          <w:fldChar w:fldCharType="separate"/>
        </w:r>
        <w:r w:rsidR="007C638F">
          <w:rPr>
            <w:noProof/>
            <w:webHidden/>
          </w:rPr>
          <w:t>33</w:t>
        </w:r>
        <w:r w:rsidR="00FA5DE6">
          <w:rPr>
            <w:noProof/>
            <w:webHidden/>
          </w:rPr>
          <w:fldChar w:fldCharType="end"/>
        </w:r>
      </w:hyperlink>
    </w:p>
    <w:p w:rsidR="00FA5DE6" w:rsidRDefault="00885D8C">
      <w:pPr>
        <w:pStyle w:val="Obsah3"/>
        <w:tabs>
          <w:tab w:val="left" w:pos="1100"/>
          <w:tab w:val="right" w:leader="dot" w:pos="9060"/>
        </w:tabs>
        <w:rPr>
          <w:rFonts w:asciiTheme="minorHAnsi" w:eastAsiaTheme="minorEastAsia" w:hAnsiTheme="minorHAnsi" w:cstheme="minorBidi"/>
          <w:i w:val="0"/>
          <w:iCs w:val="0"/>
          <w:noProof/>
          <w:sz w:val="22"/>
          <w:szCs w:val="22"/>
          <w:lang w:eastAsia="cs-CZ"/>
        </w:rPr>
      </w:pPr>
      <w:hyperlink w:anchor="_Toc374702860" w:history="1">
        <w:r w:rsidR="00FA5DE6" w:rsidRPr="00540E32">
          <w:rPr>
            <w:rStyle w:val="Hypertextovodkaz"/>
            <w:rFonts w:ascii="Times New Roman" w:hAnsi="Times New Roman" w:cs="Times New Roman"/>
            <w:noProof/>
          </w:rPr>
          <w:t>1.1.2</w:t>
        </w:r>
        <w:r w:rsidR="00FA5DE6">
          <w:rPr>
            <w:rFonts w:asciiTheme="minorHAnsi" w:eastAsiaTheme="minorEastAsia" w:hAnsiTheme="minorHAnsi" w:cstheme="minorBidi"/>
            <w:i w:val="0"/>
            <w:iCs w:val="0"/>
            <w:noProof/>
            <w:sz w:val="22"/>
            <w:szCs w:val="22"/>
            <w:lang w:eastAsia="cs-CZ"/>
          </w:rPr>
          <w:tab/>
        </w:r>
        <w:r w:rsidR="00FA5DE6" w:rsidRPr="00540E32">
          <w:rPr>
            <w:rStyle w:val="Hypertextovodkaz"/>
            <w:rFonts w:ascii="Times New Roman" w:hAnsi="Times New Roman" w:cs="Times New Roman"/>
            <w:noProof/>
          </w:rPr>
          <w:t>Infrastruktura</w:t>
        </w:r>
        <w:r w:rsidR="00FA5DE6">
          <w:rPr>
            <w:noProof/>
            <w:webHidden/>
          </w:rPr>
          <w:tab/>
        </w:r>
        <w:r w:rsidR="00FA5DE6">
          <w:rPr>
            <w:noProof/>
            <w:webHidden/>
          </w:rPr>
          <w:fldChar w:fldCharType="begin"/>
        </w:r>
        <w:r w:rsidR="00FA5DE6">
          <w:rPr>
            <w:noProof/>
            <w:webHidden/>
          </w:rPr>
          <w:instrText xml:space="preserve"> PAGEREF _Toc374702860 \h </w:instrText>
        </w:r>
        <w:r w:rsidR="00FA5DE6">
          <w:rPr>
            <w:noProof/>
            <w:webHidden/>
          </w:rPr>
        </w:r>
        <w:r w:rsidR="00FA5DE6">
          <w:rPr>
            <w:noProof/>
            <w:webHidden/>
          </w:rPr>
          <w:fldChar w:fldCharType="separate"/>
        </w:r>
        <w:r w:rsidR="007C638F">
          <w:rPr>
            <w:noProof/>
            <w:webHidden/>
          </w:rPr>
          <w:t>41</w:t>
        </w:r>
        <w:r w:rsidR="00FA5DE6">
          <w:rPr>
            <w:noProof/>
            <w:webHidden/>
          </w:rPr>
          <w:fldChar w:fldCharType="end"/>
        </w:r>
      </w:hyperlink>
    </w:p>
    <w:p w:rsidR="00FA5DE6" w:rsidRDefault="00885D8C">
      <w:pPr>
        <w:pStyle w:val="Obsah4"/>
        <w:tabs>
          <w:tab w:val="left" w:pos="1540"/>
          <w:tab w:val="right" w:leader="dot" w:pos="9060"/>
        </w:tabs>
        <w:rPr>
          <w:rFonts w:asciiTheme="minorHAnsi" w:eastAsiaTheme="minorEastAsia" w:hAnsiTheme="minorHAnsi" w:cstheme="minorBidi"/>
          <w:noProof/>
          <w:sz w:val="22"/>
          <w:szCs w:val="22"/>
          <w:lang w:eastAsia="cs-CZ"/>
        </w:rPr>
      </w:pPr>
      <w:hyperlink w:anchor="_Toc374702861" w:history="1">
        <w:r w:rsidR="00FA5DE6" w:rsidRPr="00540E32">
          <w:rPr>
            <w:rStyle w:val="Hypertextovodkaz"/>
            <w:rFonts w:ascii="Times New Roman" w:hAnsi="Times New Roman" w:cs="Times New Roman"/>
            <w:noProof/>
          </w:rPr>
          <w:t>1.1.2.1</w:t>
        </w:r>
        <w:r w:rsidR="00FA5DE6">
          <w:rPr>
            <w:rFonts w:asciiTheme="minorHAnsi" w:eastAsiaTheme="minorEastAsia" w:hAnsiTheme="minorHAnsi" w:cstheme="minorBidi"/>
            <w:noProof/>
            <w:sz w:val="22"/>
            <w:szCs w:val="22"/>
            <w:lang w:eastAsia="cs-CZ"/>
          </w:rPr>
          <w:tab/>
        </w:r>
        <w:r w:rsidR="00FA5DE6" w:rsidRPr="00540E32">
          <w:rPr>
            <w:rStyle w:val="Hypertextovodkaz"/>
            <w:rFonts w:ascii="Times New Roman" w:hAnsi="Times New Roman" w:cs="Times New Roman"/>
            <w:noProof/>
          </w:rPr>
          <w:t>Dopravní infrastruktura a dostupnost/mobilita</w:t>
        </w:r>
        <w:r w:rsidR="00FA5DE6">
          <w:rPr>
            <w:noProof/>
            <w:webHidden/>
          </w:rPr>
          <w:tab/>
        </w:r>
        <w:r w:rsidR="00FA5DE6">
          <w:rPr>
            <w:noProof/>
            <w:webHidden/>
          </w:rPr>
          <w:fldChar w:fldCharType="begin"/>
        </w:r>
        <w:r w:rsidR="00FA5DE6">
          <w:rPr>
            <w:noProof/>
            <w:webHidden/>
          </w:rPr>
          <w:instrText xml:space="preserve"> PAGEREF _Toc374702861 \h </w:instrText>
        </w:r>
        <w:r w:rsidR="00FA5DE6">
          <w:rPr>
            <w:noProof/>
            <w:webHidden/>
          </w:rPr>
        </w:r>
        <w:r w:rsidR="00FA5DE6">
          <w:rPr>
            <w:noProof/>
            <w:webHidden/>
          </w:rPr>
          <w:fldChar w:fldCharType="separate"/>
        </w:r>
        <w:r w:rsidR="007C638F">
          <w:rPr>
            <w:noProof/>
            <w:webHidden/>
          </w:rPr>
          <w:t>41</w:t>
        </w:r>
        <w:r w:rsidR="00FA5DE6">
          <w:rPr>
            <w:noProof/>
            <w:webHidden/>
          </w:rPr>
          <w:fldChar w:fldCharType="end"/>
        </w:r>
      </w:hyperlink>
    </w:p>
    <w:p w:rsidR="00FA5DE6" w:rsidRDefault="00885D8C">
      <w:pPr>
        <w:pStyle w:val="Obsah4"/>
        <w:tabs>
          <w:tab w:val="left" w:pos="1540"/>
          <w:tab w:val="right" w:leader="dot" w:pos="9060"/>
        </w:tabs>
        <w:rPr>
          <w:rFonts w:asciiTheme="minorHAnsi" w:eastAsiaTheme="minorEastAsia" w:hAnsiTheme="minorHAnsi" w:cstheme="minorBidi"/>
          <w:noProof/>
          <w:sz w:val="22"/>
          <w:szCs w:val="22"/>
          <w:lang w:eastAsia="cs-CZ"/>
        </w:rPr>
      </w:pPr>
      <w:hyperlink w:anchor="_Toc374702862" w:history="1">
        <w:r w:rsidR="00FA5DE6" w:rsidRPr="00540E32">
          <w:rPr>
            <w:rStyle w:val="Hypertextovodkaz"/>
            <w:rFonts w:ascii="Times New Roman" w:hAnsi="Times New Roman" w:cs="Times New Roman"/>
            <w:noProof/>
          </w:rPr>
          <w:t>1.1.2.2</w:t>
        </w:r>
        <w:r w:rsidR="00FA5DE6">
          <w:rPr>
            <w:rFonts w:asciiTheme="minorHAnsi" w:eastAsiaTheme="minorEastAsia" w:hAnsiTheme="minorHAnsi" w:cstheme="minorBidi"/>
            <w:noProof/>
            <w:sz w:val="22"/>
            <w:szCs w:val="22"/>
            <w:lang w:eastAsia="cs-CZ"/>
          </w:rPr>
          <w:tab/>
        </w:r>
        <w:r w:rsidR="00FA5DE6" w:rsidRPr="00540E32">
          <w:rPr>
            <w:rStyle w:val="Hypertextovodkaz"/>
            <w:rFonts w:ascii="Times New Roman" w:hAnsi="Times New Roman" w:cs="Times New Roman"/>
            <w:noProof/>
          </w:rPr>
          <w:t>ICT infrastruktura</w:t>
        </w:r>
        <w:r w:rsidR="00FA5DE6">
          <w:rPr>
            <w:noProof/>
            <w:webHidden/>
          </w:rPr>
          <w:tab/>
        </w:r>
        <w:r w:rsidR="00FA5DE6">
          <w:rPr>
            <w:noProof/>
            <w:webHidden/>
          </w:rPr>
          <w:fldChar w:fldCharType="begin"/>
        </w:r>
        <w:r w:rsidR="00FA5DE6">
          <w:rPr>
            <w:noProof/>
            <w:webHidden/>
          </w:rPr>
          <w:instrText xml:space="preserve"> PAGEREF _Toc374702862 \h </w:instrText>
        </w:r>
        <w:r w:rsidR="00FA5DE6">
          <w:rPr>
            <w:noProof/>
            <w:webHidden/>
          </w:rPr>
        </w:r>
        <w:r w:rsidR="00FA5DE6">
          <w:rPr>
            <w:noProof/>
            <w:webHidden/>
          </w:rPr>
          <w:fldChar w:fldCharType="separate"/>
        </w:r>
        <w:r w:rsidR="007C638F">
          <w:rPr>
            <w:noProof/>
            <w:webHidden/>
          </w:rPr>
          <w:t>47</w:t>
        </w:r>
        <w:r w:rsidR="00FA5DE6">
          <w:rPr>
            <w:noProof/>
            <w:webHidden/>
          </w:rPr>
          <w:fldChar w:fldCharType="end"/>
        </w:r>
      </w:hyperlink>
    </w:p>
    <w:p w:rsidR="00FA5DE6" w:rsidRDefault="00885D8C">
      <w:pPr>
        <w:pStyle w:val="Obsah4"/>
        <w:tabs>
          <w:tab w:val="left" w:pos="1540"/>
          <w:tab w:val="right" w:leader="dot" w:pos="9060"/>
        </w:tabs>
        <w:rPr>
          <w:rFonts w:asciiTheme="minorHAnsi" w:eastAsiaTheme="minorEastAsia" w:hAnsiTheme="minorHAnsi" w:cstheme="minorBidi"/>
          <w:noProof/>
          <w:sz w:val="22"/>
          <w:szCs w:val="22"/>
          <w:lang w:eastAsia="cs-CZ"/>
        </w:rPr>
      </w:pPr>
      <w:hyperlink w:anchor="_Toc374702863" w:history="1">
        <w:r w:rsidR="00FA5DE6" w:rsidRPr="00540E32">
          <w:rPr>
            <w:rStyle w:val="Hypertextovodkaz"/>
            <w:rFonts w:ascii="Times New Roman" w:hAnsi="Times New Roman" w:cs="Times New Roman"/>
            <w:noProof/>
          </w:rPr>
          <w:t>1.1.2.3</w:t>
        </w:r>
        <w:r w:rsidR="00FA5DE6">
          <w:rPr>
            <w:rFonts w:asciiTheme="minorHAnsi" w:eastAsiaTheme="minorEastAsia" w:hAnsiTheme="minorHAnsi" w:cstheme="minorBidi"/>
            <w:noProof/>
            <w:sz w:val="22"/>
            <w:szCs w:val="22"/>
            <w:lang w:eastAsia="cs-CZ"/>
          </w:rPr>
          <w:tab/>
        </w:r>
        <w:r w:rsidR="00FA5DE6" w:rsidRPr="00540E32">
          <w:rPr>
            <w:rStyle w:val="Hypertextovodkaz"/>
            <w:rFonts w:ascii="Times New Roman" w:hAnsi="Times New Roman" w:cs="Times New Roman"/>
            <w:noProof/>
          </w:rPr>
          <w:t>Energetická infrastruktura</w:t>
        </w:r>
        <w:r w:rsidR="00FA5DE6">
          <w:rPr>
            <w:noProof/>
            <w:webHidden/>
          </w:rPr>
          <w:tab/>
        </w:r>
        <w:r w:rsidR="00FA5DE6">
          <w:rPr>
            <w:noProof/>
            <w:webHidden/>
          </w:rPr>
          <w:fldChar w:fldCharType="begin"/>
        </w:r>
        <w:r w:rsidR="00FA5DE6">
          <w:rPr>
            <w:noProof/>
            <w:webHidden/>
          </w:rPr>
          <w:instrText xml:space="preserve"> PAGEREF _Toc374702863 \h </w:instrText>
        </w:r>
        <w:r w:rsidR="00FA5DE6">
          <w:rPr>
            <w:noProof/>
            <w:webHidden/>
          </w:rPr>
        </w:r>
        <w:r w:rsidR="00FA5DE6">
          <w:rPr>
            <w:noProof/>
            <w:webHidden/>
          </w:rPr>
          <w:fldChar w:fldCharType="separate"/>
        </w:r>
        <w:r w:rsidR="007C638F">
          <w:rPr>
            <w:noProof/>
            <w:webHidden/>
          </w:rPr>
          <w:t>50</w:t>
        </w:r>
        <w:r w:rsidR="00FA5DE6">
          <w:rPr>
            <w:noProof/>
            <w:webHidden/>
          </w:rPr>
          <w:fldChar w:fldCharType="end"/>
        </w:r>
      </w:hyperlink>
    </w:p>
    <w:p w:rsidR="00FA5DE6" w:rsidRDefault="00885D8C">
      <w:pPr>
        <w:pStyle w:val="Obsah3"/>
        <w:tabs>
          <w:tab w:val="left" w:pos="1100"/>
          <w:tab w:val="right" w:leader="dot" w:pos="9060"/>
        </w:tabs>
        <w:rPr>
          <w:rFonts w:asciiTheme="minorHAnsi" w:eastAsiaTheme="minorEastAsia" w:hAnsiTheme="minorHAnsi" w:cstheme="minorBidi"/>
          <w:i w:val="0"/>
          <w:iCs w:val="0"/>
          <w:noProof/>
          <w:sz w:val="22"/>
          <w:szCs w:val="22"/>
          <w:lang w:eastAsia="cs-CZ"/>
        </w:rPr>
      </w:pPr>
      <w:hyperlink w:anchor="_Toc374702864" w:history="1">
        <w:r w:rsidR="00FA5DE6" w:rsidRPr="00540E32">
          <w:rPr>
            <w:rStyle w:val="Hypertextovodkaz"/>
            <w:rFonts w:ascii="Times New Roman" w:hAnsi="Times New Roman" w:cs="Times New Roman"/>
            <w:noProof/>
          </w:rPr>
          <w:t>1.1.3</w:t>
        </w:r>
        <w:r w:rsidR="00FA5DE6">
          <w:rPr>
            <w:rFonts w:asciiTheme="minorHAnsi" w:eastAsiaTheme="minorEastAsia" w:hAnsiTheme="minorHAnsi" w:cstheme="minorBidi"/>
            <w:i w:val="0"/>
            <w:iCs w:val="0"/>
            <w:noProof/>
            <w:sz w:val="22"/>
            <w:szCs w:val="22"/>
            <w:lang w:eastAsia="cs-CZ"/>
          </w:rPr>
          <w:tab/>
        </w:r>
        <w:r w:rsidR="00FA5DE6" w:rsidRPr="00540E32">
          <w:rPr>
            <w:rStyle w:val="Hypertextovodkaz"/>
            <w:rFonts w:ascii="Times New Roman" w:hAnsi="Times New Roman" w:cs="Times New Roman"/>
            <w:noProof/>
          </w:rPr>
          <w:t>Veřejná správa</w:t>
        </w:r>
        <w:r w:rsidR="00FA5DE6">
          <w:rPr>
            <w:noProof/>
            <w:webHidden/>
          </w:rPr>
          <w:tab/>
        </w:r>
        <w:r w:rsidR="00FA5DE6">
          <w:rPr>
            <w:noProof/>
            <w:webHidden/>
          </w:rPr>
          <w:fldChar w:fldCharType="begin"/>
        </w:r>
        <w:r w:rsidR="00FA5DE6">
          <w:rPr>
            <w:noProof/>
            <w:webHidden/>
          </w:rPr>
          <w:instrText xml:space="preserve"> PAGEREF _Toc374702864 \h </w:instrText>
        </w:r>
        <w:r w:rsidR="00FA5DE6">
          <w:rPr>
            <w:noProof/>
            <w:webHidden/>
          </w:rPr>
        </w:r>
        <w:r w:rsidR="00FA5DE6">
          <w:rPr>
            <w:noProof/>
            <w:webHidden/>
          </w:rPr>
          <w:fldChar w:fldCharType="separate"/>
        </w:r>
        <w:r w:rsidR="007C638F">
          <w:rPr>
            <w:noProof/>
            <w:webHidden/>
          </w:rPr>
          <w:t>54</w:t>
        </w:r>
        <w:r w:rsidR="00FA5DE6">
          <w:rPr>
            <w:noProof/>
            <w:webHidden/>
          </w:rPr>
          <w:fldChar w:fldCharType="end"/>
        </w:r>
      </w:hyperlink>
    </w:p>
    <w:p w:rsidR="00FA5DE6" w:rsidRDefault="00885D8C">
      <w:pPr>
        <w:pStyle w:val="Obsah3"/>
        <w:tabs>
          <w:tab w:val="left" w:pos="1100"/>
          <w:tab w:val="right" w:leader="dot" w:pos="9060"/>
        </w:tabs>
        <w:rPr>
          <w:rFonts w:asciiTheme="minorHAnsi" w:eastAsiaTheme="minorEastAsia" w:hAnsiTheme="minorHAnsi" w:cstheme="minorBidi"/>
          <w:i w:val="0"/>
          <w:iCs w:val="0"/>
          <w:noProof/>
          <w:sz w:val="22"/>
          <w:szCs w:val="22"/>
          <w:lang w:eastAsia="cs-CZ"/>
        </w:rPr>
      </w:pPr>
      <w:hyperlink w:anchor="_Toc374702865" w:history="1">
        <w:r w:rsidR="00FA5DE6" w:rsidRPr="00540E32">
          <w:rPr>
            <w:rStyle w:val="Hypertextovodkaz"/>
            <w:rFonts w:ascii="Times New Roman" w:hAnsi="Times New Roman" w:cs="Times New Roman"/>
            <w:noProof/>
          </w:rPr>
          <w:t>1.1.4</w:t>
        </w:r>
        <w:r w:rsidR="00FA5DE6">
          <w:rPr>
            <w:rFonts w:asciiTheme="minorHAnsi" w:eastAsiaTheme="minorEastAsia" w:hAnsiTheme="minorHAnsi" w:cstheme="minorBidi"/>
            <w:i w:val="0"/>
            <w:iCs w:val="0"/>
            <w:noProof/>
            <w:sz w:val="22"/>
            <w:szCs w:val="22"/>
            <w:lang w:eastAsia="cs-CZ"/>
          </w:rPr>
          <w:tab/>
        </w:r>
        <w:r w:rsidR="00FA5DE6" w:rsidRPr="00540E32">
          <w:rPr>
            <w:rStyle w:val="Hypertextovodkaz"/>
            <w:rFonts w:ascii="Times New Roman" w:hAnsi="Times New Roman" w:cs="Times New Roman"/>
            <w:noProof/>
          </w:rPr>
          <w:t>Sociální začleňování, boj s chudobou a systém péče o zdraví</w:t>
        </w:r>
        <w:r w:rsidR="00FA5DE6">
          <w:rPr>
            <w:noProof/>
            <w:webHidden/>
          </w:rPr>
          <w:tab/>
        </w:r>
        <w:r w:rsidR="00FA5DE6">
          <w:rPr>
            <w:noProof/>
            <w:webHidden/>
          </w:rPr>
          <w:fldChar w:fldCharType="begin"/>
        </w:r>
        <w:r w:rsidR="00FA5DE6">
          <w:rPr>
            <w:noProof/>
            <w:webHidden/>
          </w:rPr>
          <w:instrText xml:space="preserve"> PAGEREF _Toc374702865 \h </w:instrText>
        </w:r>
        <w:r w:rsidR="00FA5DE6">
          <w:rPr>
            <w:noProof/>
            <w:webHidden/>
          </w:rPr>
        </w:r>
        <w:r w:rsidR="00FA5DE6">
          <w:rPr>
            <w:noProof/>
            <w:webHidden/>
          </w:rPr>
          <w:fldChar w:fldCharType="separate"/>
        </w:r>
        <w:r w:rsidR="007C638F">
          <w:rPr>
            <w:noProof/>
            <w:webHidden/>
          </w:rPr>
          <w:t>61</w:t>
        </w:r>
        <w:r w:rsidR="00FA5DE6">
          <w:rPr>
            <w:noProof/>
            <w:webHidden/>
          </w:rPr>
          <w:fldChar w:fldCharType="end"/>
        </w:r>
      </w:hyperlink>
    </w:p>
    <w:p w:rsidR="00FA5DE6" w:rsidRDefault="00885D8C">
      <w:pPr>
        <w:pStyle w:val="Obsah3"/>
        <w:tabs>
          <w:tab w:val="left" w:pos="1100"/>
          <w:tab w:val="right" w:leader="dot" w:pos="9060"/>
        </w:tabs>
        <w:rPr>
          <w:rFonts w:asciiTheme="minorHAnsi" w:eastAsiaTheme="minorEastAsia" w:hAnsiTheme="minorHAnsi" w:cstheme="minorBidi"/>
          <w:i w:val="0"/>
          <w:iCs w:val="0"/>
          <w:noProof/>
          <w:sz w:val="22"/>
          <w:szCs w:val="22"/>
          <w:lang w:eastAsia="cs-CZ"/>
        </w:rPr>
      </w:pPr>
      <w:hyperlink w:anchor="_Toc374702866" w:history="1">
        <w:r w:rsidR="00FA5DE6" w:rsidRPr="00540E32">
          <w:rPr>
            <w:rStyle w:val="Hypertextovodkaz"/>
            <w:rFonts w:ascii="Times New Roman" w:hAnsi="Times New Roman" w:cs="Times New Roman"/>
            <w:noProof/>
          </w:rPr>
          <w:t>1.1.5</w:t>
        </w:r>
        <w:r w:rsidR="00FA5DE6">
          <w:rPr>
            <w:rFonts w:asciiTheme="minorHAnsi" w:eastAsiaTheme="minorEastAsia" w:hAnsiTheme="minorHAnsi" w:cstheme="minorBidi"/>
            <w:i w:val="0"/>
            <w:iCs w:val="0"/>
            <w:noProof/>
            <w:sz w:val="22"/>
            <w:szCs w:val="22"/>
            <w:lang w:eastAsia="cs-CZ"/>
          </w:rPr>
          <w:tab/>
        </w:r>
        <w:r w:rsidR="00FA5DE6" w:rsidRPr="00540E32">
          <w:rPr>
            <w:rStyle w:val="Hypertextovodkaz"/>
            <w:rFonts w:ascii="Times New Roman" w:hAnsi="Times New Roman" w:cs="Times New Roman"/>
            <w:noProof/>
          </w:rPr>
          <w:t>Životní prostředí</w:t>
        </w:r>
        <w:r w:rsidR="00FA5DE6">
          <w:rPr>
            <w:noProof/>
            <w:webHidden/>
          </w:rPr>
          <w:tab/>
        </w:r>
        <w:r w:rsidR="00FA5DE6">
          <w:rPr>
            <w:noProof/>
            <w:webHidden/>
          </w:rPr>
          <w:fldChar w:fldCharType="begin"/>
        </w:r>
        <w:r w:rsidR="00FA5DE6">
          <w:rPr>
            <w:noProof/>
            <w:webHidden/>
          </w:rPr>
          <w:instrText xml:space="preserve"> PAGEREF _Toc374702866 \h </w:instrText>
        </w:r>
        <w:r w:rsidR="00FA5DE6">
          <w:rPr>
            <w:noProof/>
            <w:webHidden/>
          </w:rPr>
        </w:r>
        <w:r w:rsidR="00FA5DE6">
          <w:rPr>
            <w:noProof/>
            <w:webHidden/>
          </w:rPr>
          <w:fldChar w:fldCharType="separate"/>
        </w:r>
        <w:r w:rsidR="007C638F">
          <w:rPr>
            <w:noProof/>
            <w:webHidden/>
          </w:rPr>
          <w:t>71</w:t>
        </w:r>
        <w:r w:rsidR="00FA5DE6">
          <w:rPr>
            <w:noProof/>
            <w:webHidden/>
          </w:rPr>
          <w:fldChar w:fldCharType="end"/>
        </w:r>
      </w:hyperlink>
    </w:p>
    <w:p w:rsidR="00FA5DE6" w:rsidRDefault="00885D8C">
      <w:pPr>
        <w:pStyle w:val="Obsah4"/>
        <w:tabs>
          <w:tab w:val="left" w:pos="1540"/>
          <w:tab w:val="right" w:leader="dot" w:pos="9060"/>
        </w:tabs>
        <w:rPr>
          <w:rFonts w:asciiTheme="minorHAnsi" w:eastAsiaTheme="minorEastAsia" w:hAnsiTheme="minorHAnsi" w:cstheme="minorBidi"/>
          <w:noProof/>
          <w:sz w:val="22"/>
          <w:szCs w:val="22"/>
          <w:lang w:eastAsia="cs-CZ"/>
        </w:rPr>
      </w:pPr>
      <w:hyperlink w:anchor="_Toc374702867" w:history="1">
        <w:r w:rsidR="00FA5DE6" w:rsidRPr="00540E32">
          <w:rPr>
            <w:rStyle w:val="Hypertextovodkaz"/>
            <w:rFonts w:ascii="Times New Roman" w:hAnsi="Times New Roman" w:cs="Times New Roman"/>
            <w:noProof/>
          </w:rPr>
          <w:t>1.1.5.1</w:t>
        </w:r>
        <w:r w:rsidR="00FA5DE6">
          <w:rPr>
            <w:rFonts w:asciiTheme="minorHAnsi" w:eastAsiaTheme="minorEastAsia" w:hAnsiTheme="minorHAnsi" w:cstheme="minorBidi"/>
            <w:noProof/>
            <w:sz w:val="22"/>
            <w:szCs w:val="22"/>
            <w:lang w:eastAsia="cs-CZ"/>
          </w:rPr>
          <w:tab/>
        </w:r>
        <w:r w:rsidR="00FA5DE6" w:rsidRPr="00540E32">
          <w:rPr>
            <w:rStyle w:val="Hypertextovodkaz"/>
            <w:rFonts w:ascii="Times New Roman" w:hAnsi="Times New Roman" w:cs="Times New Roman"/>
            <w:noProof/>
          </w:rPr>
          <w:t>Ochrana životního prostředí</w:t>
        </w:r>
        <w:r w:rsidR="00FA5DE6">
          <w:rPr>
            <w:noProof/>
            <w:webHidden/>
          </w:rPr>
          <w:tab/>
        </w:r>
        <w:r w:rsidR="00FA5DE6">
          <w:rPr>
            <w:noProof/>
            <w:webHidden/>
          </w:rPr>
          <w:fldChar w:fldCharType="begin"/>
        </w:r>
        <w:r w:rsidR="00FA5DE6">
          <w:rPr>
            <w:noProof/>
            <w:webHidden/>
          </w:rPr>
          <w:instrText xml:space="preserve"> PAGEREF _Toc374702867 \h </w:instrText>
        </w:r>
        <w:r w:rsidR="00FA5DE6">
          <w:rPr>
            <w:noProof/>
            <w:webHidden/>
          </w:rPr>
        </w:r>
        <w:r w:rsidR="00FA5DE6">
          <w:rPr>
            <w:noProof/>
            <w:webHidden/>
          </w:rPr>
          <w:fldChar w:fldCharType="separate"/>
        </w:r>
        <w:r w:rsidR="007C638F">
          <w:rPr>
            <w:noProof/>
            <w:webHidden/>
          </w:rPr>
          <w:t>71</w:t>
        </w:r>
        <w:r w:rsidR="00FA5DE6">
          <w:rPr>
            <w:noProof/>
            <w:webHidden/>
          </w:rPr>
          <w:fldChar w:fldCharType="end"/>
        </w:r>
      </w:hyperlink>
    </w:p>
    <w:p w:rsidR="00FA5DE6" w:rsidRDefault="00885D8C">
      <w:pPr>
        <w:pStyle w:val="Obsah4"/>
        <w:tabs>
          <w:tab w:val="left" w:pos="1540"/>
          <w:tab w:val="right" w:leader="dot" w:pos="9060"/>
        </w:tabs>
        <w:rPr>
          <w:rFonts w:asciiTheme="minorHAnsi" w:eastAsiaTheme="minorEastAsia" w:hAnsiTheme="minorHAnsi" w:cstheme="minorBidi"/>
          <w:noProof/>
          <w:sz w:val="22"/>
          <w:szCs w:val="22"/>
          <w:lang w:eastAsia="cs-CZ"/>
        </w:rPr>
      </w:pPr>
      <w:hyperlink w:anchor="_Toc374702868" w:history="1">
        <w:r w:rsidR="00FA5DE6" w:rsidRPr="00540E32">
          <w:rPr>
            <w:rStyle w:val="Hypertextovodkaz"/>
            <w:rFonts w:ascii="Times New Roman" w:hAnsi="Times New Roman" w:cs="Times New Roman"/>
            <w:noProof/>
          </w:rPr>
          <w:t>1.1.5.2</w:t>
        </w:r>
        <w:r w:rsidR="00FA5DE6">
          <w:rPr>
            <w:rFonts w:asciiTheme="minorHAnsi" w:eastAsiaTheme="minorEastAsia" w:hAnsiTheme="minorHAnsi" w:cstheme="minorBidi"/>
            <w:noProof/>
            <w:sz w:val="22"/>
            <w:szCs w:val="22"/>
            <w:lang w:eastAsia="cs-CZ"/>
          </w:rPr>
          <w:tab/>
        </w:r>
        <w:r w:rsidR="00FA5DE6" w:rsidRPr="00540E32">
          <w:rPr>
            <w:rStyle w:val="Hypertextovodkaz"/>
            <w:rFonts w:ascii="Times New Roman" w:hAnsi="Times New Roman" w:cs="Times New Roman"/>
            <w:noProof/>
          </w:rPr>
          <w:t>Změna klimatu a prevence rizik a katastrof</w:t>
        </w:r>
        <w:r w:rsidR="00FA5DE6">
          <w:rPr>
            <w:noProof/>
            <w:webHidden/>
          </w:rPr>
          <w:tab/>
        </w:r>
        <w:r w:rsidR="00FA5DE6">
          <w:rPr>
            <w:noProof/>
            <w:webHidden/>
          </w:rPr>
          <w:fldChar w:fldCharType="begin"/>
        </w:r>
        <w:r w:rsidR="00FA5DE6">
          <w:rPr>
            <w:noProof/>
            <w:webHidden/>
          </w:rPr>
          <w:instrText xml:space="preserve"> PAGEREF _Toc374702868 \h </w:instrText>
        </w:r>
        <w:r w:rsidR="00FA5DE6">
          <w:rPr>
            <w:noProof/>
            <w:webHidden/>
          </w:rPr>
        </w:r>
        <w:r w:rsidR="00FA5DE6">
          <w:rPr>
            <w:noProof/>
            <w:webHidden/>
          </w:rPr>
          <w:fldChar w:fldCharType="separate"/>
        </w:r>
        <w:r w:rsidR="007C638F">
          <w:rPr>
            <w:noProof/>
            <w:webHidden/>
          </w:rPr>
          <w:t>79</w:t>
        </w:r>
        <w:r w:rsidR="00FA5DE6">
          <w:rPr>
            <w:noProof/>
            <w:webHidden/>
          </w:rPr>
          <w:fldChar w:fldCharType="end"/>
        </w:r>
      </w:hyperlink>
    </w:p>
    <w:p w:rsidR="00FA5DE6" w:rsidRDefault="00885D8C">
      <w:pPr>
        <w:pStyle w:val="Obsah3"/>
        <w:tabs>
          <w:tab w:val="right" w:leader="dot" w:pos="9060"/>
        </w:tabs>
        <w:rPr>
          <w:rFonts w:asciiTheme="minorHAnsi" w:eastAsiaTheme="minorEastAsia" w:hAnsiTheme="minorHAnsi" w:cstheme="minorBidi"/>
          <w:i w:val="0"/>
          <w:iCs w:val="0"/>
          <w:noProof/>
          <w:sz w:val="22"/>
          <w:szCs w:val="22"/>
          <w:lang w:eastAsia="cs-CZ"/>
        </w:rPr>
      </w:pPr>
      <w:hyperlink w:anchor="_Toc374702869" w:history="1">
        <w:r w:rsidR="00FA5DE6" w:rsidRPr="00540E32">
          <w:rPr>
            <w:rStyle w:val="Hypertextovodkaz"/>
            <w:rFonts w:ascii="Times New Roman" w:hAnsi="Times New Roman" w:cs="Times New Roman"/>
            <w:noProof/>
          </w:rPr>
          <w:t>Transfer prostředků mezi kategoriemi regionů</w:t>
        </w:r>
        <w:r w:rsidR="00FA5DE6">
          <w:rPr>
            <w:noProof/>
            <w:webHidden/>
          </w:rPr>
          <w:tab/>
        </w:r>
        <w:r w:rsidR="00FA5DE6">
          <w:rPr>
            <w:noProof/>
            <w:webHidden/>
          </w:rPr>
          <w:fldChar w:fldCharType="begin"/>
        </w:r>
        <w:r w:rsidR="00FA5DE6">
          <w:rPr>
            <w:noProof/>
            <w:webHidden/>
          </w:rPr>
          <w:instrText xml:space="preserve"> PAGEREF _Toc374702869 \h </w:instrText>
        </w:r>
        <w:r w:rsidR="00FA5DE6">
          <w:rPr>
            <w:noProof/>
            <w:webHidden/>
          </w:rPr>
        </w:r>
        <w:r w:rsidR="00FA5DE6">
          <w:rPr>
            <w:noProof/>
            <w:webHidden/>
          </w:rPr>
          <w:fldChar w:fldCharType="separate"/>
        </w:r>
        <w:r w:rsidR="007C638F">
          <w:rPr>
            <w:noProof/>
            <w:webHidden/>
          </w:rPr>
          <w:t>82</w:t>
        </w:r>
        <w:r w:rsidR="00FA5DE6">
          <w:rPr>
            <w:noProof/>
            <w:webHidden/>
          </w:rPr>
          <w:fldChar w:fldCharType="end"/>
        </w:r>
      </w:hyperlink>
    </w:p>
    <w:p w:rsidR="00FA5DE6" w:rsidRDefault="00885D8C">
      <w:pPr>
        <w:pStyle w:val="Obsah2"/>
        <w:tabs>
          <w:tab w:val="right" w:leader="dot" w:pos="9060"/>
        </w:tabs>
        <w:rPr>
          <w:rFonts w:asciiTheme="minorHAnsi" w:eastAsiaTheme="minorEastAsia" w:hAnsiTheme="minorHAnsi" w:cstheme="minorBidi"/>
          <w:smallCaps w:val="0"/>
          <w:noProof/>
          <w:sz w:val="22"/>
          <w:szCs w:val="22"/>
          <w:lang w:eastAsia="cs-CZ"/>
        </w:rPr>
      </w:pPr>
      <w:hyperlink w:anchor="_Toc374702870" w:history="1">
        <w:r w:rsidR="00FA5DE6" w:rsidRPr="00540E32">
          <w:rPr>
            <w:rStyle w:val="Hypertextovodkaz"/>
            <w:noProof/>
          </w:rPr>
          <w:t>Priority financování České republiky</w:t>
        </w:r>
        <w:r w:rsidR="00FA5DE6">
          <w:rPr>
            <w:noProof/>
            <w:webHidden/>
          </w:rPr>
          <w:tab/>
        </w:r>
        <w:r w:rsidR="00FA5DE6">
          <w:rPr>
            <w:noProof/>
            <w:webHidden/>
          </w:rPr>
          <w:fldChar w:fldCharType="begin"/>
        </w:r>
        <w:r w:rsidR="00FA5DE6">
          <w:rPr>
            <w:noProof/>
            <w:webHidden/>
          </w:rPr>
          <w:instrText xml:space="preserve"> PAGEREF _Toc374702870 \h </w:instrText>
        </w:r>
        <w:r w:rsidR="00FA5DE6">
          <w:rPr>
            <w:noProof/>
            <w:webHidden/>
          </w:rPr>
        </w:r>
        <w:r w:rsidR="00FA5DE6">
          <w:rPr>
            <w:noProof/>
            <w:webHidden/>
          </w:rPr>
          <w:fldChar w:fldCharType="separate"/>
        </w:r>
        <w:r w:rsidR="007C638F">
          <w:rPr>
            <w:noProof/>
            <w:webHidden/>
          </w:rPr>
          <w:t>86</w:t>
        </w:r>
        <w:r w:rsidR="00FA5DE6">
          <w:rPr>
            <w:noProof/>
            <w:webHidden/>
          </w:rPr>
          <w:fldChar w:fldCharType="end"/>
        </w:r>
      </w:hyperlink>
    </w:p>
    <w:p w:rsidR="00FA5DE6" w:rsidRDefault="00885D8C">
      <w:pPr>
        <w:pStyle w:val="Obsah2"/>
        <w:tabs>
          <w:tab w:val="left" w:pos="880"/>
          <w:tab w:val="right" w:leader="dot" w:pos="9060"/>
        </w:tabs>
        <w:rPr>
          <w:rFonts w:asciiTheme="minorHAnsi" w:eastAsiaTheme="minorEastAsia" w:hAnsiTheme="minorHAnsi" w:cstheme="minorBidi"/>
          <w:smallCaps w:val="0"/>
          <w:noProof/>
          <w:sz w:val="22"/>
          <w:szCs w:val="22"/>
          <w:lang w:eastAsia="cs-CZ"/>
        </w:rPr>
      </w:pPr>
      <w:hyperlink w:anchor="_Toc374702871" w:history="1">
        <w:r w:rsidR="00FA5DE6" w:rsidRPr="00540E32">
          <w:rPr>
            <w:rStyle w:val="Hypertextovodkaz"/>
            <w:noProof/>
          </w:rPr>
          <w:t>1.2</w:t>
        </w:r>
        <w:r w:rsidR="00FA5DE6">
          <w:rPr>
            <w:rFonts w:asciiTheme="minorHAnsi" w:eastAsiaTheme="minorEastAsia" w:hAnsiTheme="minorHAnsi" w:cstheme="minorBidi"/>
            <w:smallCaps w:val="0"/>
            <w:noProof/>
            <w:sz w:val="22"/>
            <w:szCs w:val="22"/>
            <w:lang w:eastAsia="cs-CZ"/>
          </w:rPr>
          <w:tab/>
        </w:r>
        <w:r w:rsidR="00FA5DE6" w:rsidRPr="00540E32">
          <w:rPr>
            <w:rStyle w:val="Hypertextovodkaz"/>
            <w:noProof/>
          </w:rPr>
          <w:t>Souhrn ex ante evaluací programů, popřípadě klíčová zjištění ex ante evaluací Dohody</w:t>
        </w:r>
        <w:r w:rsidR="00FA5DE6">
          <w:rPr>
            <w:noProof/>
            <w:webHidden/>
          </w:rPr>
          <w:tab/>
        </w:r>
        <w:r w:rsidR="00FA5DE6">
          <w:rPr>
            <w:noProof/>
            <w:webHidden/>
          </w:rPr>
          <w:fldChar w:fldCharType="begin"/>
        </w:r>
        <w:r w:rsidR="00FA5DE6">
          <w:rPr>
            <w:noProof/>
            <w:webHidden/>
          </w:rPr>
          <w:instrText xml:space="preserve"> PAGEREF _Toc374702871 \h </w:instrText>
        </w:r>
        <w:r w:rsidR="00FA5DE6">
          <w:rPr>
            <w:noProof/>
            <w:webHidden/>
          </w:rPr>
        </w:r>
        <w:r w:rsidR="00FA5DE6">
          <w:rPr>
            <w:noProof/>
            <w:webHidden/>
          </w:rPr>
          <w:fldChar w:fldCharType="separate"/>
        </w:r>
        <w:r w:rsidR="007C638F">
          <w:rPr>
            <w:noProof/>
            <w:webHidden/>
          </w:rPr>
          <w:t>89</w:t>
        </w:r>
        <w:r w:rsidR="00FA5DE6">
          <w:rPr>
            <w:noProof/>
            <w:webHidden/>
          </w:rPr>
          <w:fldChar w:fldCharType="end"/>
        </w:r>
      </w:hyperlink>
    </w:p>
    <w:p w:rsidR="00FA5DE6" w:rsidRDefault="00885D8C">
      <w:pPr>
        <w:pStyle w:val="Obsah3"/>
        <w:tabs>
          <w:tab w:val="left" w:pos="1100"/>
          <w:tab w:val="right" w:leader="dot" w:pos="9060"/>
        </w:tabs>
        <w:rPr>
          <w:rFonts w:asciiTheme="minorHAnsi" w:eastAsiaTheme="minorEastAsia" w:hAnsiTheme="minorHAnsi" w:cstheme="minorBidi"/>
          <w:i w:val="0"/>
          <w:iCs w:val="0"/>
          <w:noProof/>
          <w:sz w:val="22"/>
          <w:szCs w:val="22"/>
          <w:lang w:eastAsia="cs-CZ"/>
        </w:rPr>
      </w:pPr>
      <w:hyperlink w:anchor="_Toc374702872" w:history="1">
        <w:r w:rsidR="00FA5DE6" w:rsidRPr="00540E32">
          <w:rPr>
            <w:rStyle w:val="Hypertextovodkaz"/>
            <w:rFonts w:ascii="Times New Roman" w:hAnsi="Times New Roman" w:cs="Times New Roman"/>
            <w:noProof/>
          </w:rPr>
          <w:t>1.2.1</w:t>
        </w:r>
        <w:r w:rsidR="00FA5DE6">
          <w:rPr>
            <w:rFonts w:asciiTheme="minorHAnsi" w:eastAsiaTheme="minorEastAsia" w:hAnsiTheme="minorHAnsi" w:cstheme="minorBidi"/>
            <w:i w:val="0"/>
            <w:iCs w:val="0"/>
            <w:noProof/>
            <w:sz w:val="22"/>
            <w:szCs w:val="22"/>
            <w:lang w:eastAsia="cs-CZ"/>
          </w:rPr>
          <w:tab/>
        </w:r>
        <w:r w:rsidR="00FA5DE6" w:rsidRPr="00540E32">
          <w:rPr>
            <w:rStyle w:val="Hypertextovodkaz"/>
            <w:rFonts w:ascii="Times New Roman" w:hAnsi="Times New Roman" w:cs="Times New Roman"/>
            <w:noProof/>
          </w:rPr>
          <w:t>Stručné shrnutí hlavních závěrů k analýze problémů a potřeb, strategii Dohody a rozdělení podle tematických cílů</w:t>
        </w:r>
        <w:r w:rsidR="00FA5DE6">
          <w:rPr>
            <w:noProof/>
            <w:webHidden/>
          </w:rPr>
          <w:tab/>
        </w:r>
        <w:r w:rsidR="00FA5DE6">
          <w:rPr>
            <w:noProof/>
            <w:webHidden/>
          </w:rPr>
          <w:fldChar w:fldCharType="begin"/>
        </w:r>
        <w:r w:rsidR="00FA5DE6">
          <w:rPr>
            <w:noProof/>
            <w:webHidden/>
          </w:rPr>
          <w:instrText xml:space="preserve"> PAGEREF _Toc374702872 \h </w:instrText>
        </w:r>
        <w:r w:rsidR="00FA5DE6">
          <w:rPr>
            <w:noProof/>
            <w:webHidden/>
          </w:rPr>
        </w:r>
        <w:r w:rsidR="00FA5DE6">
          <w:rPr>
            <w:noProof/>
            <w:webHidden/>
          </w:rPr>
          <w:fldChar w:fldCharType="separate"/>
        </w:r>
        <w:r w:rsidR="007C638F">
          <w:rPr>
            <w:noProof/>
            <w:webHidden/>
          </w:rPr>
          <w:t>89</w:t>
        </w:r>
        <w:r w:rsidR="00FA5DE6">
          <w:rPr>
            <w:noProof/>
            <w:webHidden/>
          </w:rPr>
          <w:fldChar w:fldCharType="end"/>
        </w:r>
      </w:hyperlink>
    </w:p>
    <w:p w:rsidR="00FA5DE6" w:rsidRDefault="00885D8C">
      <w:pPr>
        <w:pStyle w:val="Obsah3"/>
        <w:tabs>
          <w:tab w:val="left" w:pos="1100"/>
          <w:tab w:val="right" w:leader="dot" w:pos="9060"/>
        </w:tabs>
        <w:rPr>
          <w:rFonts w:asciiTheme="minorHAnsi" w:eastAsiaTheme="minorEastAsia" w:hAnsiTheme="minorHAnsi" w:cstheme="minorBidi"/>
          <w:i w:val="0"/>
          <w:iCs w:val="0"/>
          <w:noProof/>
          <w:sz w:val="22"/>
          <w:szCs w:val="22"/>
          <w:lang w:eastAsia="cs-CZ"/>
        </w:rPr>
      </w:pPr>
      <w:hyperlink w:anchor="_Toc374702873" w:history="1">
        <w:r w:rsidR="00FA5DE6" w:rsidRPr="00540E32">
          <w:rPr>
            <w:rStyle w:val="Hypertextovodkaz"/>
            <w:rFonts w:ascii="Times New Roman" w:hAnsi="Times New Roman" w:cs="Times New Roman"/>
            <w:noProof/>
          </w:rPr>
          <w:t>1.2.2</w:t>
        </w:r>
        <w:r w:rsidR="00FA5DE6">
          <w:rPr>
            <w:rFonts w:asciiTheme="minorHAnsi" w:eastAsiaTheme="minorEastAsia" w:hAnsiTheme="minorHAnsi" w:cstheme="minorBidi"/>
            <w:i w:val="0"/>
            <w:iCs w:val="0"/>
            <w:noProof/>
            <w:sz w:val="22"/>
            <w:szCs w:val="22"/>
            <w:lang w:eastAsia="cs-CZ"/>
          </w:rPr>
          <w:tab/>
        </w:r>
        <w:r w:rsidR="00FA5DE6" w:rsidRPr="00540E32">
          <w:rPr>
            <w:rStyle w:val="Hypertextovodkaz"/>
            <w:rFonts w:ascii="Times New Roman" w:hAnsi="Times New Roman" w:cs="Times New Roman"/>
            <w:noProof/>
          </w:rPr>
          <w:t>Zapojení partnerů</w:t>
        </w:r>
        <w:r w:rsidR="00FA5DE6">
          <w:rPr>
            <w:noProof/>
            <w:webHidden/>
          </w:rPr>
          <w:tab/>
        </w:r>
        <w:r w:rsidR="00FA5DE6">
          <w:rPr>
            <w:noProof/>
            <w:webHidden/>
          </w:rPr>
          <w:fldChar w:fldCharType="begin"/>
        </w:r>
        <w:r w:rsidR="00FA5DE6">
          <w:rPr>
            <w:noProof/>
            <w:webHidden/>
          </w:rPr>
          <w:instrText xml:space="preserve"> PAGEREF _Toc374702873 \h </w:instrText>
        </w:r>
        <w:r w:rsidR="00FA5DE6">
          <w:rPr>
            <w:noProof/>
            <w:webHidden/>
          </w:rPr>
        </w:r>
        <w:r w:rsidR="00FA5DE6">
          <w:rPr>
            <w:noProof/>
            <w:webHidden/>
          </w:rPr>
          <w:fldChar w:fldCharType="separate"/>
        </w:r>
        <w:r w:rsidR="007C638F">
          <w:rPr>
            <w:noProof/>
            <w:webHidden/>
          </w:rPr>
          <w:t>90</w:t>
        </w:r>
        <w:r w:rsidR="00FA5DE6">
          <w:rPr>
            <w:noProof/>
            <w:webHidden/>
          </w:rPr>
          <w:fldChar w:fldCharType="end"/>
        </w:r>
      </w:hyperlink>
    </w:p>
    <w:p w:rsidR="00FA5DE6" w:rsidRDefault="00885D8C">
      <w:pPr>
        <w:pStyle w:val="Obsah2"/>
        <w:tabs>
          <w:tab w:val="left" w:pos="880"/>
          <w:tab w:val="right" w:leader="dot" w:pos="9060"/>
        </w:tabs>
        <w:rPr>
          <w:rFonts w:asciiTheme="minorHAnsi" w:eastAsiaTheme="minorEastAsia" w:hAnsiTheme="minorHAnsi" w:cstheme="minorBidi"/>
          <w:smallCaps w:val="0"/>
          <w:noProof/>
          <w:sz w:val="22"/>
          <w:szCs w:val="22"/>
          <w:lang w:eastAsia="cs-CZ"/>
        </w:rPr>
      </w:pPr>
      <w:hyperlink w:anchor="_Toc374702874" w:history="1">
        <w:r w:rsidR="00FA5DE6" w:rsidRPr="00540E32">
          <w:rPr>
            <w:rStyle w:val="Hypertextovodkaz"/>
            <w:noProof/>
          </w:rPr>
          <w:t>1.3</w:t>
        </w:r>
        <w:r w:rsidR="00FA5DE6">
          <w:rPr>
            <w:rFonts w:asciiTheme="minorHAnsi" w:eastAsiaTheme="minorEastAsia" w:hAnsiTheme="minorHAnsi" w:cstheme="minorBidi"/>
            <w:smallCaps w:val="0"/>
            <w:noProof/>
            <w:sz w:val="22"/>
            <w:szCs w:val="22"/>
            <w:lang w:eastAsia="cs-CZ"/>
          </w:rPr>
          <w:tab/>
        </w:r>
        <w:r w:rsidR="00FA5DE6" w:rsidRPr="00540E32">
          <w:rPr>
            <w:rStyle w:val="Hypertextovodkaz"/>
            <w:noProof/>
          </w:rPr>
          <w:t>Vybrané tematické cíle a souhrn hlavních výsledků, očekávaných pro každý z fondů a pro každý tematický cíl</w:t>
        </w:r>
        <w:r w:rsidR="00FA5DE6">
          <w:rPr>
            <w:noProof/>
            <w:webHidden/>
          </w:rPr>
          <w:tab/>
        </w:r>
        <w:r w:rsidR="00FA5DE6">
          <w:rPr>
            <w:noProof/>
            <w:webHidden/>
          </w:rPr>
          <w:fldChar w:fldCharType="begin"/>
        </w:r>
        <w:r w:rsidR="00FA5DE6">
          <w:rPr>
            <w:noProof/>
            <w:webHidden/>
          </w:rPr>
          <w:instrText xml:space="preserve"> PAGEREF _Toc374702874 \h </w:instrText>
        </w:r>
        <w:r w:rsidR="00FA5DE6">
          <w:rPr>
            <w:noProof/>
            <w:webHidden/>
          </w:rPr>
        </w:r>
        <w:r w:rsidR="00FA5DE6">
          <w:rPr>
            <w:noProof/>
            <w:webHidden/>
          </w:rPr>
          <w:fldChar w:fldCharType="separate"/>
        </w:r>
        <w:r w:rsidR="007C638F">
          <w:rPr>
            <w:noProof/>
            <w:webHidden/>
          </w:rPr>
          <w:t>91</w:t>
        </w:r>
        <w:r w:rsidR="00FA5DE6">
          <w:rPr>
            <w:noProof/>
            <w:webHidden/>
          </w:rPr>
          <w:fldChar w:fldCharType="end"/>
        </w:r>
      </w:hyperlink>
    </w:p>
    <w:p w:rsidR="00FA5DE6" w:rsidRDefault="00885D8C">
      <w:pPr>
        <w:pStyle w:val="Obsah2"/>
        <w:tabs>
          <w:tab w:val="left" w:pos="880"/>
          <w:tab w:val="right" w:leader="dot" w:pos="9060"/>
        </w:tabs>
        <w:rPr>
          <w:rFonts w:asciiTheme="minorHAnsi" w:eastAsiaTheme="minorEastAsia" w:hAnsiTheme="minorHAnsi" w:cstheme="minorBidi"/>
          <w:smallCaps w:val="0"/>
          <w:noProof/>
          <w:sz w:val="22"/>
          <w:szCs w:val="22"/>
          <w:lang w:eastAsia="cs-CZ"/>
        </w:rPr>
      </w:pPr>
      <w:hyperlink w:anchor="_Toc374702875" w:history="1">
        <w:r w:rsidR="00FA5DE6" w:rsidRPr="00540E32">
          <w:rPr>
            <w:rStyle w:val="Hypertextovodkaz"/>
            <w:noProof/>
          </w:rPr>
          <w:t>1.4</w:t>
        </w:r>
        <w:r w:rsidR="00FA5DE6">
          <w:rPr>
            <w:rFonts w:asciiTheme="minorHAnsi" w:eastAsiaTheme="minorEastAsia" w:hAnsiTheme="minorHAnsi" w:cstheme="minorBidi"/>
            <w:smallCaps w:val="0"/>
            <w:noProof/>
            <w:sz w:val="22"/>
            <w:szCs w:val="22"/>
            <w:lang w:eastAsia="cs-CZ"/>
          </w:rPr>
          <w:tab/>
        </w:r>
        <w:r w:rsidR="00FA5DE6" w:rsidRPr="00540E32">
          <w:rPr>
            <w:rStyle w:val="Hypertextovodkaz"/>
            <w:noProof/>
          </w:rPr>
          <w:t>Indikativní alokace podpory Unie podle tematických cílů na národní úrovni pro každý fond a rovněž celkový indikativní objem podpory předpokládaný pro cíle spojené se změnou klimatu</w:t>
        </w:r>
        <w:r w:rsidR="00FA5DE6">
          <w:rPr>
            <w:noProof/>
            <w:webHidden/>
          </w:rPr>
          <w:tab/>
        </w:r>
        <w:r w:rsidR="00FA5DE6">
          <w:rPr>
            <w:noProof/>
            <w:webHidden/>
          </w:rPr>
          <w:fldChar w:fldCharType="begin"/>
        </w:r>
        <w:r w:rsidR="00FA5DE6">
          <w:rPr>
            <w:noProof/>
            <w:webHidden/>
          </w:rPr>
          <w:instrText xml:space="preserve"> PAGEREF _Toc374702875 \h </w:instrText>
        </w:r>
        <w:r w:rsidR="00FA5DE6">
          <w:rPr>
            <w:noProof/>
            <w:webHidden/>
          </w:rPr>
        </w:r>
        <w:r w:rsidR="00FA5DE6">
          <w:rPr>
            <w:noProof/>
            <w:webHidden/>
          </w:rPr>
          <w:fldChar w:fldCharType="separate"/>
        </w:r>
        <w:r w:rsidR="007C638F">
          <w:rPr>
            <w:noProof/>
            <w:webHidden/>
          </w:rPr>
          <w:t>105</w:t>
        </w:r>
        <w:r w:rsidR="00FA5DE6">
          <w:rPr>
            <w:noProof/>
            <w:webHidden/>
          </w:rPr>
          <w:fldChar w:fldCharType="end"/>
        </w:r>
      </w:hyperlink>
    </w:p>
    <w:p w:rsidR="00FA5DE6" w:rsidRDefault="00885D8C">
      <w:pPr>
        <w:pStyle w:val="Obsah3"/>
        <w:tabs>
          <w:tab w:val="left" w:pos="1100"/>
          <w:tab w:val="right" w:leader="dot" w:pos="9060"/>
        </w:tabs>
        <w:rPr>
          <w:rFonts w:asciiTheme="minorHAnsi" w:eastAsiaTheme="minorEastAsia" w:hAnsiTheme="minorHAnsi" w:cstheme="minorBidi"/>
          <w:i w:val="0"/>
          <w:iCs w:val="0"/>
          <w:noProof/>
          <w:sz w:val="22"/>
          <w:szCs w:val="22"/>
          <w:lang w:eastAsia="cs-CZ"/>
        </w:rPr>
      </w:pPr>
      <w:hyperlink w:anchor="_Toc374702876" w:history="1">
        <w:r w:rsidR="00FA5DE6" w:rsidRPr="00540E32">
          <w:rPr>
            <w:rStyle w:val="Hypertextovodkaz"/>
            <w:rFonts w:ascii="Times New Roman" w:hAnsi="Times New Roman" w:cs="Times New Roman"/>
            <w:noProof/>
          </w:rPr>
          <w:t>1.4.1</w:t>
        </w:r>
        <w:r w:rsidR="00FA5DE6">
          <w:rPr>
            <w:rFonts w:asciiTheme="minorHAnsi" w:eastAsiaTheme="minorEastAsia" w:hAnsiTheme="minorHAnsi" w:cstheme="minorBidi"/>
            <w:i w:val="0"/>
            <w:iCs w:val="0"/>
            <w:noProof/>
            <w:sz w:val="22"/>
            <w:szCs w:val="22"/>
            <w:lang w:eastAsia="cs-CZ"/>
          </w:rPr>
          <w:tab/>
        </w:r>
        <w:r w:rsidR="00FA5DE6" w:rsidRPr="00540E32">
          <w:rPr>
            <w:rStyle w:val="Hypertextovodkaz"/>
            <w:rFonts w:ascii="Times New Roman" w:hAnsi="Times New Roman" w:cs="Times New Roman"/>
            <w:noProof/>
          </w:rPr>
          <w:t>Orientační rozdělení podpory Unie dle tematických cílů za každý ESI fond</w:t>
        </w:r>
        <w:r w:rsidR="00FA5DE6">
          <w:rPr>
            <w:noProof/>
            <w:webHidden/>
          </w:rPr>
          <w:tab/>
        </w:r>
        <w:r w:rsidR="00FA5DE6">
          <w:rPr>
            <w:noProof/>
            <w:webHidden/>
          </w:rPr>
          <w:fldChar w:fldCharType="begin"/>
        </w:r>
        <w:r w:rsidR="00FA5DE6">
          <w:rPr>
            <w:noProof/>
            <w:webHidden/>
          </w:rPr>
          <w:instrText xml:space="preserve"> PAGEREF _Toc374702876 \h </w:instrText>
        </w:r>
        <w:r w:rsidR="00FA5DE6">
          <w:rPr>
            <w:noProof/>
            <w:webHidden/>
          </w:rPr>
        </w:r>
        <w:r w:rsidR="00FA5DE6">
          <w:rPr>
            <w:noProof/>
            <w:webHidden/>
          </w:rPr>
          <w:fldChar w:fldCharType="separate"/>
        </w:r>
        <w:r w:rsidR="007C638F">
          <w:rPr>
            <w:noProof/>
            <w:webHidden/>
          </w:rPr>
          <w:t>106</w:t>
        </w:r>
        <w:r w:rsidR="00FA5DE6">
          <w:rPr>
            <w:noProof/>
            <w:webHidden/>
          </w:rPr>
          <w:fldChar w:fldCharType="end"/>
        </w:r>
      </w:hyperlink>
    </w:p>
    <w:p w:rsidR="00FA5DE6" w:rsidRDefault="00885D8C">
      <w:pPr>
        <w:pStyle w:val="Obsah3"/>
        <w:tabs>
          <w:tab w:val="left" w:pos="1100"/>
          <w:tab w:val="right" w:leader="dot" w:pos="9060"/>
        </w:tabs>
        <w:rPr>
          <w:rFonts w:asciiTheme="minorHAnsi" w:eastAsiaTheme="minorEastAsia" w:hAnsiTheme="minorHAnsi" w:cstheme="minorBidi"/>
          <w:i w:val="0"/>
          <w:iCs w:val="0"/>
          <w:noProof/>
          <w:sz w:val="22"/>
          <w:szCs w:val="22"/>
          <w:lang w:eastAsia="cs-CZ"/>
        </w:rPr>
      </w:pPr>
      <w:hyperlink w:anchor="_Toc374702877" w:history="1">
        <w:r w:rsidR="00FA5DE6" w:rsidRPr="00540E32">
          <w:rPr>
            <w:rStyle w:val="Hypertextovodkaz"/>
            <w:rFonts w:ascii="Times New Roman" w:hAnsi="Times New Roman" w:cs="Times New Roman"/>
            <w:noProof/>
          </w:rPr>
          <w:t>1.4.2</w:t>
        </w:r>
        <w:r w:rsidR="00FA5DE6">
          <w:rPr>
            <w:rFonts w:asciiTheme="minorHAnsi" w:eastAsiaTheme="minorEastAsia" w:hAnsiTheme="minorHAnsi" w:cstheme="minorBidi"/>
            <w:i w:val="0"/>
            <w:iCs w:val="0"/>
            <w:noProof/>
            <w:sz w:val="22"/>
            <w:szCs w:val="22"/>
            <w:lang w:eastAsia="cs-CZ"/>
          </w:rPr>
          <w:tab/>
        </w:r>
        <w:r w:rsidR="00FA5DE6" w:rsidRPr="00540E32">
          <w:rPr>
            <w:rStyle w:val="Hypertextovodkaz"/>
            <w:rFonts w:ascii="Times New Roman" w:hAnsi="Times New Roman" w:cs="Times New Roman"/>
            <w:noProof/>
          </w:rPr>
          <w:t>Informace k Iniciativě na podporu zaměstnanosti mladých lidí, která se týká tematického cíle 8 “Podpora udržitelné a kvalitní zaměstnanosti a podpora mobility pracovních sil”</w:t>
        </w:r>
        <w:r w:rsidR="00FA5DE6">
          <w:rPr>
            <w:noProof/>
            <w:webHidden/>
          </w:rPr>
          <w:tab/>
        </w:r>
        <w:r w:rsidR="00FA5DE6">
          <w:rPr>
            <w:noProof/>
            <w:webHidden/>
          </w:rPr>
          <w:fldChar w:fldCharType="begin"/>
        </w:r>
        <w:r w:rsidR="00FA5DE6">
          <w:rPr>
            <w:noProof/>
            <w:webHidden/>
          </w:rPr>
          <w:instrText xml:space="preserve"> PAGEREF _Toc374702877 \h </w:instrText>
        </w:r>
        <w:r w:rsidR="00FA5DE6">
          <w:rPr>
            <w:noProof/>
            <w:webHidden/>
          </w:rPr>
        </w:r>
        <w:r w:rsidR="00FA5DE6">
          <w:rPr>
            <w:noProof/>
            <w:webHidden/>
          </w:rPr>
          <w:fldChar w:fldCharType="separate"/>
        </w:r>
        <w:r w:rsidR="007C638F">
          <w:rPr>
            <w:noProof/>
            <w:webHidden/>
          </w:rPr>
          <w:t>108</w:t>
        </w:r>
        <w:r w:rsidR="00FA5DE6">
          <w:rPr>
            <w:noProof/>
            <w:webHidden/>
          </w:rPr>
          <w:fldChar w:fldCharType="end"/>
        </w:r>
      </w:hyperlink>
    </w:p>
    <w:p w:rsidR="00FA5DE6" w:rsidRDefault="00885D8C">
      <w:pPr>
        <w:pStyle w:val="Obsah3"/>
        <w:tabs>
          <w:tab w:val="left" w:pos="1100"/>
          <w:tab w:val="right" w:leader="dot" w:pos="9060"/>
        </w:tabs>
        <w:rPr>
          <w:rFonts w:asciiTheme="minorHAnsi" w:eastAsiaTheme="minorEastAsia" w:hAnsiTheme="minorHAnsi" w:cstheme="minorBidi"/>
          <w:i w:val="0"/>
          <w:iCs w:val="0"/>
          <w:noProof/>
          <w:sz w:val="22"/>
          <w:szCs w:val="22"/>
          <w:lang w:eastAsia="cs-CZ"/>
        </w:rPr>
      </w:pPr>
      <w:hyperlink w:anchor="_Toc374702878" w:history="1">
        <w:r w:rsidR="00FA5DE6" w:rsidRPr="00540E32">
          <w:rPr>
            <w:rStyle w:val="Hypertextovodkaz"/>
            <w:rFonts w:ascii="Times New Roman" w:hAnsi="Times New Roman" w:cs="Times New Roman"/>
            <w:noProof/>
          </w:rPr>
          <w:t>1.4.3</w:t>
        </w:r>
        <w:r w:rsidR="00FA5DE6">
          <w:rPr>
            <w:rFonts w:asciiTheme="minorHAnsi" w:eastAsiaTheme="minorEastAsia" w:hAnsiTheme="minorHAnsi" w:cstheme="minorBidi"/>
            <w:i w:val="0"/>
            <w:iCs w:val="0"/>
            <w:noProof/>
            <w:sz w:val="22"/>
            <w:szCs w:val="22"/>
            <w:lang w:eastAsia="cs-CZ"/>
          </w:rPr>
          <w:tab/>
        </w:r>
        <w:r w:rsidR="00FA5DE6" w:rsidRPr="00540E32">
          <w:rPr>
            <w:rStyle w:val="Hypertextovodkaz"/>
            <w:rFonts w:ascii="Times New Roman" w:hAnsi="Times New Roman" w:cs="Times New Roman"/>
            <w:noProof/>
          </w:rPr>
          <w:t>Informace k alokaci na technickou pomoc podle kategorie regionů, kde je to vhodné</w:t>
        </w:r>
        <w:r w:rsidR="00FA5DE6">
          <w:rPr>
            <w:noProof/>
            <w:webHidden/>
          </w:rPr>
          <w:tab/>
        </w:r>
        <w:r w:rsidR="00FA5DE6">
          <w:rPr>
            <w:noProof/>
            <w:webHidden/>
          </w:rPr>
          <w:fldChar w:fldCharType="begin"/>
        </w:r>
        <w:r w:rsidR="00FA5DE6">
          <w:rPr>
            <w:noProof/>
            <w:webHidden/>
          </w:rPr>
          <w:instrText xml:space="preserve"> PAGEREF _Toc374702878 \h </w:instrText>
        </w:r>
        <w:r w:rsidR="00FA5DE6">
          <w:rPr>
            <w:noProof/>
            <w:webHidden/>
          </w:rPr>
        </w:r>
        <w:r w:rsidR="00FA5DE6">
          <w:rPr>
            <w:noProof/>
            <w:webHidden/>
          </w:rPr>
          <w:fldChar w:fldCharType="separate"/>
        </w:r>
        <w:r w:rsidR="007C638F">
          <w:rPr>
            <w:noProof/>
            <w:webHidden/>
          </w:rPr>
          <w:t>108</w:t>
        </w:r>
        <w:r w:rsidR="00FA5DE6">
          <w:rPr>
            <w:noProof/>
            <w:webHidden/>
          </w:rPr>
          <w:fldChar w:fldCharType="end"/>
        </w:r>
      </w:hyperlink>
    </w:p>
    <w:p w:rsidR="00FA5DE6" w:rsidRDefault="00885D8C">
      <w:pPr>
        <w:pStyle w:val="Obsah3"/>
        <w:tabs>
          <w:tab w:val="left" w:pos="1100"/>
          <w:tab w:val="right" w:leader="dot" w:pos="9060"/>
        </w:tabs>
        <w:rPr>
          <w:rFonts w:asciiTheme="minorHAnsi" w:eastAsiaTheme="minorEastAsia" w:hAnsiTheme="minorHAnsi" w:cstheme="minorBidi"/>
          <w:i w:val="0"/>
          <w:iCs w:val="0"/>
          <w:noProof/>
          <w:sz w:val="22"/>
          <w:szCs w:val="22"/>
          <w:lang w:eastAsia="cs-CZ"/>
        </w:rPr>
      </w:pPr>
      <w:hyperlink w:anchor="_Toc374702879" w:history="1">
        <w:r w:rsidR="00FA5DE6" w:rsidRPr="00540E32">
          <w:rPr>
            <w:rStyle w:val="Hypertextovodkaz"/>
            <w:rFonts w:ascii="Times New Roman" w:hAnsi="Times New Roman" w:cs="Times New Roman"/>
            <w:noProof/>
          </w:rPr>
          <w:t>1.4.4</w:t>
        </w:r>
        <w:r w:rsidR="00FA5DE6">
          <w:rPr>
            <w:rFonts w:asciiTheme="minorHAnsi" w:eastAsiaTheme="minorEastAsia" w:hAnsiTheme="minorHAnsi" w:cstheme="minorBidi"/>
            <w:i w:val="0"/>
            <w:iCs w:val="0"/>
            <w:noProof/>
            <w:sz w:val="22"/>
            <w:szCs w:val="22"/>
            <w:lang w:eastAsia="cs-CZ"/>
          </w:rPr>
          <w:tab/>
        </w:r>
        <w:r w:rsidR="00FA5DE6" w:rsidRPr="00540E32">
          <w:rPr>
            <w:rStyle w:val="Hypertextovodkaz"/>
            <w:rFonts w:ascii="Times New Roman" w:hAnsi="Times New Roman" w:cs="Times New Roman"/>
            <w:noProof/>
          </w:rPr>
          <w:t>Podíl ESF na strukturálních fondech (EFRR a ESF)</w:t>
        </w:r>
        <w:r w:rsidR="00FA5DE6">
          <w:rPr>
            <w:noProof/>
            <w:webHidden/>
          </w:rPr>
          <w:tab/>
        </w:r>
        <w:r w:rsidR="00FA5DE6">
          <w:rPr>
            <w:noProof/>
            <w:webHidden/>
          </w:rPr>
          <w:fldChar w:fldCharType="begin"/>
        </w:r>
        <w:r w:rsidR="00FA5DE6">
          <w:rPr>
            <w:noProof/>
            <w:webHidden/>
          </w:rPr>
          <w:instrText xml:space="preserve"> PAGEREF _Toc374702879 \h </w:instrText>
        </w:r>
        <w:r w:rsidR="00FA5DE6">
          <w:rPr>
            <w:noProof/>
            <w:webHidden/>
          </w:rPr>
        </w:r>
        <w:r w:rsidR="00FA5DE6">
          <w:rPr>
            <w:noProof/>
            <w:webHidden/>
          </w:rPr>
          <w:fldChar w:fldCharType="separate"/>
        </w:r>
        <w:r w:rsidR="007C638F">
          <w:rPr>
            <w:noProof/>
            <w:webHidden/>
          </w:rPr>
          <w:t>109</w:t>
        </w:r>
        <w:r w:rsidR="00FA5DE6">
          <w:rPr>
            <w:noProof/>
            <w:webHidden/>
          </w:rPr>
          <w:fldChar w:fldCharType="end"/>
        </w:r>
      </w:hyperlink>
    </w:p>
    <w:p w:rsidR="00FA5DE6" w:rsidRDefault="00885D8C">
      <w:pPr>
        <w:pStyle w:val="Obsah3"/>
        <w:tabs>
          <w:tab w:val="right" w:leader="dot" w:pos="9060"/>
        </w:tabs>
        <w:rPr>
          <w:rFonts w:asciiTheme="minorHAnsi" w:eastAsiaTheme="minorEastAsia" w:hAnsiTheme="minorHAnsi" w:cstheme="minorBidi"/>
          <w:i w:val="0"/>
          <w:iCs w:val="0"/>
          <w:noProof/>
          <w:sz w:val="22"/>
          <w:szCs w:val="22"/>
          <w:lang w:eastAsia="cs-CZ"/>
        </w:rPr>
      </w:pPr>
      <w:hyperlink w:anchor="_Toc374702880" w:history="1">
        <w:r w:rsidR="00FA5DE6" w:rsidRPr="00540E32">
          <w:rPr>
            <w:rStyle w:val="Hypertextovodkaz"/>
            <w:rFonts w:ascii="Times New Roman" w:hAnsi="Times New Roman" w:cs="Times New Roman"/>
            <w:noProof/>
          </w:rPr>
          <w:t>Celková indikativní výše podpory EU pro cíl Klimatická změna (EUR) (Celková podpora Unie, zahrnující výkonnostní rezervu)</w:t>
        </w:r>
        <w:r w:rsidR="00FA5DE6">
          <w:rPr>
            <w:noProof/>
            <w:webHidden/>
          </w:rPr>
          <w:tab/>
        </w:r>
        <w:r w:rsidR="00FA5DE6">
          <w:rPr>
            <w:noProof/>
            <w:webHidden/>
          </w:rPr>
          <w:fldChar w:fldCharType="begin"/>
        </w:r>
        <w:r w:rsidR="00FA5DE6">
          <w:rPr>
            <w:noProof/>
            <w:webHidden/>
          </w:rPr>
          <w:instrText xml:space="preserve"> PAGEREF _Toc374702880 \h </w:instrText>
        </w:r>
        <w:r w:rsidR="00FA5DE6">
          <w:rPr>
            <w:noProof/>
            <w:webHidden/>
          </w:rPr>
        </w:r>
        <w:r w:rsidR="00FA5DE6">
          <w:rPr>
            <w:noProof/>
            <w:webHidden/>
          </w:rPr>
          <w:fldChar w:fldCharType="separate"/>
        </w:r>
        <w:r w:rsidR="007C638F">
          <w:rPr>
            <w:noProof/>
            <w:webHidden/>
          </w:rPr>
          <w:t>109</w:t>
        </w:r>
        <w:r w:rsidR="00FA5DE6">
          <w:rPr>
            <w:noProof/>
            <w:webHidden/>
          </w:rPr>
          <w:fldChar w:fldCharType="end"/>
        </w:r>
      </w:hyperlink>
    </w:p>
    <w:p w:rsidR="00FA5DE6" w:rsidRDefault="00885D8C">
      <w:pPr>
        <w:pStyle w:val="Obsah3"/>
        <w:tabs>
          <w:tab w:val="left" w:pos="1100"/>
          <w:tab w:val="right" w:leader="dot" w:pos="9060"/>
        </w:tabs>
        <w:rPr>
          <w:rFonts w:asciiTheme="minorHAnsi" w:eastAsiaTheme="minorEastAsia" w:hAnsiTheme="minorHAnsi" w:cstheme="minorBidi"/>
          <w:i w:val="0"/>
          <w:iCs w:val="0"/>
          <w:noProof/>
          <w:sz w:val="22"/>
          <w:szCs w:val="22"/>
          <w:lang w:eastAsia="cs-CZ"/>
        </w:rPr>
      </w:pPr>
      <w:hyperlink w:anchor="_Toc374702881" w:history="1">
        <w:r w:rsidR="00FA5DE6" w:rsidRPr="00540E32">
          <w:rPr>
            <w:rStyle w:val="Hypertextovodkaz"/>
            <w:rFonts w:ascii="Times New Roman" w:hAnsi="Times New Roman" w:cs="Times New Roman"/>
            <w:noProof/>
          </w:rPr>
          <w:t>1.4.5</w:t>
        </w:r>
        <w:r w:rsidR="00FA5DE6">
          <w:rPr>
            <w:rFonts w:asciiTheme="minorHAnsi" w:eastAsiaTheme="minorEastAsia" w:hAnsiTheme="minorHAnsi" w:cstheme="minorBidi"/>
            <w:i w:val="0"/>
            <w:iCs w:val="0"/>
            <w:noProof/>
            <w:sz w:val="22"/>
            <w:szCs w:val="22"/>
            <w:lang w:eastAsia="cs-CZ"/>
          </w:rPr>
          <w:tab/>
        </w:r>
        <w:r w:rsidR="00FA5DE6" w:rsidRPr="00540E32">
          <w:rPr>
            <w:rStyle w:val="Hypertextovodkaz"/>
            <w:rFonts w:ascii="Times New Roman" w:hAnsi="Times New Roman" w:cs="Times New Roman"/>
            <w:noProof/>
          </w:rPr>
          <w:t>Indikativní příspěvek k cíli v oblasti změny klimatu (celková podpora Unie včetně výkonnostní rezervy)</w:t>
        </w:r>
        <w:r w:rsidR="00FA5DE6">
          <w:rPr>
            <w:noProof/>
            <w:webHidden/>
          </w:rPr>
          <w:tab/>
        </w:r>
        <w:r w:rsidR="00FA5DE6">
          <w:rPr>
            <w:noProof/>
            <w:webHidden/>
          </w:rPr>
          <w:fldChar w:fldCharType="begin"/>
        </w:r>
        <w:r w:rsidR="00FA5DE6">
          <w:rPr>
            <w:noProof/>
            <w:webHidden/>
          </w:rPr>
          <w:instrText xml:space="preserve"> PAGEREF _Toc374702881 \h </w:instrText>
        </w:r>
        <w:r w:rsidR="00FA5DE6">
          <w:rPr>
            <w:noProof/>
            <w:webHidden/>
          </w:rPr>
        </w:r>
        <w:r w:rsidR="00FA5DE6">
          <w:rPr>
            <w:noProof/>
            <w:webHidden/>
          </w:rPr>
          <w:fldChar w:fldCharType="separate"/>
        </w:r>
        <w:r w:rsidR="007C638F">
          <w:rPr>
            <w:noProof/>
            <w:webHidden/>
          </w:rPr>
          <w:t>109</w:t>
        </w:r>
        <w:r w:rsidR="00FA5DE6">
          <w:rPr>
            <w:noProof/>
            <w:webHidden/>
          </w:rPr>
          <w:fldChar w:fldCharType="end"/>
        </w:r>
      </w:hyperlink>
    </w:p>
    <w:p w:rsidR="00FA5DE6" w:rsidRDefault="00885D8C">
      <w:pPr>
        <w:pStyle w:val="Obsah2"/>
        <w:tabs>
          <w:tab w:val="left" w:pos="880"/>
          <w:tab w:val="right" w:leader="dot" w:pos="9060"/>
        </w:tabs>
        <w:rPr>
          <w:rFonts w:asciiTheme="minorHAnsi" w:eastAsiaTheme="minorEastAsia" w:hAnsiTheme="minorHAnsi" w:cstheme="minorBidi"/>
          <w:smallCaps w:val="0"/>
          <w:noProof/>
          <w:sz w:val="22"/>
          <w:szCs w:val="22"/>
          <w:lang w:eastAsia="cs-CZ"/>
        </w:rPr>
      </w:pPr>
      <w:hyperlink w:anchor="_Toc374702882" w:history="1">
        <w:r w:rsidR="00FA5DE6" w:rsidRPr="00540E32">
          <w:rPr>
            <w:rStyle w:val="Hypertextovodkaz"/>
            <w:noProof/>
          </w:rPr>
          <w:t>1.5</w:t>
        </w:r>
        <w:r w:rsidR="00FA5DE6">
          <w:rPr>
            <w:rFonts w:asciiTheme="minorHAnsi" w:eastAsiaTheme="minorEastAsia" w:hAnsiTheme="minorHAnsi" w:cstheme="minorBidi"/>
            <w:smallCaps w:val="0"/>
            <w:noProof/>
            <w:sz w:val="22"/>
            <w:szCs w:val="22"/>
            <w:lang w:eastAsia="cs-CZ"/>
          </w:rPr>
          <w:tab/>
        </w:r>
        <w:r w:rsidR="00FA5DE6" w:rsidRPr="00540E32">
          <w:rPr>
            <w:rStyle w:val="Hypertextovodkaz"/>
            <w:noProof/>
          </w:rPr>
          <w:t>Uplatnění horizontálních principů a cílů pro implementaci fondů</w:t>
        </w:r>
        <w:r w:rsidR="00FA5DE6">
          <w:rPr>
            <w:noProof/>
            <w:webHidden/>
          </w:rPr>
          <w:tab/>
        </w:r>
        <w:r w:rsidR="00FA5DE6">
          <w:rPr>
            <w:noProof/>
            <w:webHidden/>
          </w:rPr>
          <w:fldChar w:fldCharType="begin"/>
        </w:r>
        <w:r w:rsidR="00FA5DE6">
          <w:rPr>
            <w:noProof/>
            <w:webHidden/>
          </w:rPr>
          <w:instrText xml:space="preserve"> PAGEREF _Toc374702882 \h </w:instrText>
        </w:r>
        <w:r w:rsidR="00FA5DE6">
          <w:rPr>
            <w:noProof/>
            <w:webHidden/>
          </w:rPr>
        </w:r>
        <w:r w:rsidR="00FA5DE6">
          <w:rPr>
            <w:noProof/>
            <w:webHidden/>
          </w:rPr>
          <w:fldChar w:fldCharType="separate"/>
        </w:r>
        <w:r w:rsidR="007C638F">
          <w:rPr>
            <w:noProof/>
            <w:webHidden/>
          </w:rPr>
          <w:t>110</w:t>
        </w:r>
        <w:r w:rsidR="00FA5DE6">
          <w:rPr>
            <w:noProof/>
            <w:webHidden/>
          </w:rPr>
          <w:fldChar w:fldCharType="end"/>
        </w:r>
      </w:hyperlink>
    </w:p>
    <w:p w:rsidR="00FA5DE6" w:rsidRDefault="00885D8C">
      <w:pPr>
        <w:pStyle w:val="Obsah3"/>
        <w:tabs>
          <w:tab w:val="left" w:pos="1320"/>
          <w:tab w:val="right" w:leader="dot" w:pos="9060"/>
        </w:tabs>
        <w:rPr>
          <w:rFonts w:asciiTheme="minorHAnsi" w:eastAsiaTheme="minorEastAsia" w:hAnsiTheme="minorHAnsi" w:cstheme="minorBidi"/>
          <w:i w:val="0"/>
          <w:iCs w:val="0"/>
          <w:noProof/>
          <w:sz w:val="22"/>
          <w:szCs w:val="22"/>
          <w:lang w:eastAsia="cs-CZ"/>
        </w:rPr>
      </w:pPr>
      <w:hyperlink w:anchor="_Toc374702883" w:history="1">
        <w:r w:rsidR="00FA5DE6" w:rsidRPr="00540E32">
          <w:rPr>
            <w:rStyle w:val="Hypertextovodkaz"/>
            <w:rFonts w:ascii="Times New Roman" w:hAnsi="Times New Roman" w:cs="Times New Roman"/>
            <w:noProof/>
          </w:rPr>
          <w:t>1.5.1.</w:t>
        </w:r>
        <w:r w:rsidR="00FA5DE6">
          <w:rPr>
            <w:rFonts w:asciiTheme="minorHAnsi" w:eastAsiaTheme="minorEastAsia" w:hAnsiTheme="minorHAnsi" w:cstheme="minorBidi"/>
            <w:i w:val="0"/>
            <w:iCs w:val="0"/>
            <w:noProof/>
            <w:sz w:val="22"/>
            <w:szCs w:val="22"/>
            <w:lang w:eastAsia="cs-CZ"/>
          </w:rPr>
          <w:tab/>
        </w:r>
        <w:r w:rsidR="00FA5DE6" w:rsidRPr="00540E32">
          <w:rPr>
            <w:rStyle w:val="Hypertextovodkaz"/>
            <w:rFonts w:ascii="Times New Roman" w:hAnsi="Times New Roman" w:cs="Times New Roman"/>
            <w:noProof/>
          </w:rPr>
          <w:t>Zajištění principu partnerství</w:t>
        </w:r>
        <w:r w:rsidR="00FA5DE6">
          <w:rPr>
            <w:noProof/>
            <w:webHidden/>
          </w:rPr>
          <w:tab/>
        </w:r>
        <w:r w:rsidR="00FA5DE6">
          <w:rPr>
            <w:noProof/>
            <w:webHidden/>
          </w:rPr>
          <w:fldChar w:fldCharType="begin"/>
        </w:r>
        <w:r w:rsidR="00FA5DE6">
          <w:rPr>
            <w:noProof/>
            <w:webHidden/>
          </w:rPr>
          <w:instrText xml:space="preserve"> PAGEREF _Toc374702883 \h </w:instrText>
        </w:r>
        <w:r w:rsidR="00FA5DE6">
          <w:rPr>
            <w:noProof/>
            <w:webHidden/>
          </w:rPr>
        </w:r>
        <w:r w:rsidR="00FA5DE6">
          <w:rPr>
            <w:noProof/>
            <w:webHidden/>
          </w:rPr>
          <w:fldChar w:fldCharType="separate"/>
        </w:r>
        <w:r w:rsidR="007C638F">
          <w:rPr>
            <w:noProof/>
            <w:webHidden/>
          </w:rPr>
          <w:t>110</w:t>
        </w:r>
        <w:r w:rsidR="00FA5DE6">
          <w:rPr>
            <w:noProof/>
            <w:webHidden/>
          </w:rPr>
          <w:fldChar w:fldCharType="end"/>
        </w:r>
      </w:hyperlink>
    </w:p>
    <w:p w:rsidR="00FA5DE6" w:rsidRDefault="00885D8C">
      <w:pPr>
        <w:pStyle w:val="Obsah3"/>
        <w:tabs>
          <w:tab w:val="left" w:pos="1100"/>
          <w:tab w:val="right" w:leader="dot" w:pos="9060"/>
        </w:tabs>
        <w:rPr>
          <w:rFonts w:asciiTheme="minorHAnsi" w:eastAsiaTheme="minorEastAsia" w:hAnsiTheme="minorHAnsi" w:cstheme="minorBidi"/>
          <w:i w:val="0"/>
          <w:iCs w:val="0"/>
          <w:noProof/>
          <w:sz w:val="22"/>
          <w:szCs w:val="22"/>
          <w:lang w:eastAsia="cs-CZ"/>
        </w:rPr>
      </w:pPr>
      <w:hyperlink w:anchor="_Toc374702884" w:history="1">
        <w:r w:rsidR="00FA5DE6" w:rsidRPr="00540E32">
          <w:rPr>
            <w:rStyle w:val="Hypertextovodkaz"/>
            <w:rFonts w:ascii="Times New Roman" w:hAnsi="Times New Roman" w:cs="Times New Roman"/>
            <w:noProof/>
          </w:rPr>
          <w:t>1.5.2</w:t>
        </w:r>
        <w:r w:rsidR="00FA5DE6">
          <w:rPr>
            <w:rFonts w:asciiTheme="minorHAnsi" w:eastAsiaTheme="minorEastAsia" w:hAnsiTheme="minorHAnsi" w:cstheme="minorBidi"/>
            <w:i w:val="0"/>
            <w:iCs w:val="0"/>
            <w:noProof/>
            <w:sz w:val="22"/>
            <w:szCs w:val="22"/>
            <w:lang w:eastAsia="cs-CZ"/>
          </w:rPr>
          <w:tab/>
        </w:r>
        <w:r w:rsidR="00FA5DE6" w:rsidRPr="00540E32">
          <w:rPr>
            <w:rStyle w:val="Hypertextovodkaz"/>
            <w:rFonts w:ascii="Times New Roman" w:hAnsi="Times New Roman" w:cs="Times New Roman"/>
            <w:noProof/>
          </w:rPr>
          <w:t>Podpora rovnosti mezi muži a ženami, nediskriminace</w:t>
        </w:r>
        <w:r w:rsidR="00FA5DE6">
          <w:rPr>
            <w:noProof/>
            <w:webHidden/>
          </w:rPr>
          <w:tab/>
        </w:r>
        <w:r w:rsidR="00FA5DE6">
          <w:rPr>
            <w:noProof/>
            <w:webHidden/>
          </w:rPr>
          <w:fldChar w:fldCharType="begin"/>
        </w:r>
        <w:r w:rsidR="00FA5DE6">
          <w:rPr>
            <w:noProof/>
            <w:webHidden/>
          </w:rPr>
          <w:instrText xml:space="preserve"> PAGEREF _Toc374702884 \h </w:instrText>
        </w:r>
        <w:r w:rsidR="00FA5DE6">
          <w:rPr>
            <w:noProof/>
            <w:webHidden/>
          </w:rPr>
        </w:r>
        <w:r w:rsidR="00FA5DE6">
          <w:rPr>
            <w:noProof/>
            <w:webHidden/>
          </w:rPr>
          <w:fldChar w:fldCharType="separate"/>
        </w:r>
        <w:r w:rsidR="007C638F">
          <w:rPr>
            <w:noProof/>
            <w:webHidden/>
          </w:rPr>
          <w:t>112</w:t>
        </w:r>
        <w:r w:rsidR="00FA5DE6">
          <w:rPr>
            <w:noProof/>
            <w:webHidden/>
          </w:rPr>
          <w:fldChar w:fldCharType="end"/>
        </w:r>
      </w:hyperlink>
    </w:p>
    <w:p w:rsidR="00FA5DE6" w:rsidRDefault="00885D8C">
      <w:pPr>
        <w:pStyle w:val="Obsah3"/>
        <w:tabs>
          <w:tab w:val="left" w:pos="1100"/>
          <w:tab w:val="right" w:leader="dot" w:pos="9060"/>
        </w:tabs>
        <w:rPr>
          <w:rFonts w:asciiTheme="minorHAnsi" w:eastAsiaTheme="minorEastAsia" w:hAnsiTheme="minorHAnsi" w:cstheme="minorBidi"/>
          <w:i w:val="0"/>
          <w:iCs w:val="0"/>
          <w:noProof/>
          <w:sz w:val="22"/>
          <w:szCs w:val="22"/>
          <w:lang w:eastAsia="cs-CZ"/>
        </w:rPr>
      </w:pPr>
      <w:hyperlink w:anchor="_Toc374702885" w:history="1">
        <w:r w:rsidR="00FA5DE6" w:rsidRPr="00540E32">
          <w:rPr>
            <w:rStyle w:val="Hypertextovodkaz"/>
            <w:rFonts w:ascii="Times New Roman" w:hAnsi="Times New Roman" w:cs="Times New Roman"/>
            <w:noProof/>
          </w:rPr>
          <w:t>1.5.3</w:t>
        </w:r>
        <w:r w:rsidR="00FA5DE6">
          <w:rPr>
            <w:rFonts w:asciiTheme="minorHAnsi" w:eastAsiaTheme="minorEastAsia" w:hAnsiTheme="minorHAnsi" w:cstheme="minorBidi"/>
            <w:i w:val="0"/>
            <w:iCs w:val="0"/>
            <w:noProof/>
            <w:sz w:val="22"/>
            <w:szCs w:val="22"/>
            <w:lang w:eastAsia="cs-CZ"/>
          </w:rPr>
          <w:tab/>
        </w:r>
        <w:r w:rsidR="00FA5DE6" w:rsidRPr="00540E32">
          <w:rPr>
            <w:rStyle w:val="Hypertextovodkaz"/>
            <w:rFonts w:ascii="Times New Roman" w:hAnsi="Times New Roman" w:cs="Times New Roman"/>
            <w:noProof/>
          </w:rPr>
          <w:t>Udržitelný rozvoj</w:t>
        </w:r>
        <w:r w:rsidR="00FA5DE6">
          <w:rPr>
            <w:noProof/>
            <w:webHidden/>
          </w:rPr>
          <w:tab/>
        </w:r>
        <w:r w:rsidR="00FA5DE6">
          <w:rPr>
            <w:noProof/>
            <w:webHidden/>
          </w:rPr>
          <w:fldChar w:fldCharType="begin"/>
        </w:r>
        <w:r w:rsidR="00FA5DE6">
          <w:rPr>
            <w:noProof/>
            <w:webHidden/>
          </w:rPr>
          <w:instrText xml:space="preserve"> PAGEREF _Toc374702885 \h </w:instrText>
        </w:r>
        <w:r w:rsidR="00FA5DE6">
          <w:rPr>
            <w:noProof/>
            <w:webHidden/>
          </w:rPr>
        </w:r>
        <w:r w:rsidR="00FA5DE6">
          <w:rPr>
            <w:noProof/>
            <w:webHidden/>
          </w:rPr>
          <w:fldChar w:fldCharType="separate"/>
        </w:r>
        <w:r w:rsidR="007C638F">
          <w:rPr>
            <w:noProof/>
            <w:webHidden/>
          </w:rPr>
          <w:t>113</w:t>
        </w:r>
        <w:r w:rsidR="00FA5DE6">
          <w:rPr>
            <w:noProof/>
            <w:webHidden/>
          </w:rPr>
          <w:fldChar w:fldCharType="end"/>
        </w:r>
      </w:hyperlink>
    </w:p>
    <w:p w:rsidR="00FA5DE6" w:rsidRDefault="00885D8C">
      <w:pPr>
        <w:pStyle w:val="Obsah3"/>
        <w:tabs>
          <w:tab w:val="left" w:pos="1100"/>
          <w:tab w:val="right" w:leader="dot" w:pos="9060"/>
        </w:tabs>
        <w:rPr>
          <w:rFonts w:asciiTheme="minorHAnsi" w:eastAsiaTheme="minorEastAsia" w:hAnsiTheme="minorHAnsi" w:cstheme="minorBidi"/>
          <w:i w:val="0"/>
          <w:iCs w:val="0"/>
          <w:noProof/>
          <w:sz w:val="22"/>
          <w:szCs w:val="22"/>
          <w:lang w:eastAsia="cs-CZ"/>
        </w:rPr>
      </w:pPr>
      <w:hyperlink w:anchor="_Toc374702886" w:history="1">
        <w:r w:rsidR="00FA5DE6" w:rsidRPr="00540E32">
          <w:rPr>
            <w:rStyle w:val="Hypertextovodkaz"/>
            <w:rFonts w:ascii="Times New Roman" w:hAnsi="Times New Roman" w:cs="Times New Roman"/>
            <w:noProof/>
          </w:rPr>
          <w:t>1.5.4</w:t>
        </w:r>
        <w:r w:rsidR="00FA5DE6">
          <w:rPr>
            <w:rFonts w:asciiTheme="minorHAnsi" w:eastAsiaTheme="minorEastAsia" w:hAnsiTheme="minorHAnsi" w:cstheme="minorBidi"/>
            <w:i w:val="0"/>
            <w:iCs w:val="0"/>
            <w:noProof/>
            <w:sz w:val="22"/>
            <w:szCs w:val="22"/>
            <w:lang w:eastAsia="cs-CZ"/>
          </w:rPr>
          <w:tab/>
        </w:r>
        <w:r w:rsidR="00FA5DE6" w:rsidRPr="00540E32">
          <w:rPr>
            <w:rStyle w:val="Hypertextovodkaz"/>
            <w:rFonts w:ascii="Times New Roman" w:hAnsi="Times New Roman" w:cs="Times New Roman"/>
            <w:noProof/>
          </w:rPr>
          <w:t>Horizontální cíle politik (průřezové strategie, koncepce a politiky)</w:t>
        </w:r>
        <w:r w:rsidR="00FA5DE6">
          <w:rPr>
            <w:noProof/>
            <w:webHidden/>
          </w:rPr>
          <w:tab/>
        </w:r>
        <w:r w:rsidR="00FA5DE6">
          <w:rPr>
            <w:noProof/>
            <w:webHidden/>
          </w:rPr>
          <w:fldChar w:fldCharType="begin"/>
        </w:r>
        <w:r w:rsidR="00FA5DE6">
          <w:rPr>
            <w:noProof/>
            <w:webHidden/>
          </w:rPr>
          <w:instrText xml:space="preserve"> PAGEREF _Toc374702886 \h </w:instrText>
        </w:r>
        <w:r w:rsidR="00FA5DE6">
          <w:rPr>
            <w:noProof/>
            <w:webHidden/>
          </w:rPr>
        </w:r>
        <w:r w:rsidR="00FA5DE6">
          <w:rPr>
            <w:noProof/>
            <w:webHidden/>
          </w:rPr>
          <w:fldChar w:fldCharType="separate"/>
        </w:r>
        <w:r w:rsidR="007C638F">
          <w:rPr>
            <w:noProof/>
            <w:webHidden/>
          </w:rPr>
          <w:t>114</w:t>
        </w:r>
        <w:r w:rsidR="00FA5DE6">
          <w:rPr>
            <w:noProof/>
            <w:webHidden/>
          </w:rPr>
          <w:fldChar w:fldCharType="end"/>
        </w:r>
      </w:hyperlink>
    </w:p>
    <w:p w:rsidR="00FA5DE6" w:rsidRDefault="00885D8C">
      <w:pPr>
        <w:pStyle w:val="Obsah2"/>
        <w:tabs>
          <w:tab w:val="left" w:pos="880"/>
          <w:tab w:val="right" w:leader="dot" w:pos="9060"/>
        </w:tabs>
        <w:rPr>
          <w:rFonts w:asciiTheme="minorHAnsi" w:eastAsiaTheme="minorEastAsia" w:hAnsiTheme="minorHAnsi" w:cstheme="minorBidi"/>
          <w:smallCaps w:val="0"/>
          <w:noProof/>
          <w:sz w:val="22"/>
          <w:szCs w:val="22"/>
          <w:lang w:eastAsia="cs-CZ"/>
        </w:rPr>
      </w:pPr>
      <w:hyperlink w:anchor="_Toc374702887" w:history="1">
        <w:r w:rsidR="00FA5DE6" w:rsidRPr="00540E32">
          <w:rPr>
            <w:rStyle w:val="Hypertextovodkaz"/>
            <w:noProof/>
          </w:rPr>
          <w:t>1.6</w:t>
        </w:r>
        <w:r w:rsidR="00FA5DE6">
          <w:rPr>
            <w:rFonts w:asciiTheme="minorHAnsi" w:eastAsiaTheme="minorEastAsia" w:hAnsiTheme="minorHAnsi" w:cstheme="minorBidi"/>
            <w:smallCaps w:val="0"/>
            <w:noProof/>
            <w:sz w:val="22"/>
            <w:szCs w:val="22"/>
            <w:lang w:eastAsia="cs-CZ"/>
          </w:rPr>
          <w:tab/>
        </w:r>
        <w:r w:rsidR="00FA5DE6" w:rsidRPr="00540E32">
          <w:rPr>
            <w:rStyle w:val="Hypertextovodkaz"/>
            <w:noProof/>
          </w:rPr>
          <w:t>Seznam programů pod EFRR, ESF a IZM, FS, s výjimkou programů spadajících pod cíl Evropská územní spolupráce a programů EZFRV a ENRF, spolu s příslušnými orientačními příděly pro každý ESI fond na každý rok (celková podpora Unie včetně výkonnostní rezervy)</w:t>
        </w:r>
        <w:r w:rsidR="00FA5DE6">
          <w:rPr>
            <w:noProof/>
            <w:webHidden/>
          </w:rPr>
          <w:tab/>
        </w:r>
        <w:r w:rsidR="00FA5DE6">
          <w:rPr>
            <w:noProof/>
            <w:webHidden/>
          </w:rPr>
          <w:fldChar w:fldCharType="begin"/>
        </w:r>
        <w:r w:rsidR="00FA5DE6">
          <w:rPr>
            <w:noProof/>
            <w:webHidden/>
          </w:rPr>
          <w:instrText xml:space="preserve"> PAGEREF _Toc374702887 \h </w:instrText>
        </w:r>
        <w:r w:rsidR="00FA5DE6">
          <w:rPr>
            <w:noProof/>
            <w:webHidden/>
          </w:rPr>
        </w:r>
        <w:r w:rsidR="00FA5DE6">
          <w:rPr>
            <w:noProof/>
            <w:webHidden/>
          </w:rPr>
          <w:fldChar w:fldCharType="separate"/>
        </w:r>
        <w:r w:rsidR="007C638F">
          <w:rPr>
            <w:noProof/>
            <w:webHidden/>
          </w:rPr>
          <w:t>115</w:t>
        </w:r>
        <w:r w:rsidR="00FA5DE6">
          <w:rPr>
            <w:noProof/>
            <w:webHidden/>
          </w:rPr>
          <w:fldChar w:fldCharType="end"/>
        </w:r>
      </w:hyperlink>
    </w:p>
    <w:p w:rsidR="00FA5DE6" w:rsidRDefault="00885D8C">
      <w:pPr>
        <w:pStyle w:val="Obsah2"/>
        <w:tabs>
          <w:tab w:val="left" w:pos="880"/>
          <w:tab w:val="right" w:leader="dot" w:pos="9060"/>
        </w:tabs>
        <w:rPr>
          <w:rFonts w:asciiTheme="minorHAnsi" w:eastAsiaTheme="minorEastAsia" w:hAnsiTheme="minorHAnsi" w:cstheme="minorBidi"/>
          <w:smallCaps w:val="0"/>
          <w:noProof/>
          <w:sz w:val="22"/>
          <w:szCs w:val="22"/>
          <w:lang w:eastAsia="cs-CZ"/>
        </w:rPr>
      </w:pPr>
      <w:hyperlink w:anchor="_Toc374702888" w:history="1">
        <w:r w:rsidR="00FA5DE6" w:rsidRPr="00540E32">
          <w:rPr>
            <w:rStyle w:val="Hypertextovodkaz"/>
            <w:noProof/>
          </w:rPr>
          <w:t>1.7</w:t>
        </w:r>
        <w:r w:rsidR="00FA5DE6">
          <w:rPr>
            <w:rFonts w:asciiTheme="minorHAnsi" w:eastAsiaTheme="minorEastAsia" w:hAnsiTheme="minorHAnsi" w:cstheme="minorBidi"/>
            <w:smallCaps w:val="0"/>
            <w:noProof/>
            <w:sz w:val="22"/>
            <w:szCs w:val="22"/>
            <w:lang w:eastAsia="cs-CZ"/>
          </w:rPr>
          <w:tab/>
        </w:r>
        <w:r w:rsidR="00FA5DE6" w:rsidRPr="00540E32">
          <w:rPr>
            <w:rStyle w:val="Hypertextovodkaz"/>
            <w:noProof/>
          </w:rPr>
          <w:t>Požadavek na převod alokace strukturálních fondů mezi kategoriemi regionů, kde je to použitelné (Článek 85 obecného nařízení)</w:t>
        </w:r>
        <w:r w:rsidR="00FA5DE6">
          <w:rPr>
            <w:noProof/>
            <w:webHidden/>
          </w:rPr>
          <w:tab/>
        </w:r>
        <w:r w:rsidR="00FA5DE6">
          <w:rPr>
            <w:noProof/>
            <w:webHidden/>
          </w:rPr>
          <w:fldChar w:fldCharType="begin"/>
        </w:r>
        <w:r w:rsidR="00FA5DE6">
          <w:rPr>
            <w:noProof/>
            <w:webHidden/>
          </w:rPr>
          <w:instrText xml:space="preserve"> PAGEREF _Toc374702888 \h </w:instrText>
        </w:r>
        <w:r w:rsidR="00FA5DE6">
          <w:rPr>
            <w:noProof/>
            <w:webHidden/>
          </w:rPr>
        </w:r>
        <w:r w:rsidR="00FA5DE6">
          <w:rPr>
            <w:noProof/>
            <w:webHidden/>
          </w:rPr>
          <w:fldChar w:fldCharType="separate"/>
        </w:r>
        <w:r w:rsidR="007C638F">
          <w:rPr>
            <w:noProof/>
            <w:webHidden/>
          </w:rPr>
          <w:t>122</w:t>
        </w:r>
        <w:r w:rsidR="00FA5DE6">
          <w:rPr>
            <w:noProof/>
            <w:webHidden/>
          </w:rPr>
          <w:fldChar w:fldCharType="end"/>
        </w:r>
      </w:hyperlink>
    </w:p>
    <w:p w:rsidR="00FA5DE6" w:rsidRDefault="00885D8C">
      <w:pPr>
        <w:pStyle w:val="Obsah2"/>
        <w:tabs>
          <w:tab w:val="left" w:pos="880"/>
          <w:tab w:val="right" w:leader="dot" w:pos="9060"/>
        </w:tabs>
        <w:rPr>
          <w:rFonts w:asciiTheme="minorHAnsi" w:eastAsiaTheme="minorEastAsia" w:hAnsiTheme="minorHAnsi" w:cstheme="minorBidi"/>
          <w:smallCaps w:val="0"/>
          <w:noProof/>
          <w:sz w:val="22"/>
          <w:szCs w:val="22"/>
          <w:lang w:eastAsia="cs-CZ"/>
        </w:rPr>
      </w:pPr>
      <w:hyperlink w:anchor="_Toc374702889" w:history="1">
        <w:r w:rsidR="00FA5DE6" w:rsidRPr="00540E32">
          <w:rPr>
            <w:rStyle w:val="Hypertextovodkaz"/>
            <w:noProof/>
          </w:rPr>
          <w:t>1.8</w:t>
        </w:r>
        <w:r w:rsidR="00FA5DE6">
          <w:rPr>
            <w:rFonts w:asciiTheme="minorHAnsi" w:eastAsiaTheme="minorEastAsia" w:hAnsiTheme="minorHAnsi" w:cstheme="minorBidi"/>
            <w:smallCaps w:val="0"/>
            <w:noProof/>
            <w:sz w:val="22"/>
            <w:szCs w:val="22"/>
            <w:lang w:eastAsia="cs-CZ"/>
          </w:rPr>
          <w:tab/>
        </w:r>
        <w:r w:rsidR="00FA5DE6" w:rsidRPr="00540E32">
          <w:rPr>
            <w:rStyle w:val="Hypertextovodkaz"/>
            <w:noProof/>
          </w:rPr>
          <w:t>Převod prostředků z cíle Evropská územní spolupráce do cíle Investice pro růst a zaměstnanost, kde je to vhodné (Článek 85A obecného nařízení)</w:t>
        </w:r>
        <w:r w:rsidR="00FA5DE6">
          <w:rPr>
            <w:noProof/>
            <w:webHidden/>
          </w:rPr>
          <w:tab/>
        </w:r>
        <w:r w:rsidR="00FA5DE6">
          <w:rPr>
            <w:noProof/>
            <w:webHidden/>
          </w:rPr>
          <w:fldChar w:fldCharType="begin"/>
        </w:r>
        <w:r w:rsidR="00FA5DE6">
          <w:rPr>
            <w:noProof/>
            <w:webHidden/>
          </w:rPr>
          <w:instrText xml:space="preserve"> PAGEREF _Toc374702889 \h </w:instrText>
        </w:r>
        <w:r w:rsidR="00FA5DE6">
          <w:rPr>
            <w:noProof/>
            <w:webHidden/>
          </w:rPr>
        </w:r>
        <w:r w:rsidR="00FA5DE6">
          <w:rPr>
            <w:noProof/>
            <w:webHidden/>
          </w:rPr>
          <w:fldChar w:fldCharType="separate"/>
        </w:r>
        <w:r w:rsidR="007C638F">
          <w:rPr>
            <w:noProof/>
            <w:webHidden/>
          </w:rPr>
          <w:t>122</w:t>
        </w:r>
        <w:r w:rsidR="00FA5DE6">
          <w:rPr>
            <w:noProof/>
            <w:webHidden/>
          </w:rPr>
          <w:fldChar w:fldCharType="end"/>
        </w:r>
      </w:hyperlink>
    </w:p>
    <w:p w:rsidR="00FA5DE6" w:rsidRDefault="00885D8C">
      <w:pPr>
        <w:pStyle w:val="Obsah2"/>
        <w:tabs>
          <w:tab w:val="left" w:pos="880"/>
          <w:tab w:val="right" w:leader="dot" w:pos="9060"/>
        </w:tabs>
        <w:rPr>
          <w:rFonts w:asciiTheme="minorHAnsi" w:eastAsiaTheme="minorEastAsia" w:hAnsiTheme="minorHAnsi" w:cstheme="minorBidi"/>
          <w:smallCaps w:val="0"/>
          <w:noProof/>
          <w:sz w:val="22"/>
          <w:szCs w:val="22"/>
          <w:lang w:eastAsia="cs-CZ"/>
        </w:rPr>
      </w:pPr>
      <w:hyperlink w:anchor="_Toc374702890" w:history="1">
        <w:r w:rsidR="00FA5DE6" w:rsidRPr="00540E32">
          <w:rPr>
            <w:rStyle w:val="Hypertextovodkaz"/>
            <w:noProof/>
          </w:rPr>
          <w:t>1.9</w:t>
        </w:r>
        <w:r w:rsidR="00FA5DE6">
          <w:rPr>
            <w:rFonts w:asciiTheme="minorHAnsi" w:eastAsiaTheme="minorEastAsia" w:hAnsiTheme="minorHAnsi" w:cstheme="minorBidi"/>
            <w:smallCaps w:val="0"/>
            <w:noProof/>
            <w:sz w:val="22"/>
            <w:szCs w:val="22"/>
            <w:lang w:eastAsia="cs-CZ"/>
          </w:rPr>
          <w:tab/>
        </w:r>
        <w:r w:rsidR="00FA5DE6" w:rsidRPr="00540E32">
          <w:rPr>
            <w:rStyle w:val="Hypertextovodkaz"/>
            <w:noProof/>
          </w:rPr>
          <w:t>Žádost Evropské Komisi o převod prostředků technické pomoci, kde je to vhodné (Článek 22b obecného nařízení)</w:t>
        </w:r>
        <w:r w:rsidR="00FA5DE6">
          <w:rPr>
            <w:noProof/>
            <w:webHidden/>
          </w:rPr>
          <w:tab/>
        </w:r>
        <w:r w:rsidR="00FA5DE6">
          <w:rPr>
            <w:noProof/>
            <w:webHidden/>
          </w:rPr>
          <w:fldChar w:fldCharType="begin"/>
        </w:r>
        <w:r w:rsidR="00FA5DE6">
          <w:rPr>
            <w:noProof/>
            <w:webHidden/>
          </w:rPr>
          <w:instrText xml:space="preserve"> PAGEREF _Toc374702890 \h </w:instrText>
        </w:r>
        <w:r w:rsidR="00FA5DE6">
          <w:rPr>
            <w:noProof/>
            <w:webHidden/>
          </w:rPr>
        </w:r>
        <w:r w:rsidR="00FA5DE6">
          <w:rPr>
            <w:noProof/>
            <w:webHidden/>
          </w:rPr>
          <w:fldChar w:fldCharType="separate"/>
        </w:r>
        <w:r w:rsidR="007C638F">
          <w:rPr>
            <w:noProof/>
            <w:webHidden/>
          </w:rPr>
          <w:t>122</w:t>
        </w:r>
        <w:r w:rsidR="00FA5DE6">
          <w:rPr>
            <w:noProof/>
            <w:webHidden/>
          </w:rPr>
          <w:fldChar w:fldCharType="end"/>
        </w:r>
      </w:hyperlink>
    </w:p>
    <w:p w:rsidR="00FA5DE6" w:rsidRDefault="00885D8C">
      <w:pPr>
        <w:pStyle w:val="Obsah2"/>
        <w:tabs>
          <w:tab w:val="left" w:pos="880"/>
          <w:tab w:val="right" w:leader="dot" w:pos="9060"/>
        </w:tabs>
        <w:rPr>
          <w:rFonts w:asciiTheme="minorHAnsi" w:eastAsiaTheme="minorEastAsia" w:hAnsiTheme="minorHAnsi" w:cstheme="minorBidi"/>
          <w:smallCaps w:val="0"/>
          <w:noProof/>
          <w:sz w:val="22"/>
          <w:szCs w:val="22"/>
          <w:lang w:eastAsia="cs-CZ"/>
        </w:rPr>
      </w:pPr>
      <w:hyperlink w:anchor="_Toc374702891" w:history="1">
        <w:r w:rsidR="00FA5DE6" w:rsidRPr="00540E32">
          <w:rPr>
            <w:rStyle w:val="Hypertextovodkaz"/>
            <w:noProof/>
          </w:rPr>
          <w:t>1.10</w:t>
        </w:r>
        <w:r w:rsidR="00FA5DE6">
          <w:rPr>
            <w:rFonts w:asciiTheme="minorHAnsi" w:eastAsiaTheme="minorEastAsia" w:hAnsiTheme="minorHAnsi" w:cstheme="minorBidi"/>
            <w:smallCaps w:val="0"/>
            <w:noProof/>
            <w:sz w:val="22"/>
            <w:szCs w:val="22"/>
            <w:lang w:eastAsia="cs-CZ"/>
          </w:rPr>
          <w:tab/>
        </w:r>
        <w:r w:rsidR="00FA5DE6" w:rsidRPr="00540E32">
          <w:rPr>
            <w:rStyle w:val="Hypertextovodkaz"/>
            <w:noProof/>
          </w:rPr>
          <w:t>Informace k alokaci týkající se výkonnostní rezervy podle ESI fondů a kde je to vhodné podle kategorií region a k objemu prostředků vyhrazených na výkonnostní rezervu (Článek 14 (1) (a) (vii) obecného nařízení)</w:t>
        </w:r>
        <w:r w:rsidR="00FA5DE6">
          <w:rPr>
            <w:noProof/>
            <w:webHidden/>
          </w:rPr>
          <w:tab/>
        </w:r>
        <w:r w:rsidR="00FA5DE6">
          <w:rPr>
            <w:noProof/>
            <w:webHidden/>
          </w:rPr>
          <w:fldChar w:fldCharType="begin"/>
        </w:r>
        <w:r w:rsidR="00FA5DE6">
          <w:rPr>
            <w:noProof/>
            <w:webHidden/>
          </w:rPr>
          <w:instrText xml:space="preserve"> PAGEREF _Toc374702891 \h </w:instrText>
        </w:r>
        <w:r w:rsidR="00FA5DE6">
          <w:rPr>
            <w:noProof/>
            <w:webHidden/>
          </w:rPr>
        </w:r>
        <w:r w:rsidR="00FA5DE6">
          <w:rPr>
            <w:noProof/>
            <w:webHidden/>
          </w:rPr>
          <w:fldChar w:fldCharType="separate"/>
        </w:r>
        <w:r w:rsidR="007C638F">
          <w:rPr>
            <w:noProof/>
            <w:webHidden/>
          </w:rPr>
          <w:t>123</w:t>
        </w:r>
        <w:r w:rsidR="00FA5DE6">
          <w:rPr>
            <w:noProof/>
            <w:webHidden/>
          </w:rPr>
          <w:fldChar w:fldCharType="end"/>
        </w:r>
      </w:hyperlink>
    </w:p>
    <w:p w:rsidR="00FA5DE6" w:rsidRDefault="00885D8C">
      <w:pPr>
        <w:pStyle w:val="Obsah1"/>
        <w:tabs>
          <w:tab w:val="left" w:pos="440"/>
          <w:tab w:val="right" w:leader="dot" w:pos="9060"/>
        </w:tabs>
        <w:rPr>
          <w:rFonts w:asciiTheme="minorHAnsi" w:eastAsiaTheme="minorEastAsia" w:hAnsiTheme="minorHAnsi" w:cstheme="minorBidi"/>
          <w:b w:val="0"/>
          <w:bCs w:val="0"/>
          <w:caps w:val="0"/>
          <w:noProof/>
          <w:sz w:val="22"/>
          <w:szCs w:val="22"/>
          <w:lang w:eastAsia="cs-CZ"/>
        </w:rPr>
      </w:pPr>
      <w:hyperlink w:anchor="_Toc374702892" w:history="1">
        <w:r w:rsidR="00FA5DE6" w:rsidRPr="00540E32">
          <w:rPr>
            <w:rStyle w:val="Hypertextovodkaz"/>
            <w:rFonts w:ascii="Times New Roman" w:hAnsi="Times New Roman" w:cs="Times New Roman"/>
            <w:noProof/>
          </w:rPr>
          <w:t>2</w:t>
        </w:r>
        <w:r w:rsidR="00FA5DE6">
          <w:rPr>
            <w:rFonts w:asciiTheme="minorHAnsi" w:eastAsiaTheme="minorEastAsia" w:hAnsiTheme="minorHAnsi" w:cstheme="minorBidi"/>
            <w:b w:val="0"/>
            <w:bCs w:val="0"/>
            <w:caps w:val="0"/>
            <w:noProof/>
            <w:sz w:val="22"/>
            <w:szCs w:val="22"/>
            <w:lang w:eastAsia="cs-CZ"/>
          </w:rPr>
          <w:tab/>
        </w:r>
        <w:r w:rsidR="00FA5DE6" w:rsidRPr="00540E32">
          <w:rPr>
            <w:rStyle w:val="Hypertextovodkaz"/>
            <w:rFonts w:ascii="Times New Roman" w:hAnsi="Times New Roman" w:cs="Times New Roman"/>
            <w:noProof/>
          </w:rPr>
          <w:t>Opatření k zajištění efektivní implementace podle čl. 14 (1,B) obecného nařízení</w:t>
        </w:r>
        <w:r w:rsidR="00FA5DE6">
          <w:rPr>
            <w:noProof/>
            <w:webHidden/>
          </w:rPr>
          <w:tab/>
        </w:r>
        <w:r w:rsidR="00FA5DE6">
          <w:rPr>
            <w:noProof/>
            <w:webHidden/>
          </w:rPr>
          <w:fldChar w:fldCharType="begin"/>
        </w:r>
        <w:r w:rsidR="00FA5DE6">
          <w:rPr>
            <w:noProof/>
            <w:webHidden/>
          </w:rPr>
          <w:instrText xml:space="preserve"> PAGEREF _Toc374702892 \h </w:instrText>
        </w:r>
        <w:r w:rsidR="00FA5DE6">
          <w:rPr>
            <w:noProof/>
            <w:webHidden/>
          </w:rPr>
        </w:r>
        <w:r w:rsidR="00FA5DE6">
          <w:rPr>
            <w:noProof/>
            <w:webHidden/>
          </w:rPr>
          <w:fldChar w:fldCharType="separate"/>
        </w:r>
        <w:r w:rsidR="007C638F">
          <w:rPr>
            <w:noProof/>
            <w:webHidden/>
          </w:rPr>
          <w:t>125</w:t>
        </w:r>
        <w:r w:rsidR="00FA5DE6">
          <w:rPr>
            <w:noProof/>
            <w:webHidden/>
          </w:rPr>
          <w:fldChar w:fldCharType="end"/>
        </w:r>
      </w:hyperlink>
    </w:p>
    <w:p w:rsidR="00FA5DE6" w:rsidRDefault="00885D8C">
      <w:pPr>
        <w:pStyle w:val="Obsah2"/>
        <w:tabs>
          <w:tab w:val="left" w:pos="880"/>
          <w:tab w:val="right" w:leader="dot" w:pos="9060"/>
        </w:tabs>
        <w:rPr>
          <w:rFonts w:asciiTheme="minorHAnsi" w:eastAsiaTheme="minorEastAsia" w:hAnsiTheme="minorHAnsi" w:cstheme="minorBidi"/>
          <w:smallCaps w:val="0"/>
          <w:noProof/>
          <w:sz w:val="22"/>
          <w:szCs w:val="22"/>
          <w:lang w:eastAsia="cs-CZ"/>
        </w:rPr>
      </w:pPr>
      <w:hyperlink w:anchor="_Toc374702893" w:history="1">
        <w:r w:rsidR="00FA5DE6" w:rsidRPr="00540E32">
          <w:rPr>
            <w:rStyle w:val="Hypertextovodkaz"/>
            <w:noProof/>
          </w:rPr>
          <w:t>2.1</w:t>
        </w:r>
        <w:r w:rsidR="00FA5DE6">
          <w:rPr>
            <w:rFonts w:asciiTheme="minorHAnsi" w:eastAsiaTheme="minorEastAsia" w:hAnsiTheme="minorHAnsi" w:cstheme="minorBidi"/>
            <w:smallCaps w:val="0"/>
            <w:noProof/>
            <w:sz w:val="22"/>
            <w:szCs w:val="22"/>
            <w:lang w:eastAsia="cs-CZ"/>
          </w:rPr>
          <w:tab/>
        </w:r>
        <w:r w:rsidR="00FA5DE6" w:rsidRPr="00540E32">
          <w:rPr>
            <w:rStyle w:val="Hypertextovodkaz"/>
            <w:noProof/>
          </w:rPr>
          <w:t>Institucionální rámec pro zajištění koordinace mezi fondy a ostatnímu Unijními a národními nástroji financování a s EIB</w:t>
        </w:r>
        <w:r w:rsidR="00FA5DE6">
          <w:rPr>
            <w:noProof/>
            <w:webHidden/>
          </w:rPr>
          <w:tab/>
        </w:r>
        <w:r w:rsidR="00FA5DE6">
          <w:rPr>
            <w:noProof/>
            <w:webHidden/>
          </w:rPr>
          <w:fldChar w:fldCharType="begin"/>
        </w:r>
        <w:r w:rsidR="00FA5DE6">
          <w:rPr>
            <w:noProof/>
            <w:webHidden/>
          </w:rPr>
          <w:instrText xml:space="preserve"> PAGEREF _Toc374702893 \h </w:instrText>
        </w:r>
        <w:r w:rsidR="00FA5DE6">
          <w:rPr>
            <w:noProof/>
            <w:webHidden/>
          </w:rPr>
        </w:r>
        <w:r w:rsidR="00FA5DE6">
          <w:rPr>
            <w:noProof/>
            <w:webHidden/>
          </w:rPr>
          <w:fldChar w:fldCharType="separate"/>
        </w:r>
        <w:r w:rsidR="007C638F">
          <w:rPr>
            <w:noProof/>
            <w:webHidden/>
          </w:rPr>
          <w:t>125</w:t>
        </w:r>
        <w:r w:rsidR="00FA5DE6">
          <w:rPr>
            <w:noProof/>
            <w:webHidden/>
          </w:rPr>
          <w:fldChar w:fldCharType="end"/>
        </w:r>
      </w:hyperlink>
    </w:p>
    <w:p w:rsidR="00FA5DE6" w:rsidRDefault="00885D8C">
      <w:pPr>
        <w:pStyle w:val="Obsah3"/>
        <w:tabs>
          <w:tab w:val="left" w:pos="1100"/>
          <w:tab w:val="right" w:leader="dot" w:pos="9060"/>
        </w:tabs>
        <w:rPr>
          <w:rFonts w:asciiTheme="minorHAnsi" w:eastAsiaTheme="minorEastAsia" w:hAnsiTheme="minorHAnsi" w:cstheme="minorBidi"/>
          <w:i w:val="0"/>
          <w:iCs w:val="0"/>
          <w:noProof/>
          <w:sz w:val="22"/>
          <w:szCs w:val="22"/>
          <w:lang w:eastAsia="cs-CZ"/>
        </w:rPr>
      </w:pPr>
      <w:hyperlink w:anchor="_Toc374702894" w:history="1">
        <w:r w:rsidR="00FA5DE6" w:rsidRPr="00540E32">
          <w:rPr>
            <w:rStyle w:val="Hypertextovodkaz"/>
            <w:rFonts w:ascii="Times New Roman" w:hAnsi="Times New Roman" w:cs="Times New Roman"/>
            <w:noProof/>
          </w:rPr>
          <w:t>2.1.1</w:t>
        </w:r>
        <w:r w:rsidR="00FA5DE6">
          <w:rPr>
            <w:rFonts w:asciiTheme="minorHAnsi" w:eastAsiaTheme="minorEastAsia" w:hAnsiTheme="minorHAnsi" w:cstheme="minorBidi"/>
            <w:i w:val="0"/>
            <w:iCs w:val="0"/>
            <w:noProof/>
            <w:sz w:val="22"/>
            <w:szCs w:val="22"/>
            <w:lang w:eastAsia="cs-CZ"/>
          </w:rPr>
          <w:tab/>
        </w:r>
        <w:r w:rsidR="00FA5DE6" w:rsidRPr="00540E32">
          <w:rPr>
            <w:rStyle w:val="Hypertextovodkaz"/>
            <w:rFonts w:ascii="Times New Roman" w:hAnsi="Times New Roman" w:cs="Times New Roman"/>
            <w:noProof/>
          </w:rPr>
          <w:t>Popis opatření k zajištění koordinace mezi ESIF a ostatními unijními a národními zdroji</w:t>
        </w:r>
        <w:r w:rsidR="00FA5DE6">
          <w:rPr>
            <w:noProof/>
            <w:webHidden/>
          </w:rPr>
          <w:tab/>
        </w:r>
        <w:r w:rsidR="00FA5DE6">
          <w:rPr>
            <w:noProof/>
            <w:webHidden/>
          </w:rPr>
          <w:fldChar w:fldCharType="begin"/>
        </w:r>
        <w:r w:rsidR="00FA5DE6">
          <w:rPr>
            <w:noProof/>
            <w:webHidden/>
          </w:rPr>
          <w:instrText xml:space="preserve"> PAGEREF _Toc374702894 \h </w:instrText>
        </w:r>
        <w:r w:rsidR="00FA5DE6">
          <w:rPr>
            <w:noProof/>
            <w:webHidden/>
          </w:rPr>
        </w:r>
        <w:r w:rsidR="00FA5DE6">
          <w:rPr>
            <w:noProof/>
            <w:webHidden/>
          </w:rPr>
          <w:fldChar w:fldCharType="separate"/>
        </w:r>
        <w:r w:rsidR="007C638F">
          <w:rPr>
            <w:noProof/>
            <w:webHidden/>
          </w:rPr>
          <w:t>125</w:t>
        </w:r>
        <w:r w:rsidR="00FA5DE6">
          <w:rPr>
            <w:noProof/>
            <w:webHidden/>
          </w:rPr>
          <w:fldChar w:fldCharType="end"/>
        </w:r>
      </w:hyperlink>
    </w:p>
    <w:p w:rsidR="00FA5DE6" w:rsidRDefault="00885D8C">
      <w:pPr>
        <w:pStyle w:val="Obsah2"/>
        <w:tabs>
          <w:tab w:val="left" w:pos="880"/>
          <w:tab w:val="right" w:leader="dot" w:pos="9060"/>
        </w:tabs>
        <w:rPr>
          <w:rFonts w:asciiTheme="minorHAnsi" w:eastAsiaTheme="minorEastAsia" w:hAnsiTheme="minorHAnsi" w:cstheme="minorBidi"/>
          <w:smallCaps w:val="0"/>
          <w:noProof/>
          <w:sz w:val="22"/>
          <w:szCs w:val="22"/>
          <w:lang w:eastAsia="cs-CZ"/>
        </w:rPr>
      </w:pPr>
      <w:hyperlink w:anchor="_Toc374702895" w:history="1">
        <w:r w:rsidR="00FA5DE6" w:rsidRPr="00540E32">
          <w:rPr>
            <w:rStyle w:val="Hypertextovodkaz"/>
            <w:noProof/>
          </w:rPr>
          <w:t>2.2</w:t>
        </w:r>
        <w:r w:rsidR="00FA5DE6">
          <w:rPr>
            <w:rFonts w:asciiTheme="minorHAnsi" w:eastAsiaTheme="minorEastAsia" w:hAnsiTheme="minorHAnsi" w:cstheme="minorBidi"/>
            <w:smallCaps w:val="0"/>
            <w:noProof/>
            <w:sz w:val="22"/>
            <w:szCs w:val="22"/>
            <w:lang w:eastAsia="cs-CZ"/>
          </w:rPr>
          <w:tab/>
        </w:r>
        <w:r w:rsidR="00FA5DE6" w:rsidRPr="00540E32">
          <w:rPr>
            <w:rStyle w:val="Hypertextovodkaz"/>
            <w:noProof/>
          </w:rPr>
          <w:t>Informace požadované pro ex ante ověření souladu s pravidly adicionality</w:t>
        </w:r>
        <w:r w:rsidR="00FA5DE6">
          <w:rPr>
            <w:noProof/>
            <w:webHidden/>
          </w:rPr>
          <w:tab/>
        </w:r>
        <w:r w:rsidR="00FA5DE6">
          <w:rPr>
            <w:noProof/>
            <w:webHidden/>
          </w:rPr>
          <w:fldChar w:fldCharType="begin"/>
        </w:r>
        <w:r w:rsidR="00FA5DE6">
          <w:rPr>
            <w:noProof/>
            <w:webHidden/>
          </w:rPr>
          <w:instrText xml:space="preserve"> PAGEREF _Toc374702895 \h </w:instrText>
        </w:r>
        <w:r w:rsidR="00FA5DE6">
          <w:rPr>
            <w:noProof/>
            <w:webHidden/>
          </w:rPr>
        </w:r>
        <w:r w:rsidR="00FA5DE6">
          <w:rPr>
            <w:noProof/>
            <w:webHidden/>
          </w:rPr>
          <w:fldChar w:fldCharType="separate"/>
        </w:r>
        <w:r w:rsidR="007C638F">
          <w:rPr>
            <w:noProof/>
            <w:webHidden/>
          </w:rPr>
          <w:t>140</w:t>
        </w:r>
        <w:r w:rsidR="00FA5DE6">
          <w:rPr>
            <w:noProof/>
            <w:webHidden/>
          </w:rPr>
          <w:fldChar w:fldCharType="end"/>
        </w:r>
      </w:hyperlink>
    </w:p>
    <w:p w:rsidR="00FA5DE6" w:rsidRDefault="00885D8C">
      <w:pPr>
        <w:pStyle w:val="Obsah2"/>
        <w:tabs>
          <w:tab w:val="left" w:pos="880"/>
          <w:tab w:val="right" w:leader="dot" w:pos="9060"/>
        </w:tabs>
        <w:rPr>
          <w:rFonts w:asciiTheme="minorHAnsi" w:eastAsiaTheme="minorEastAsia" w:hAnsiTheme="minorHAnsi" w:cstheme="minorBidi"/>
          <w:smallCaps w:val="0"/>
          <w:noProof/>
          <w:sz w:val="22"/>
          <w:szCs w:val="22"/>
          <w:lang w:eastAsia="cs-CZ"/>
        </w:rPr>
      </w:pPr>
      <w:hyperlink w:anchor="_Toc374702896" w:history="1">
        <w:r w:rsidR="00FA5DE6" w:rsidRPr="00540E32">
          <w:rPr>
            <w:rStyle w:val="Hypertextovodkaz"/>
            <w:noProof/>
          </w:rPr>
          <w:t>2.3</w:t>
        </w:r>
        <w:r w:rsidR="00FA5DE6">
          <w:rPr>
            <w:rFonts w:asciiTheme="minorHAnsi" w:eastAsiaTheme="minorEastAsia" w:hAnsiTheme="minorHAnsi" w:cstheme="minorBidi"/>
            <w:smallCaps w:val="0"/>
            <w:noProof/>
            <w:sz w:val="22"/>
            <w:szCs w:val="22"/>
            <w:lang w:eastAsia="cs-CZ"/>
          </w:rPr>
          <w:tab/>
        </w:r>
        <w:r w:rsidR="00FA5DE6" w:rsidRPr="00540E32">
          <w:rPr>
            <w:rStyle w:val="Hypertextovodkaz"/>
            <w:noProof/>
          </w:rPr>
          <w:t>Hodnocení naplňování předběžných podmínek</w:t>
        </w:r>
        <w:r w:rsidR="00FA5DE6">
          <w:rPr>
            <w:noProof/>
            <w:webHidden/>
          </w:rPr>
          <w:tab/>
        </w:r>
        <w:r w:rsidR="00FA5DE6">
          <w:rPr>
            <w:noProof/>
            <w:webHidden/>
          </w:rPr>
          <w:fldChar w:fldCharType="begin"/>
        </w:r>
        <w:r w:rsidR="00FA5DE6">
          <w:rPr>
            <w:noProof/>
            <w:webHidden/>
          </w:rPr>
          <w:instrText xml:space="preserve"> PAGEREF _Toc374702896 \h </w:instrText>
        </w:r>
        <w:r w:rsidR="00FA5DE6">
          <w:rPr>
            <w:noProof/>
            <w:webHidden/>
          </w:rPr>
        </w:r>
        <w:r w:rsidR="00FA5DE6">
          <w:rPr>
            <w:noProof/>
            <w:webHidden/>
          </w:rPr>
          <w:fldChar w:fldCharType="separate"/>
        </w:r>
        <w:r w:rsidR="007C638F">
          <w:rPr>
            <w:noProof/>
            <w:webHidden/>
          </w:rPr>
          <w:t>141</w:t>
        </w:r>
        <w:r w:rsidR="00FA5DE6">
          <w:rPr>
            <w:noProof/>
            <w:webHidden/>
          </w:rPr>
          <w:fldChar w:fldCharType="end"/>
        </w:r>
      </w:hyperlink>
    </w:p>
    <w:p w:rsidR="00FA5DE6" w:rsidRPr="00FA5DE6" w:rsidRDefault="00885D8C">
      <w:pPr>
        <w:pStyle w:val="Obsah3"/>
        <w:tabs>
          <w:tab w:val="right" w:leader="dot" w:pos="9060"/>
        </w:tabs>
        <w:rPr>
          <w:rFonts w:asciiTheme="minorHAnsi" w:eastAsiaTheme="minorEastAsia" w:hAnsiTheme="minorHAnsi" w:cstheme="minorBidi"/>
          <w:i w:val="0"/>
          <w:iCs w:val="0"/>
          <w:noProof/>
          <w:sz w:val="22"/>
          <w:szCs w:val="22"/>
          <w:lang w:eastAsia="cs-CZ"/>
        </w:rPr>
      </w:pPr>
      <w:hyperlink w:anchor="_Toc374702897" w:history="1">
        <w:r w:rsidR="00FA5DE6" w:rsidRPr="00FA5DE6">
          <w:rPr>
            <w:rStyle w:val="Hypertextovodkaz"/>
            <w:rFonts w:ascii="Times New Roman" w:eastAsia="Times New Roman" w:hAnsi="Times New Roman" w:cs="Times New Roman"/>
            <w:bCs/>
            <w:noProof/>
            <w:lang w:eastAsia="cs-CZ"/>
          </w:rPr>
          <w:t>Řízení a koordinace předběžných podmínek na národní úrovni</w:t>
        </w:r>
        <w:r w:rsidR="00FA5DE6" w:rsidRPr="00FA5DE6">
          <w:rPr>
            <w:noProof/>
            <w:webHidden/>
          </w:rPr>
          <w:tab/>
        </w:r>
        <w:r w:rsidR="00FA5DE6" w:rsidRPr="00FA5DE6">
          <w:rPr>
            <w:noProof/>
            <w:webHidden/>
          </w:rPr>
          <w:fldChar w:fldCharType="begin"/>
        </w:r>
        <w:r w:rsidR="00FA5DE6" w:rsidRPr="00FA5DE6">
          <w:rPr>
            <w:noProof/>
            <w:webHidden/>
          </w:rPr>
          <w:instrText xml:space="preserve"> PAGEREF _Toc374702897 \h </w:instrText>
        </w:r>
        <w:r w:rsidR="00FA5DE6" w:rsidRPr="00FA5DE6">
          <w:rPr>
            <w:noProof/>
            <w:webHidden/>
          </w:rPr>
        </w:r>
        <w:r w:rsidR="00FA5DE6" w:rsidRPr="00FA5DE6">
          <w:rPr>
            <w:noProof/>
            <w:webHidden/>
          </w:rPr>
          <w:fldChar w:fldCharType="separate"/>
        </w:r>
        <w:r w:rsidR="007C638F">
          <w:rPr>
            <w:noProof/>
            <w:webHidden/>
          </w:rPr>
          <w:t>142</w:t>
        </w:r>
        <w:r w:rsidR="00FA5DE6" w:rsidRPr="00FA5DE6">
          <w:rPr>
            <w:noProof/>
            <w:webHidden/>
          </w:rPr>
          <w:fldChar w:fldCharType="end"/>
        </w:r>
      </w:hyperlink>
    </w:p>
    <w:p w:rsidR="00FA5DE6" w:rsidRPr="00FA5DE6" w:rsidRDefault="00885D8C">
      <w:pPr>
        <w:pStyle w:val="Obsah3"/>
        <w:tabs>
          <w:tab w:val="right" w:leader="dot" w:pos="9060"/>
        </w:tabs>
        <w:rPr>
          <w:rFonts w:asciiTheme="minorHAnsi" w:eastAsiaTheme="minorEastAsia" w:hAnsiTheme="minorHAnsi" w:cstheme="minorBidi"/>
          <w:i w:val="0"/>
          <w:iCs w:val="0"/>
          <w:noProof/>
          <w:sz w:val="22"/>
          <w:szCs w:val="22"/>
          <w:lang w:eastAsia="cs-CZ"/>
        </w:rPr>
      </w:pPr>
      <w:hyperlink w:anchor="_Toc374702898" w:history="1">
        <w:r w:rsidR="00FA5DE6" w:rsidRPr="00FA5DE6">
          <w:rPr>
            <w:rStyle w:val="Hypertextovodkaz"/>
            <w:rFonts w:ascii="Times New Roman" w:eastAsia="Times New Roman" w:hAnsi="Times New Roman" w:cs="Times New Roman"/>
            <w:bCs/>
            <w:noProof/>
            <w:lang w:eastAsia="cs-CZ"/>
          </w:rPr>
          <w:t>Přehled hodnocení naplňování předběžných podmínek</w:t>
        </w:r>
        <w:r w:rsidR="00FA5DE6" w:rsidRPr="00FA5DE6">
          <w:rPr>
            <w:noProof/>
            <w:webHidden/>
          </w:rPr>
          <w:tab/>
        </w:r>
        <w:r w:rsidR="00FA5DE6" w:rsidRPr="00FA5DE6">
          <w:rPr>
            <w:noProof/>
            <w:webHidden/>
          </w:rPr>
          <w:fldChar w:fldCharType="begin"/>
        </w:r>
        <w:r w:rsidR="00FA5DE6" w:rsidRPr="00FA5DE6">
          <w:rPr>
            <w:noProof/>
            <w:webHidden/>
          </w:rPr>
          <w:instrText xml:space="preserve"> PAGEREF _Toc374702898 \h </w:instrText>
        </w:r>
        <w:r w:rsidR="00FA5DE6" w:rsidRPr="00FA5DE6">
          <w:rPr>
            <w:noProof/>
            <w:webHidden/>
          </w:rPr>
        </w:r>
        <w:r w:rsidR="00FA5DE6" w:rsidRPr="00FA5DE6">
          <w:rPr>
            <w:noProof/>
            <w:webHidden/>
          </w:rPr>
          <w:fldChar w:fldCharType="separate"/>
        </w:r>
        <w:r w:rsidR="007C638F">
          <w:rPr>
            <w:noProof/>
            <w:webHidden/>
          </w:rPr>
          <w:t>142</w:t>
        </w:r>
        <w:r w:rsidR="00FA5DE6" w:rsidRPr="00FA5DE6">
          <w:rPr>
            <w:noProof/>
            <w:webHidden/>
          </w:rPr>
          <w:fldChar w:fldCharType="end"/>
        </w:r>
      </w:hyperlink>
    </w:p>
    <w:p w:rsidR="00FA5DE6" w:rsidRPr="00FA5DE6" w:rsidRDefault="00885D8C">
      <w:pPr>
        <w:pStyle w:val="Obsah3"/>
        <w:tabs>
          <w:tab w:val="right" w:leader="dot" w:pos="9060"/>
        </w:tabs>
        <w:rPr>
          <w:rFonts w:asciiTheme="minorHAnsi" w:eastAsiaTheme="minorEastAsia" w:hAnsiTheme="minorHAnsi" w:cstheme="minorBidi"/>
          <w:i w:val="0"/>
          <w:iCs w:val="0"/>
          <w:noProof/>
          <w:sz w:val="22"/>
          <w:szCs w:val="22"/>
          <w:lang w:eastAsia="cs-CZ"/>
        </w:rPr>
      </w:pPr>
      <w:hyperlink w:anchor="_Toc374702899" w:history="1">
        <w:r w:rsidR="00FA5DE6" w:rsidRPr="00FA5DE6">
          <w:rPr>
            <w:rStyle w:val="Hypertextovodkaz"/>
            <w:rFonts w:ascii="Times New Roman" w:eastAsia="Times New Roman" w:hAnsi="Times New Roman" w:cs="Times New Roman"/>
            <w:bCs/>
            <w:noProof/>
            <w:lang w:eastAsia="cs-CZ"/>
          </w:rPr>
          <w:t>Další relevantní informace</w:t>
        </w:r>
        <w:r w:rsidR="00FA5DE6" w:rsidRPr="00FA5DE6">
          <w:rPr>
            <w:noProof/>
            <w:webHidden/>
          </w:rPr>
          <w:tab/>
        </w:r>
        <w:r w:rsidR="00FA5DE6" w:rsidRPr="00FA5DE6">
          <w:rPr>
            <w:noProof/>
            <w:webHidden/>
          </w:rPr>
          <w:fldChar w:fldCharType="begin"/>
        </w:r>
        <w:r w:rsidR="00FA5DE6" w:rsidRPr="00FA5DE6">
          <w:rPr>
            <w:noProof/>
            <w:webHidden/>
          </w:rPr>
          <w:instrText xml:space="preserve"> PAGEREF _Toc374702899 \h </w:instrText>
        </w:r>
        <w:r w:rsidR="00FA5DE6" w:rsidRPr="00FA5DE6">
          <w:rPr>
            <w:noProof/>
            <w:webHidden/>
          </w:rPr>
        </w:r>
        <w:r w:rsidR="00FA5DE6" w:rsidRPr="00FA5DE6">
          <w:rPr>
            <w:noProof/>
            <w:webHidden/>
          </w:rPr>
          <w:fldChar w:fldCharType="separate"/>
        </w:r>
        <w:r w:rsidR="007C638F">
          <w:rPr>
            <w:noProof/>
            <w:webHidden/>
          </w:rPr>
          <w:t>143</w:t>
        </w:r>
        <w:r w:rsidR="00FA5DE6" w:rsidRPr="00FA5DE6">
          <w:rPr>
            <w:noProof/>
            <w:webHidden/>
          </w:rPr>
          <w:fldChar w:fldCharType="end"/>
        </w:r>
      </w:hyperlink>
    </w:p>
    <w:p w:rsidR="00FA5DE6" w:rsidRDefault="00885D8C">
      <w:pPr>
        <w:pStyle w:val="Obsah2"/>
        <w:tabs>
          <w:tab w:val="left" w:pos="880"/>
          <w:tab w:val="right" w:leader="dot" w:pos="9060"/>
        </w:tabs>
        <w:rPr>
          <w:rFonts w:asciiTheme="minorHAnsi" w:eastAsiaTheme="minorEastAsia" w:hAnsiTheme="minorHAnsi" w:cstheme="minorBidi"/>
          <w:smallCaps w:val="0"/>
          <w:noProof/>
          <w:sz w:val="22"/>
          <w:szCs w:val="22"/>
          <w:lang w:eastAsia="cs-CZ"/>
        </w:rPr>
      </w:pPr>
      <w:hyperlink w:anchor="_Toc374702900" w:history="1">
        <w:r w:rsidR="00FA5DE6" w:rsidRPr="00540E32">
          <w:rPr>
            <w:rStyle w:val="Hypertextovodkaz"/>
            <w:noProof/>
          </w:rPr>
          <w:t>2.4</w:t>
        </w:r>
        <w:r w:rsidR="00FA5DE6">
          <w:rPr>
            <w:rFonts w:asciiTheme="minorHAnsi" w:eastAsiaTheme="minorEastAsia" w:hAnsiTheme="minorHAnsi" w:cstheme="minorBidi"/>
            <w:smallCaps w:val="0"/>
            <w:noProof/>
            <w:sz w:val="22"/>
            <w:szCs w:val="22"/>
            <w:lang w:eastAsia="cs-CZ"/>
          </w:rPr>
          <w:tab/>
        </w:r>
        <w:r w:rsidR="00FA5DE6" w:rsidRPr="00540E32">
          <w:rPr>
            <w:rStyle w:val="Hypertextovodkaz"/>
            <w:noProof/>
          </w:rPr>
          <w:t>Metodologie a mechanismus k zajištění konzistentnosti při fungování výkonnostního rámce v souladu s čl. 19 obecného nařízení</w:t>
        </w:r>
        <w:r w:rsidR="00FA5DE6">
          <w:rPr>
            <w:noProof/>
            <w:webHidden/>
          </w:rPr>
          <w:tab/>
        </w:r>
        <w:r w:rsidR="00FA5DE6">
          <w:rPr>
            <w:noProof/>
            <w:webHidden/>
          </w:rPr>
          <w:fldChar w:fldCharType="begin"/>
        </w:r>
        <w:r w:rsidR="00FA5DE6">
          <w:rPr>
            <w:noProof/>
            <w:webHidden/>
          </w:rPr>
          <w:instrText xml:space="preserve"> PAGEREF _Toc374702900 \h </w:instrText>
        </w:r>
        <w:r w:rsidR="00FA5DE6">
          <w:rPr>
            <w:noProof/>
            <w:webHidden/>
          </w:rPr>
        </w:r>
        <w:r w:rsidR="00FA5DE6">
          <w:rPr>
            <w:noProof/>
            <w:webHidden/>
          </w:rPr>
          <w:fldChar w:fldCharType="separate"/>
        </w:r>
        <w:r w:rsidR="007C638F">
          <w:rPr>
            <w:noProof/>
            <w:webHidden/>
          </w:rPr>
          <w:t>143</w:t>
        </w:r>
        <w:r w:rsidR="00FA5DE6">
          <w:rPr>
            <w:noProof/>
            <w:webHidden/>
          </w:rPr>
          <w:fldChar w:fldCharType="end"/>
        </w:r>
      </w:hyperlink>
    </w:p>
    <w:p w:rsidR="00FA5DE6" w:rsidRDefault="00885D8C">
      <w:pPr>
        <w:pStyle w:val="Obsah2"/>
        <w:tabs>
          <w:tab w:val="left" w:pos="880"/>
          <w:tab w:val="right" w:leader="dot" w:pos="9060"/>
        </w:tabs>
        <w:rPr>
          <w:rFonts w:asciiTheme="minorHAnsi" w:eastAsiaTheme="minorEastAsia" w:hAnsiTheme="minorHAnsi" w:cstheme="minorBidi"/>
          <w:smallCaps w:val="0"/>
          <w:noProof/>
          <w:sz w:val="22"/>
          <w:szCs w:val="22"/>
          <w:lang w:eastAsia="cs-CZ"/>
        </w:rPr>
      </w:pPr>
      <w:hyperlink w:anchor="_Toc374702901" w:history="1">
        <w:r w:rsidR="00FA5DE6" w:rsidRPr="00540E32">
          <w:rPr>
            <w:rStyle w:val="Hypertextovodkaz"/>
            <w:noProof/>
          </w:rPr>
          <w:t>2.5</w:t>
        </w:r>
        <w:r w:rsidR="00FA5DE6">
          <w:rPr>
            <w:rFonts w:asciiTheme="minorHAnsi" w:eastAsiaTheme="minorEastAsia" w:hAnsiTheme="minorHAnsi" w:cstheme="minorBidi"/>
            <w:smallCaps w:val="0"/>
            <w:noProof/>
            <w:sz w:val="22"/>
            <w:szCs w:val="22"/>
            <w:lang w:eastAsia="cs-CZ"/>
          </w:rPr>
          <w:tab/>
        </w:r>
        <w:r w:rsidR="00FA5DE6" w:rsidRPr="00540E32">
          <w:rPr>
            <w:rStyle w:val="Hypertextovodkaz"/>
            <w:noProof/>
          </w:rPr>
          <w:t>Vyhodnocení, zda existuje potřeba posílit administrativní kapacitu úřadů a případně příjemců, a kromě toho v odůvodněných případech souhrn opatření, která mají být přijata za tímto účelem.</w:t>
        </w:r>
        <w:r w:rsidR="00FA5DE6">
          <w:rPr>
            <w:noProof/>
            <w:webHidden/>
          </w:rPr>
          <w:tab/>
        </w:r>
        <w:r w:rsidR="00FA5DE6">
          <w:rPr>
            <w:noProof/>
            <w:webHidden/>
          </w:rPr>
          <w:fldChar w:fldCharType="begin"/>
        </w:r>
        <w:r w:rsidR="00FA5DE6">
          <w:rPr>
            <w:noProof/>
            <w:webHidden/>
          </w:rPr>
          <w:instrText xml:space="preserve"> PAGEREF _Toc374702901 \h </w:instrText>
        </w:r>
        <w:r w:rsidR="00FA5DE6">
          <w:rPr>
            <w:noProof/>
            <w:webHidden/>
          </w:rPr>
        </w:r>
        <w:r w:rsidR="00FA5DE6">
          <w:rPr>
            <w:noProof/>
            <w:webHidden/>
          </w:rPr>
          <w:fldChar w:fldCharType="separate"/>
        </w:r>
        <w:r w:rsidR="007C638F">
          <w:rPr>
            <w:noProof/>
            <w:webHidden/>
          </w:rPr>
          <w:t>145</w:t>
        </w:r>
        <w:r w:rsidR="00FA5DE6">
          <w:rPr>
            <w:noProof/>
            <w:webHidden/>
          </w:rPr>
          <w:fldChar w:fldCharType="end"/>
        </w:r>
      </w:hyperlink>
    </w:p>
    <w:p w:rsidR="00FA5DE6" w:rsidRDefault="00885D8C">
      <w:pPr>
        <w:pStyle w:val="Obsah2"/>
        <w:tabs>
          <w:tab w:val="left" w:pos="880"/>
          <w:tab w:val="right" w:leader="dot" w:pos="9060"/>
        </w:tabs>
        <w:rPr>
          <w:rFonts w:asciiTheme="minorHAnsi" w:eastAsiaTheme="minorEastAsia" w:hAnsiTheme="minorHAnsi" w:cstheme="minorBidi"/>
          <w:smallCaps w:val="0"/>
          <w:noProof/>
          <w:sz w:val="22"/>
          <w:szCs w:val="22"/>
          <w:lang w:eastAsia="cs-CZ"/>
        </w:rPr>
      </w:pPr>
      <w:hyperlink w:anchor="_Toc374702902" w:history="1">
        <w:r w:rsidR="00FA5DE6" w:rsidRPr="00540E32">
          <w:rPr>
            <w:rStyle w:val="Hypertextovodkaz"/>
            <w:noProof/>
          </w:rPr>
          <w:t>2.6</w:t>
        </w:r>
        <w:r w:rsidR="00FA5DE6">
          <w:rPr>
            <w:rFonts w:asciiTheme="minorHAnsi" w:eastAsiaTheme="minorEastAsia" w:hAnsiTheme="minorHAnsi" w:cstheme="minorBidi"/>
            <w:smallCaps w:val="0"/>
            <w:noProof/>
            <w:sz w:val="22"/>
            <w:szCs w:val="22"/>
            <w:lang w:eastAsia="cs-CZ"/>
          </w:rPr>
          <w:tab/>
        </w:r>
        <w:r w:rsidR="00FA5DE6" w:rsidRPr="00540E32">
          <w:rPr>
            <w:rStyle w:val="Hypertextovodkaz"/>
            <w:noProof/>
          </w:rPr>
          <w:t>Souhrn akcí plánovaných v rámci programů, včetně indikativního harmonogramu k dosažení snížení administrativní zátěže příjemců</w:t>
        </w:r>
        <w:r w:rsidR="00FA5DE6">
          <w:rPr>
            <w:noProof/>
            <w:webHidden/>
          </w:rPr>
          <w:tab/>
        </w:r>
        <w:r w:rsidR="00FA5DE6">
          <w:rPr>
            <w:noProof/>
            <w:webHidden/>
          </w:rPr>
          <w:fldChar w:fldCharType="begin"/>
        </w:r>
        <w:r w:rsidR="00FA5DE6">
          <w:rPr>
            <w:noProof/>
            <w:webHidden/>
          </w:rPr>
          <w:instrText xml:space="preserve"> PAGEREF _Toc374702902 \h </w:instrText>
        </w:r>
        <w:r w:rsidR="00FA5DE6">
          <w:rPr>
            <w:noProof/>
            <w:webHidden/>
          </w:rPr>
        </w:r>
        <w:r w:rsidR="00FA5DE6">
          <w:rPr>
            <w:noProof/>
            <w:webHidden/>
          </w:rPr>
          <w:fldChar w:fldCharType="separate"/>
        </w:r>
        <w:r w:rsidR="007C638F">
          <w:rPr>
            <w:noProof/>
            <w:webHidden/>
          </w:rPr>
          <w:t>147</w:t>
        </w:r>
        <w:r w:rsidR="00FA5DE6">
          <w:rPr>
            <w:noProof/>
            <w:webHidden/>
          </w:rPr>
          <w:fldChar w:fldCharType="end"/>
        </w:r>
      </w:hyperlink>
    </w:p>
    <w:p w:rsidR="00FA5DE6" w:rsidRDefault="00885D8C">
      <w:pPr>
        <w:pStyle w:val="Obsah1"/>
        <w:tabs>
          <w:tab w:val="left" w:pos="440"/>
          <w:tab w:val="right" w:leader="dot" w:pos="9060"/>
        </w:tabs>
        <w:rPr>
          <w:rFonts w:asciiTheme="minorHAnsi" w:eastAsiaTheme="minorEastAsia" w:hAnsiTheme="minorHAnsi" w:cstheme="minorBidi"/>
          <w:b w:val="0"/>
          <w:bCs w:val="0"/>
          <w:caps w:val="0"/>
          <w:noProof/>
          <w:sz w:val="22"/>
          <w:szCs w:val="22"/>
          <w:lang w:eastAsia="cs-CZ"/>
        </w:rPr>
      </w:pPr>
      <w:hyperlink w:anchor="_Toc374702903" w:history="1">
        <w:r w:rsidR="00FA5DE6" w:rsidRPr="00540E32">
          <w:rPr>
            <w:rStyle w:val="Hypertextovodkaz"/>
            <w:noProof/>
          </w:rPr>
          <w:t>3</w:t>
        </w:r>
        <w:r w:rsidR="00FA5DE6">
          <w:rPr>
            <w:rFonts w:asciiTheme="minorHAnsi" w:eastAsiaTheme="minorEastAsia" w:hAnsiTheme="minorHAnsi" w:cstheme="minorBidi"/>
            <w:b w:val="0"/>
            <w:bCs w:val="0"/>
            <w:caps w:val="0"/>
            <w:noProof/>
            <w:sz w:val="22"/>
            <w:szCs w:val="22"/>
            <w:lang w:eastAsia="cs-CZ"/>
          </w:rPr>
          <w:tab/>
        </w:r>
        <w:r w:rsidR="00FA5DE6" w:rsidRPr="00540E32">
          <w:rPr>
            <w:rStyle w:val="Hypertextovodkaz"/>
            <w:noProof/>
          </w:rPr>
          <w:t>Popis integrovaného přístupu k územnímu rozvoji, podporovanému fondy nebo shrnutí integrovaných přístupů k územnímu rozvoji na základě obsahu programů podle čl. 14 (2,A) obecného nařízení</w:t>
        </w:r>
        <w:r w:rsidR="00FA5DE6">
          <w:rPr>
            <w:noProof/>
            <w:webHidden/>
          </w:rPr>
          <w:tab/>
        </w:r>
        <w:r w:rsidR="00FA5DE6">
          <w:rPr>
            <w:noProof/>
            <w:webHidden/>
          </w:rPr>
          <w:fldChar w:fldCharType="begin"/>
        </w:r>
        <w:r w:rsidR="00FA5DE6">
          <w:rPr>
            <w:noProof/>
            <w:webHidden/>
          </w:rPr>
          <w:instrText xml:space="preserve"> PAGEREF _Toc374702903 \h </w:instrText>
        </w:r>
        <w:r w:rsidR="00FA5DE6">
          <w:rPr>
            <w:noProof/>
            <w:webHidden/>
          </w:rPr>
        </w:r>
        <w:r w:rsidR="00FA5DE6">
          <w:rPr>
            <w:noProof/>
            <w:webHidden/>
          </w:rPr>
          <w:fldChar w:fldCharType="separate"/>
        </w:r>
        <w:r w:rsidR="007C638F">
          <w:rPr>
            <w:noProof/>
            <w:webHidden/>
          </w:rPr>
          <w:t>153</w:t>
        </w:r>
        <w:r w:rsidR="00FA5DE6">
          <w:rPr>
            <w:noProof/>
            <w:webHidden/>
          </w:rPr>
          <w:fldChar w:fldCharType="end"/>
        </w:r>
      </w:hyperlink>
    </w:p>
    <w:p w:rsidR="00FA5DE6" w:rsidRDefault="00885D8C">
      <w:pPr>
        <w:pStyle w:val="Obsah2"/>
        <w:tabs>
          <w:tab w:val="left" w:pos="880"/>
          <w:tab w:val="right" w:leader="dot" w:pos="9060"/>
        </w:tabs>
        <w:rPr>
          <w:rFonts w:asciiTheme="minorHAnsi" w:eastAsiaTheme="minorEastAsia" w:hAnsiTheme="minorHAnsi" w:cstheme="minorBidi"/>
          <w:smallCaps w:val="0"/>
          <w:noProof/>
          <w:sz w:val="22"/>
          <w:szCs w:val="22"/>
          <w:lang w:eastAsia="cs-CZ"/>
        </w:rPr>
      </w:pPr>
      <w:hyperlink w:anchor="_Toc374702904" w:history="1">
        <w:r w:rsidR="00FA5DE6" w:rsidRPr="00540E32">
          <w:rPr>
            <w:rStyle w:val="Hypertextovodkaz"/>
            <w:noProof/>
          </w:rPr>
          <w:t>3.1</w:t>
        </w:r>
        <w:r w:rsidR="00FA5DE6">
          <w:rPr>
            <w:rFonts w:asciiTheme="minorHAnsi" w:eastAsiaTheme="minorEastAsia" w:hAnsiTheme="minorHAnsi" w:cstheme="minorBidi"/>
            <w:smallCaps w:val="0"/>
            <w:noProof/>
            <w:sz w:val="22"/>
            <w:szCs w:val="22"/>
            <w:lang w:eastAsia="cs-CZ"/>
          </w:rPr>
          <w:tab/>
        </w:r>
        <w:r w:rsidR="00FA5DE6" w:rsidRPr="00540E32">
          <w:rPr>
            <w:rStyle w:val="Hypertextovodkaz"/>
            <w:noProof/>
          </w:rPr>
          <w:t>Opatření přijatá pro zajištění integrovaného přístupu při využívání fondů pro územní rozvoj specifických subregionálních oblastí podle čl.14 (2,ii) obecného nařízení</w:t>
        </w:r>
        <w:r w:rsidR="00FA5DE6">
          <w:rPr>
            <w:noProof/>
            <w:webHidden/>
          </w:rPr>
          <w:tab/>
        </w:r>
        <w:r w:rsidR="00FA5DE6">
          <w:rPr>
            <w:noProof/>
            <w:webHidden/>
          </w:rPr>
          <w:fldChar w:fldCharType="begin"/>
        </w:r>
        <w:r w:rsidR="00FA5DE6">
          <w:rPr>
            <w:noProof/>
            <w:webHidden/>
          </w:rPr>
          <w:instrText xml:space="preserve"> PAGEREF _Toc374702904 \h </w:instrText>
        </w:r>
        <w:r w:rsidR="00FA5DE6">
          <w:rPr>
            <w:noProof/>
            <w:webHidden/>
          </w:rPr>
        </w:r>
        <w:r w:rsidR="00FA5DE6">
          <w:rPr>
            <w:noProof/>
            <w:webHidden/>
          </w:rPr>
          <w:fldChar w:fldCharType="separate"/>
        </w:r>
        <w:r w:rsidR="007C638F">
          <w:rPr>
            <w:noProof/>
            <w:webHidden/>
          </w:rPr>
          <w:t>155</w:t>
        </w:r>
        <w:r w:rsidR="00FA5DE6">
          <w:rPr>
            <w:noProof/>
            <w:webHidden/>
          </w:rPr>
          <w:fldChar w:fldCharType="end"/>
        </w:r>
      </w:hyperlink>
    </w:p>
    <w:p w:rsidR="00FA5DE6" w:rsidRDefault="00885D8C">
      <w:pPr>
        <w:pStyle w:val="Obsah3"/>
        <w:tabs>
          <w:tab w:val="left" w:pos="1100"/>
          <w:tab w:val="right" w:leader="dot" w:pos="9060"/>
        </w:tabs>
        <w:rPr>
          <w:rFonts w:asciiTheme="minorHAnsi" w:eastAsiaTheme="minorEastAsia" w:hAnsiTheme="minorHAnsi" w:cstheme="minorBidi"/>
          <w:i w:val="0"/>
          <w:iCs w:val="0"/>
          <w:noProof/>
          <w:sz w:val="22"/>
          <w:szCs w:val="22"/>
          <w:lang w:eastAsia="cs-CZ"/>
        </w:rPr>
      </w:pPr>
      <w:hyperlink w:anchor="_Toc374702905" w:history="1">
        <w:r w:rsidR="00FA5DE6" w:rsidRPr="00540E32">
          <w:rPr>
            <w:rStyle w:val="Hypertextovodkaz"/>
            <w:rFonts w:ascii="Times New Roman" w:hAnsi="Times New Roman" w:cs="Times New Roman"/>
            <w:noProof/>
          </w:rPr>
          <w:t>3.1.1</w:t>
        </w:r>
        <w:r w:rsidR="00FA5DE6">
          <w:rPr>
            <w:rFonts w:asciiTheme="minorHAnsi" w:eastAsiaTheme="minorEastAsia" w:hAnsiTheme="minorHAnsi" w:cstheme="minorBidi"/>
            <w:i w:val="0"/>
            <w:iCs w:val="0"/>
            <w:noProof/>
            <w:sz w:val="22"/>
            <w:szCs w:val="22"/>
            <w:lang w:eastAsia="cs-CZ"/>
          </w:rPr>
          <w:tab/>
        </w:r>
        <w:r w:rsidR="00FA5DE6" w:rsidRPr="00540E32">
          <w:rPr>
            <w:rStyle w:val="Hypertextovodkaz"/>
            <w:rFonts w:ascii="Times New Roman" w:hAnsi="Times New Roman" w:cs="Times New Roman"/>
            <w:noProof/>
          </w:rPr>
          <w:t>Komunitně vedený místní rozvoj (čl. 28–31 obecného nařízení, čl. 9 EÚS a nařízení k EZFRV, ESF a EFRR</w:t>
        </w:r>
        <w:r w:rsidR="00FA5DE6">
          <w:rPr>
            <w:noProof/>
            <w:webHidden/>
          </w:rPr>
          <w:tab/>
        </w:r>
        <w:r w:rsidR="00FA5DE6">
          <w:rPr>
            <w:noProof/>
            <w:webHidden/>
          </w:rPr>
          <w:fldChar w:fldCharType="begin"/>
        </w:r>
        <w:r w:rsidR="00FA5DE6">
          <w:rPr>
            <w:noProof/>
            <w:webHidden/>
          </w:rPr>
          <w:instrText xml:space="preserve"> PAGEREF _Toc374702905 \h </w:instrText>
        </w:r>
        <w:r w:rsidR="00FA5DE6">
          <w:rPr>
            <w:noProof/>
            <w:webHidden/>
          </w:rPr>
        </w:r>
        <w:r w:rsidR="00FA5DE6">
          <w:rPr>
            <w:noProof/>
            <w:webHidden/>
          </w:rPr>
          <w:fldChar w:fldCharType="separate"/>
        </w:r>
        <w:r w:rsidR="007C638F">
          <w:rPr>
            <w:noProof/>
            <w:webHidden/>
          </w:rPr>
          <w:t>155</w:t>
        </w:r>
        <w:r w:rsidR="00FA5DE6">
          <w:rPr>
            <w:noProof/>
            <w:webHidden/>
          </w:rPr>
          <w:fldChar w:fldCharType="end"/>
        </w:r>
      </w:hyperlink>
    </w:p>
    <w:p w:rsidR="00FA5DE6" w:rsidRDefault="00885D8C">
      <w:pPr>
        <w:pStyle w:val="Obsah3"/>
        <w:tabs>
          <w:tab w:val="left" w:pos="1100"/>
          <w:tab w:val="right" w:leader="dot" w:pos="9060"/>
        </w:tabs>
        <w:rPr>
          <w:rFonts w:asciiTheme="minorHAnsi" w:eastAsiaTheme="minorEastAsia" w:hAnsiTheme="minorHAnsi" w:cstheme="minorBidi"/>
          <w:i w:val="0"/>
          <w:iCs w:val="0"/>
          <w:noProof/>
          <w:sz w:val="22"/>
          <w:szCs w:val="22"/>
          <w:lang w:eastAsia="cs-CZ"/>
        </w:rPr>
      </w:pPr>
      <w:hyperlink w:anchor="_Toc374702906" w:history="1">
        <w:r w:rsidR="00FA5DE6" w:rsidRPr="00540E32">
          <w:rPr>
            <w:rStyle w:val="Hypertextovodkaz"/>
            <w:rFonts w:ascii="Times New Roman" w:hAnsi="Times New Roman" w:cs="Times New Roman"/>
            <w:noProof/>
          </w:rPr>
          <w:t>3.1.2</w:t>
        </w:r>
        <w:r w:rsidR="00FA5DE6">
          <w:rPr>
            <w:rFonts w:asciiTheme="minorHAnsi" w:eastAsiaTheme="minorEastAsia" w:hAnsiTheme="minorHAnsi" w:cstheme="minorBidi"/>
            <w:i w:val="0"/>
            <w:iCs w:val="0"/>
            <w:noProof/>
            <w:sz w:val="22"/>
            <w:szCs w:val="22"/>
            <w:lang w:eastAsia="cs-CZ"/>
          </w:rPr>
          <w:tab/>
        </w:r>
        <w:r w:rsidR="00FA5DE6" w:rsidRPr="00540E32">
          <w:rPr>
            <w:rStyle w:val="Hypertextovodkaz"/>
            <w:rFonts w:ascii="Times New Roman" w:hAnsi="Times New Roman" w:cs="Times New Roman"/>
            <w:noProof/>
          </w:rPr>
          <w:t>Integrované územní investice (ITI)</w:t>
        </w:r>
        <w:r w:rsidR="00FA5DE6">
          <w:rPr>
            <w:noProof/>
            <w:webHidden/>
          </w:rPr>
          <w:tab/>
        </w:r>
        <w:r w:rsidR="00FA5DE6">
          <w:rPr>
            <w:noProof/>
            <w:webHidden/>
          </w:rPr>
          <w:fldChar w:fldCharType="begin"/>
        </w:r>
        <w:r w:rsidR="00FA5DE6">
          <w:rPr>
            <w:noProof/>
            <w:webHidden/>
          </w:rPr>
          <w:instrText xml:space="preserve"> PAGEREF _Toc374702906 \h </w:instrText>
        </w:r>
        <w:r w:rsidR="00FA5DE6">
          <w:rPr>
            <w:noProof/>
            <w:webHidden/>
          </w:rPr>
        </w:r>
        <w:r w:rsidR="00FA5DE6">
          <w:rPr>
            <w:noProof/>
            <w:webHidden/>
          </w:rPr>
          <w:fldChar w:fldCharType="separate"/>
        </w:r>
        <w:r w:rsidR="007C638F">
          <w:rPr>
            <w:noProof/>
            <w:webHidden/>
          </w:rPr>
          <w:t>158</w:t>
        </w:r>
        <w:r w:rsidR="00FA5DE6">
          <w:rPr>
            <w:noProof/>
            <w:webHidden/>
          </w:rPr>
          <w:fldChar w:fldCharType="end"/>
        </w:r>
      </w:hyperlink>
    </w:p>
    <w:p w:rsidR="00FA5DE6" w:rsidRDefault="00885D8C">
      <w:pPr>
        <w:pStyle w:val="Obsah3"/>
        <w:tabs>
          <w:tab w:val="left" w:pos="1100"/>
          <w:tab w:val="right" w:leader="dot" w:pos="9060"/>
        </w:tabs>
        <w:rPr>
          <w:rFonts w:asciiTheme="minorHAnsi" w:eastAsiaTheme="minorEastAsia" w:hAnsiTheme="minorHAnsi" w:cstheme="minorBidi"/>
          <w:i w:val="0"/>
          <w:iCs w:val="0"/>
          <w:noProof/>
          <w:sz w:val="22"/>
          <w:szCs w:val="22"/>
          <w:lang w:eastAsia="cs-CZ"/>
        </w:rPr>
      </w:pPr>
      <w:hyperlink w:anchor="_Toc374702907" w:history="1">
        <w:r w:rsidR="00FA5DE6" w:rsidRPr="00540E32">
          <w:rPr>
            <w:rStyle w:val="Hypertextovodkaz"/>
            <w:rFonts w:ascii="Times New Roman" w:hAnsi="Times New Roman" w:cs="Times New Roman"/>
            <w:noProof/>
          </w:rPr>
          <w:t>3.1.3</w:t>
        </w:r>
        <w:r w:rsidR="00FA5DE6">
          <w:rPr>
            <w:rFonts w:asciiTheme="minorHAnsi" w:eastAsiaTheme="minorEastAsia" w:hAnsiTheme="minorHAnsi" w:cstheme="minorBidi"/>
            <w:i w:val="0"/>
            <w:iCs w:val="0"/>
            <w:noProof/>
            <w:sz w:val="22"/>
            <w:szCs w:val="22"/>
            <w:lang w:eastAsia="cs-CZ"/>
          </w:rPr>
          <w:tab/>
        </w:r>
        <w:r w:rsidR="00FA5DE6" w:rsidRPr="00540E32">
          <w:rPr>
            <w:rStyle w:val="Hypertextovodkaz"/>
            <w:rFonts w:ascii="Times New Roman" w:hAnsi="Times New Roman" w:cs="Times New Roman"/>
            <w:noProof/>
          </w:rPr>
          <w:t>Udržitelný rozvoj měst, včetně zásad pro vymezení městských oblastí, ve kterých mají být integrované intervence uplatněny (čl. 7 a 8 nařízení k EFRR a čl. 12 nařízení k ESF)</w:t>
        </w:r>
        <w:r w:rsidR="00FA5DE6">
          <w:rPr>
            <w:noProof/>
            <w:webHidden/>
          </w:rPr>
          <w:tab/>
        </w:r>
        <w:r w:rsidR="00FA5DE6">
          <w:rPr>
            <w:noProof/>
            <w:webHidden/>
          </w:rPr>
          <w:fldChar w:fldCharType="begin"/>
        </w:r>
        <w:r w:rsidR="00FA5DE6">
          <w:rPr>
            <w:noProof/>
            <w:webHidden/>
          </w:rPr>
          <w:instrText xml:space="preserve"> PAGEREF _Toc374702907 \h </w:instrText>
        </w:r>
        <w:r w:rsidR="00FA5DE6">
          <w:rPr>
            <w:noProof/>
            <w:webHidden/>
          </w:rPr>
        </w:r>
        <w:r w:rsidR="00FA5DE6">
          <w:rPr>
            <w:noProof/>
            <w:webHidden/>
          </w:rPr>
          <w:fldChar w:fldCharType="separate"/>
        </w:r>
        <w:r w:rsidR="007C638F">
          <w:rPr>
            <w:noProof/>
            <w:webHidden/>
          </w:rPr>
          <w:t>159</w:t>
        </w:r>
        <w:r w:rsidR="00FA5DE6">
          <w:rPr>
            <w:noProof/>
            <w:webHidden/>
          </w:rPr>
          <w:fldChar w:fldCharType="end"/>
        </w:r>
      </w:hyperlink>
    </w:p>
    <w:p w:rsidR="00FA5DE6" w:rsidRDefault="00885D8C">
      <w:pPr>
        <w:pStyle w:val="Obsah3"/>
        <w:tabs>
          <w:tab w:val="left" w:pos="1100"/>
          <w:tab w:val="right" w:leader="dot" w:pos="9060"/>
        </w:tabs>
        <w:rPr>
          <w:rFonts w:asciiTheme="minorHAnsi" w:eastAsiaTheme="minorEastAsia" w:hAnsiTheme="minorHAnsi" w:cstheme="minorBidi"/>
          <w:i w:val="0"/>
          <w:iCs w:val="0"/>
          <w:noProof/>
          <w:sz w:val="22"/>
          <w:szCs w:val="22"/>
          <w:lang w:eastAsia="cs-CZ"/>
        </w:rPr>
      </w:pPr>
      <w:hyperlink w:anchor="_Toc374702908" w:history="1">
        <w:r w:rsidR="00FA5DE6" w:rsidRPr="00540E32">
          <w:rPr>
            <w:rStyle w:val="Hypertextovodkaz"/>
            <w:rFonts w:ascii="Times New Roman" w:hAnsi="Times New Roman" w:cs="Times New Roman"/>
            <w:noProof/>
          </w:rPr>
          <w:t>3.1.4</w:t>
        </w:r>
        <w:r w:rsidR="00FA5DE6">
          <w:rPr>
            <w:rFonts w:asciiTheme="minorHAnsi" w:eastAsiaTheme="minorEastAsia" w:hAnsiTheme="minorHAnsi" w:cstheme="minorBidi"/>
            <w:i w:val="0"/>
            <w:iCs w:val="0"/>
            <w:noProof/>
            <w:sz w:val="22"/>
            <w:szCs w:val="22"/>
            <w:lang w:eastAsia="cs-CZ"/>
          </w:rPr>
          <w:tab/>
        </w:r>
        <w:r w:rsidR="00FA5DE6" w:rsidRPr="00540E32">
          <w:rPr>
            <w:rStyle w:val="Hypertextovodkaz"/>
            <w:rFonts w:ascii="Times New Roman" w:hAnsi="Times New Roman" w:cs="Times New Roman"/>
            <w:noProof/>
          </w:rPr>
          <w:t>Určení hlavních prioritních oblastí pro spolupráci v rámci fondů a v relevantních případech se zohledněním makroregionálních aj. strategií</w:t>
        </w:r>
        <w:r w:rsidR="00FA5DE6">
          <w:rPr>
            <w:noProof/>
            <w:webHidden/>
          </w:rPr>
          <w:tab/>
        </w:r>
        <w:r w:rsidR="00FA5DE6">
          <w:rPr>
            <w:noProof/>
            <w:webHidden/>
          </w:rPr>
          <w:fldChar w:fldCharType="begin"/>
        </w:r>
        <w:r w:rsidR="00FA5DE6">
          <w:rPr>
            <w:noProof/>
            <w:webHidden/>
          </w:rPr>
          <w:instrText xml:space="preserve"> PAGEREF _Toc374702908 \h </w:instrText>
        </w:r>
        <w:r w:rsidR="00FA5DE6">
          <w:rPr>
            <w:noProof/>
            <w:webHidden/>
          </w:rPr>
        </w:r>
        <w:r w:rsidR="00FA5DE6">
          <w:rPr>
            <w:noProof/>
            <w:webHidden/>
          </w:rPr>
          <w:fldChar w:fldCharType="separate"/>
        </w:r>
        <w:r w:rsidR="007C638F">
          <w:rPr>
            <w:noProof/>
            <w:webHidden/>
          </w:rPr>
          <w:t>161</w:t>
        </w:r>
        <w:r w:rsidR="00FA5DE6">
          <w:rPr>
            <w:noProof/>
            <w:webHidden/>
          </w:rPr>
          <w:fldChar w:fldCharType="end"/>
        </w:r>
      </w:hyperlink>
    </w:p>
    <w:p w:rsidR="00FA5DE6" w:rsidRDefault="00885D8C">
      <w:pPr>
        <w:pStyle w:val="Obsah3"/>
        <w:tabs>
          <w:tab w:val="left" w:pos="1100"/>
          <w:tab w:val="right" w:leader="dot" w:pos="9060"/>
        </w:tabs>
        <w:rPr>
          <w:rFonts w:asciiTheme="minorHAnsi" w:eastAsiaTheme="minorEastAsia" w:hAnsiTheme="minorHAnsi" w:cstheme="minorBidi"/>
          <w:i w:val="0"/>
          <w:iCs w:val="0"/>
          <w:noProof/>
          <w:sz w:val="22"/>
          <w:szCs w:val="22"/>
          <w:lang w:eastAsia="cs-CZ"/>
        </w:rPr>
      </w:pPr>
      <w:hyperlink w:anchor="_Toc374702909" w:history="1">
        <w:r w:rsidR="00FA5DE6" w:rsidRPr="00540E32">
          <w:rPr>
            <w:rStyle w:val="Hypertextovodkaz"/>
            <w:rFonts w:ascii="Times New Roman" w:hAnsi="Times New Roman" w:cs="Times New Roman"/>
            <w:noProof/>
          </w:rPr>
          <w:t>3.1.5</w:t>
        </w:r>
        <w:r w:rsidR="00FA5DE6">
          <w:rPr>
            <w:rFonts w:asciiTheme="minorHAnsi" w:eastAsiaTheme="minorEastAsia" w:hAnsiTheme="minorHAnsi" w:cstheme="minorBidi"/>
            <w:i w:val="0"/>
            <w:iCs w:val="0"/>
            <w:noProof/>
            <w:sz w:val="22"/>
            <w:szCs w:val="22"/>
            <w:lang w:eastAsia="cs-CZ"/>
          </w:rPr>
          <w:tab/>
        </w:r>
        <w:r w:rsidR="00FA5DE6" w:rsidRPr="00540E32">
          <w:rPr>
            <w:rStyle w:val="Hypertextovodkaz"/>
            <w:rFonts w:ascii="Times New Roman" w:hAnsi="Times New Roman" w:cs="Times New Roman"/>
            <w:noProof/>
          </w:rPr>
          <w:t>Integrovaný přístup k řešení specifických potřeb území, která jsou nejvíce zasažena chudobou nebo cílových skupin s nejvyšším rizikem diskriminace nebo sociálního vyloučení</w:t>
        </w:r>
        <w:r w:rsidR="00FA5DE6">
          <w:rPr>
            <w:noProof/>
            <w:webHidden/>
          </w:rPr>
          <w:tab/>
        </w:r>
        <w:r w:rsidR="00FA5DE6">
          <w:rPr>
            <w:noProof/>
            <w:webHidden/>
          </w:rPr>
          <w:fldChar w:fldCharType="begin"/>
        </w:r>
        <w:r w:rsidR="00FA5DE6">
          <w:rPr>
            <w:noProof/>
            <w:webHidden/>
          </w:rPr>
          <w:instrText xml:space="preserve"> PAGEREF _Toc374702909 \h </w:instrText>
        </w:r>
        <w:r w:rsidR="00FA5DE6">
          <w:rPr>
            <w:noProof/>
            <w:webHidden/>
          </w:rPr>
        </w:r>
        <w:r w:rsidR="00FA5DE6">
          <w:rPr>
            <w:noProof/>
            <w:webHidden/>
          </w:rPr>
          <w:fldChar w:fldCharType="separate"/>
        </w:r>
        <w:r w:rsidR="007C638F">
          <w:rPr>
            <w:noProof/>
            <w:webHidden/>
          </w:rPr>
          <w:t>164</w:t>
        </w:r>
        <w:r w:rsidR="00FA5DE6">
          <w:rPr>
            <w:noProof/>
            <w:webHidden/>
          </w:rPr>
          <w:fldChar w:fldCharType="end"/>
        </w:r>
      </w:hyperlink>
    </w:p>
    <w:p w:rsidR="00FA5DE6" w:rsidRDefault="00885D8C">
      <w:pPr>
        <w:pStyle w:val="Obsah3"/>
        <w:tabs>
          <w:tab w:val="left" w:pos="1100"/>
          <w:tab w:val="right" w:leader="dot" w:pos="9060"/>
        </w:tabs>
        <w:rPr>
          <w:rFonts w:asciiTheme="minorHAnsi" w:eastAsiaTheme="minorEastAsia" w:hAnsiTheme="minorHAnsi" w:cstheme="minorBidi"/>
          <w:i w:val="0"/>
          <w:iCs w:val="0"/>
          <w:noProof/>
          <w:sz w:val="22"/>
          <w:szCs w:val="22"/>
          <w:lang w:eastAsia="cs-CZ"/>
        </w:rPr>
      </w:pPr>
      <w:hyperlink w:anchor="_Toc374702910" w:history="1">
        <w:r w:rsidR="00FA5DE6" w:rsidRPr="00540E32">
          <w:rPr>
            <w:rStyle w:val="Hypertextovodkaz"/>
            <w:rFonts w:ascii="Times New Roman" w:hAnsi="Times New Roman" w:cs="Times New Roman"/>
            <w:noProof/>
          </w:rPr>
          <w:t>3.1.6</w:t>
        </w:r>
        <w:r w:rsidR="00FA5DE6">
          <w:rPr>
            <w:rFonts w:asciiTheme="minorHAnsi" w:eastAsiaTheme="minorEastAsia" w:hAnsiTheme="minorHAnsi" w:cstheme="minorBidi"/>
            <w:i w:val="0"/>
            <w:iCs w:val="0"/>
            <w:noProof/>
            <w:sz w:val="22"/>
            <w:szCs w:val="22"/>
            <w:lang w:eastAsia="cs-CZ"/>
          </w:rPr>
          <w:tab/>
        </w:r>
        <w:r w:rsidR="00FA5DE6" w:rsidRPr="00540E32">
          <w:rPr>
            <w:rStyle w:val="Hypertextovodkaz"/>
            <w:rFonts w:ascii="Times New Roman" w:hAnsi="Times New Roman" w:cs="Times New Roman"/>
            <w:noProof/>
          </w:rPr>
          <w:t>Integrovaný přístup k řešení demografických problémů v regionech nebo specifické potřeby geografických oblastí, postižených silnými nebo trvalým přírodním nebo demografickým znevýhodněním</w:t>
        </w:r>
        <w:r w:rsidR="00FA5DE6">
          <w:rPr>
            <w:noProof/>
            <w:webHidden/>
          </w:rPr>
          <w:tab/>
        </w:r>
        <w:r w:rsidR="00FA5DE6">
          <w:rPr>
            <w:noProof/>
            <w:webHidden/>
          </w:rPr>
          <w:fldChar w:fldCharType="begin"/>
        </w:r>
        <w:r w:rsidR="00FA5DE6">
          <w:rPr>
            <w:noProof/>
            <w:webHidden/>
          </w:rPr>
          <w:instrText xml:space="preserve"> PAGEREF _Toc374702910 \h </w:instrText>
        </w:r>
        <w:r w:rsidR="00FA5DE6">
          <w:rPr>
            <w:noProof/>
            <w:webHidden/>
          </w:rPr>
        </w:r>
        <w:r w:rsidR="00FA5DE6">
          <w:rPr>
            <w:noProof/>
            <w:webHidden/>
          </w:rPr>
          <w:fldChar w:fldCharType="separate"/>
        </w:r>
        <w:r w:rsidR="007C638F">
          <w:rPr>
            <w:noProof/>
            <w:webHidden/>
          </w:rPr>
          <w:t>169</w:t>
        </w:r>
        <w:r w:rsidR="00FA5DE6">
          <w:rPr>
            <w:noProof/>
            <w:webHidden/>
          </w:rPr>
          <w:fldChar w:fldCharType="end"/>
        </w:r>
      </w:hyperlink>
    </w:p>
    <w:p w:rsidR="00FA5DE6" w:rsidRDefault="00885D8C">
      <w:pPr>
        <w:pStyle w:val="Obsah1"/>
        <w:tabs>
          <w:tab w:val="left" w:pos="440"/>
          <w:tab w:val="right" w:leader="dot" w:pos="9060"/>
        </w:tabs>
        <w:rPr>
          <w:rFonts w:asciiTheme="minorHAnsi" w:eastAsiaTheme="minorEastAsia" w:hAnsiTheme="minorHAnsi" w:cstheme="minorBidi"/>
          <w:b w:val="0"/>
          <w:bCs w:val="0"/>
          <w:caps w:val="0"/>
          <w:noProof/>
          <w:sz w:val="22"/>
          <w:szCs w:val="22"/>
          <w:lang w:eastAsia="cs-CZ"/>
        </w:rPr>
      </w:pPr>
      <w:hyperlink w:anchor="_Toc374702911" w:history="1">
        <w:r w:rsidR="00FA5DE6" w:rsidRPr="00540E32">
          <w:rPr>
            <w:rStyle w:val="Hypertextovodkaz"/>
            <w:rFonts w:ascii="Times New Roman" w:hAnsi="Times New Roman" w:cs="Times New Roman"/>
            <w:noProof/>
          </w:rPr>
          <w:t>4</w:t>
        </w:r>
        <w:r w:rsidR="00FA5DE6">
          <w:rPr>
            <w:rFonts w:asciiTheme="minorHAnsi" w:eastAsiaTheme="minorEastAsia" w:hAnsiTheme="minorHAnsi" w:cstheme="minorBidi"/>
            <w:b w:val="0"/>
            <w:bCs w:val="0"/>
            <w:caps w:val="0"/>
            <w:noProof/>
            <w:sz w:val="22"/>
            <w:szCs w:val="22"/>
            <w:lang w:eastAsia="cs-CZ"/>
          </w:rPr>
          <w:tab/>
        </w:r>
        <w:r w:rsidR="00FA5DE6" w:rsidRPr="00540E32">
          <w:rPr>
            <w:rStyle w:val="Hypertextovodkaz"/>
            <w:rFonts w:ascii="Times New Roman" w:hAnsi="Times New Roman" w:cs="Times New Roman"/>
            <w:noProof/>
          </w:rPr>
          <w:t>Opatření k zajištění efektivní implementace Dohody a programů podle čl. 14 (2,B) obecného nařízení</w:t>
        </w:r>
        <w:r w:rsidR="00FA5DE6">
          <w:rPr>
            <w:noProof/>
            <w:webHidden/>
          </w:rPr>
          <w:tab/>
        </w:r>
        <w:r w:rsidR="00FA5DE6">
          <w:rPr>
            <w:noProof/>
            <w:webHidden/>
          </w:rPr>
          <w:fldChar w:fldCharType="begin"/>
        </w:r>
        <w:r w:rsidR="00FA5DE6">
          <w:rPr>
            <w:noProof/>
            <w:webHidden/>
          </w:rPr>
          <w:instrText xml:space="preserve"> PAGEREF _Toc374702911 \h </w:instrText>
        </w:r>
        <w:r w:rsidR="00FA5DE6">
          <w:rPr>
            <w:noProof/>
            <w:webHidden/>
          </w:rPr>
        </w:r>
        <w:r w:rsidR="00FA5DE6">
          <w:rPr>
            <w:noProof/>
            <w:webHidden/>
          </w:rPr>
          <w:fldChar w:fldCharType="separate"/>
        </w:r>
        <w:r w:rsidR="007C638F">
          <w:rPr>
            <w:noProof/>
            <w:webHidden/>
          </w:rPr>
          <w:t>170</w:t>
        </w:r>
        <w:r w:rsidR="00FA5DE6">
          <w:rPr>
            <w:noProof/>
            <w:webHidden/>
          </w:rPr>
          <w:fldChar w:fldCharType="end"/>
        </w:r>
      </w:hyperlink>
    </w:p>
    <w:p w:rsidR="00FA5DE6" w:rsidRDefault="00885D8C">
      <w:pPr>
        <w:pStyle w:val="Obsah2"/>
        <w:tabs>
          <w:tab w:val="left" w:pos="880"/>
          <w:tab w:val="right" w:leader="dot" w:pos="9060"/>
        </w:tabs>
        <w:rPr>
          <w:rFonts w:asciiTheme="minorHAnsi" w:eastAsiaTheme="minorEastAsia" w:hAnsiTheme="minorHAnsi" w:cstheme="minorBidi"/>
          <w:smallCaps w:val="0"/>
          <w:noProof/>
          <w:sz w:val="22"/>
          <w:szCs w:val="22"/>
          <w:lang w:eastAsia="cs-CZ"/>
        </w:rPr>
      </w:pPr>
      <w:hyperlink w:anchor="_Toc374702912" w:history="1">
        <w:r w:rsidR="00FA5DE6" w:rsidRPr="00540E32">
          <w:rPr>
            <w:rStyle w:val="Hypertextovodkaz"/>
            <w:noProof/>
          </w:rPr>
          <w:t>4.1</w:t>
        </w:r>
        <w:r w:rsidR="00FA5DE6">
          <w:rPr>
            <w:rFonts w:asciiTheme="minorHAnsi" w:eastAsiaTheme="minorEastAsia" w:hAnsiTheme="minorHAnsi" w:cstheme="minorBidi"/>
            <w:smallCaps w:val="0"/>
            <w:noProof/>
            <w:sz w:val="22"/>
            <w:szCs w:val="22"/>
            <w:lang w:eastAsia="cs-CZ"/>
          </w:rPr>
          <w:tab/>
        </w:r>
        <w:r w:rsidR="00FA5DE6" w:rsidRPr="00540E32">
          <w:rPr>
            <w:rStyle w:val="Hypertextovodkaz"/>
            <w:noProof/>
          </w:rPr>
          <w:t>Elektronizace dat</w:t>
        </w:r>
        <w:r w:rsidR="00FA5DE6">
          <w:rPr>
            <w:noProof/>
            <w:webHidden/>
          </w:rPr>
          <w:tab/>
        </w:r>
        <w:r w:rsidR="00FA5DE6">
          <w:rPr>
            <w:noProof/>
            <w:webHidden/>
          </w:rPr>
          <w:fldChar w:fldCharType="begin"/>
        </w:r>
        <w:r w:rsidR="00FA5DE6">
          <w:rPr>
            <w:noProof/>
            <w:webHidden/>
          </w:rPr>
          <w:instrText xml:space="preserve"> PAGEREF _Toc374702912 \h </w:instrText>
        </w:r>
        <w:r w:rsidR="00FA5DE6">
          <w:rPr>
            <w:noProof/>
            <w:webHidden/>
          </w:rPr>
        </w:r>
        <w:r w:rsidR="00FA5DE6">
          <w:rPr>
            <w:noProof/>
            <w:webHidden/>
          </w:rPr>
          <w:fldChar w:fldCharType="separate"/>
        </w:r>
        <w:r w:rsidR="007C638F">
          <w:rPr>
            <w:noProof/>
            <w:webHidden/>
          </w:rPr>
          <w:t>170</w:t>
        </w:r>
        <w:r w:rsidR="00FA5DE6">
          <w:rPr>
            <w:noProof/>
            <w:webHidden/>
          </w:rPr>
          <w:fldChar w:fldCharType="end"/>
        </w:r>
      </w:hyperlink>
    </w:p>
    <w:p w:rsidR="00FA5DE6" w:rsidRDefault="00885D8C">
      <w:pPr>
        <w:pStyle w:val="Obsah1"/>
        <w:tabs>
          <w:tab w:val="left" w:pos="440"/>
          <w:tab w:val="right" w:leader="dot" w:pos="9060"/>
        </w:tabs>
        <w:rPr>
          <w:rFonts w:asciiTheme="minorHAnsi" w:eastAsiaTheme="minorEastAsia" w:hAnsiTheme="minorHAnsi" w:cstheme="minorBidi"/>
          <w:b w:val="0"/>
          <w:bCs w:val="0"/>
          <w:caps w:val="0"/>
          <w:noProof/>
          <w:sz w:val="22"/>
          <w:szCs w:val="22"/>
          <w:lang w:eastAsia="cs-CZ"/>
        </w:rPr>
      </w:pPr>
      <w:hyperlink w:anchor="_Toc374702913" w:history="1">
        <w:r w:rsidR="00FA5DE6" w:rsidRPr="00540E32">
          <w:rPr>
            <w:rStyle w:val="Hypertextovodkaz"/>
            <w:rFonts w:ascii="Times New Roman" w:hAnsi="Times New Roman" w:cs="Times New Roman"/>
            <w:noProof/>
          </w:rPr>
          <w:t>5</w:t>
        </w:r>
        <w:r w:rsidR="00FA5DE6">
          <w:rPr>
            <w:rFonts w:asciiTheme="minorHAnsi" w:eastAsiaTheme="minorEastAsia" w:hAnsiTheme="minorHAnsi" w:cstheme="minorBidi"/>
            <w:b w:val="0"/>
            <w:bCs w:val="0"/>
            <w:caps w:val="0"/>
            <w:noProof/>
            <w:sz w:val="22"/>
            <w:szCs w:val="22"/>
            <w:lang w:eastAsia="cs-CZ"/>
          </w:rPr>
          <w:tab/>
        </w:r>
        <w:r w:rsidR="00FA5DE6" w:rsidRPr="00540E32">
          <w:rPr>
            <w:rStyle w:val="Hypertextovodkaz"/>
            <w:rFonts w:ascii="Times New Roman" w:hAnsi="Times New Roman" w:cs="Times New Roman"/>
            <w:noProof/>
          </w:rPr>
          <w:t>Přílohy</w:t>
        </w:r>
        <w:r w:rsidR="00FA5DE6">
          <w:rPr>
            <w:noProof/>
            <w:webHidden/>
          </w:rPr>
          <w:tab/>
        </w:r>
        <w:r w:rsidR="00FA5DE6">
          <w:rPr>
            <w:noProof/>
            <w:webHidden/>
          </w:rPr>
          <w:fldChar w:fldCharType="begin"/>
        </w:r>
        <w:r w:rsidR="00FA5DE6">
          <w:rPr>
            <w:noProof/>
            <w:webHidden/>
          </w:rPr>
          <w:instrText xml:space="preserve"> PAGEREF _Toc374702913 \h </w:instrText>
        </w:r>
        <w:r w:rsidR="00FA5DE6">
          <w:rPr>
            <w:noProof/>
            <w:webHidden/>
          </w:rPr>
        </w:r>
        <w:r w:rsidR="00FA5DE6">
          <w:rPr>
            <w:noProof/>
            <w:webHidden/>
          </w:rPr>
          <w:fldChar w:fldCharType="separate"/>
        </w:r>
        <w:r w:rsidR="007C638F">
          <w:rPr>
            <w:noProof/>
            <w:webHidden/>
          </w:rPr>
          <w:t>172</w:t>
        </w:r>
        <w:r w:rsidR="00FA5DE6">
          <w:rPr>
            <w:noProof/>
            <w:webHidden/>
          </w:rPr>
          <w:fldChar w:fldCharType="end"/>
        </w:r>
      </w:hyperlink>
    </w:p>
    <w:p w:rsidR="00FA5DE6" w:rsidRDefault="00885D8C">
      <w:pPr>
        <w:pStyle w:val="Obsah2"/>
        <w:tabs>
          <w:tab w:val="left" w:pos="880"/>
          <w:tab w:val="right" w:leader="dot" w:pos="9060"/>
        </w:tabs>
        <w:rPr>
          <w:rFonts w:asciiTheme="minorHAnsi" w:eastAsiaTheme="minorEastAsia" w:hAnsiTheme="minorHAnsi" w:cstheme="minorBidi"/>
          <w:smallCaps w:val="0"/>
          <w:noProof/>
          <w:sz w:val="22"/>
          <w:szCs w:val="22"/>
          <w:lang w:eastAsia="cs-CZ"/>
        </w:rPr>
      </w:pPr>
      <w:hyperlink w:anchor="_Toc374702914" w:history="1">
        <w:r w:rsidR="00FA5DE6" w:rsidRPr="00540E32">
          <w:rPr>
            <w:rStyle w:val="Hypertextovodkaz"/>
            <w:noProof/>
          </w:rPr>
          <w:t>5.1</w:t>
        </w:r>
        <w:r w:rsidR="00FA5DE6">
          <w:rPr>
            <w:rFonts w:asciiTheme="minorHAnsi" w:eastAsiaTheme="minorEastAsia" w:hAnsiTheme="minorHAnsi" w:cstheme="minorBidi"/>
            <w:smallCaps w:val="0"/>
            <w:noProof/>
            <w:sz w:val="22"/>
            <w:szCs w:val="22"/>
            <w:lang w:eastAsia="cs-CZ"/>
          </w:rPr>
          <w:tab/>
        </w:r>
        <w:r w:rsidR="00FA5DE6" w:rsidRPr="00540E32">
          <w:rPr>
            <w:rStyle w:val="Hypertextovodkaz"/>
            <w:noProof/>
          </w:rPr>
          <w:t>5.1. Platformy pro přípravu programového období 2014–2020 a členství v klíčových platformách</w:t>
        </w:r>
        <w:r w:rsidR="00FA5DE6">
          <w:rPr>
            <w:noProof/>
            <w:webHidden/>
          </w:rPr>
          <w:tab/>
        </w:r>
        <w:r w:rsidR="00FA5DE6">
          <w:rPr>
            <w:noProof/>
            <w:webHidden/>
          </w:rPr>
          <w:fldChar w:fldCharType="begin"/>
        </w:r>
        <w:r w:rsidR="00FA5DE6">
          <w:rPr>
            <w:noProof/>
            <w:webHidden/>
          </w:rPr>
          <w:instrText xml:space="preserve"> PAGEREF _Toc374702914 \h </w:instrText>
        </w:r>
        <w:r w:rsidR="00FA5DE6">
          <w:rPr>
            <w:noProof/>
            <w:webHidden/>
          </w:rPr>
        </w:r>
        <w:r w:rsidR="00FA5DE6">
          <w:rPr>
            <w:noProof/>
            <w:webHidden/>
          </w:rPr>
          <w:fldChar w:fldCharType="separate"/>
        </w:r>
        <w:r w:rsidR="007C638F">
          <w:rPr>
            <w:noProof/>
            <w:webHidden/>
          </w:rPr>
          <w:t>172</w:t>
        </w:r>
        <w:r w:rsidR="00FA5DE6">
          <w:rPr>
            <w:noProof/>
            <w:webHidden/>
          </w:rPr>
          <w:fldChar w:fldCharType="end"/>
        </w:r>
      </w:hyperlink>
    </w:p>
    <w:p w:rsidR="00FA5DE6" w:rsidRDefault="00885D8C">
      <w:pPr>
        <w:pStyle w:val="Obsah2"/>
        <w:tabs>
          <w:tab w:val="left" w:pos="880"/>
          <w:tab w:val="right" w:leader="dot" w:pos="9060"/>
        </w:tabs>
        <w:rPr>
          <w:rFonts w:asciiTheme="minorHAnsi" w:eastAsiaTheme="minorEastAsia" w:hAnsiTheme="minorHAnsi" w:cstheme="minorBidi"/>
          <w:smallCaps w:val="0"/>
          <w:noProof/>
          <w:sz w:val="22"/>
          <w:szCs w:val="22"/>
          <w:lang w:eastAsia="cs-CZ"/>
        </w:rPr>
      </w:pPr>
      <w:hyperlink w:anchor="_Toc374702915" w:history="1">
        <w:r w:rsidR="00FA5DE6" w:rsidRPr="00540E32">
          <w:rPr>
            <w:rStyle w:val="Hypertextovodkaz"/>
            <w:noProof/>
          </w:rPr>
          <w:t>5.2</w:t>
        </w:r>
        <w:r w:rsidR="00FA5DE6">
          <w:rPr>
            <w:rFonts w:asciiTheme="minorHAnsi" w:eastAsiaTheme="minorEastAsia" w:hAnsiTheme="minorHAnsi" w:cstheme="minorBidi"/>
            <w:smallCaps w:val="0"/>
            <w:noProof/>
            <w:sz w:val="22"/>
            <w:szCs w:val="22"/>
            <w:lang w:eastAsia="cs-CZ"/>
          </w:rPr>
          <w:tab/>
        </w:r>
        <w:r w:rsidR="00FA5DE6" w:rsidRPr="00540E32">
          <w:rPr>
            <w:rStyle w:val="Hypertextovodkaz"/>
            <w:noProof/>
          </w:rPr>
          <w:t>Hodnocení naplňování předběžných podmínek</w:t>
        </w:r>
        <w:r w:rsidR="00FA5DE6">
          <w:rPr>
            <w:noProof/>
            <w:webHidden/>
          </w:rPr>
          <w:tab/>
        </w:r>
        <w:r w:rsidR="00FA5DE6">
          <w:rPr>
            <w:noProof/>
            <w:webHidden/>
          </w:rPr>
          <w:fldChar w:fldCharType="begin"/>
        </w:r>
        <w:r w:rsidR="00FA5DE6">
          <w:rPr>
            <w:noProof/>
            <w:webHidden/>
          </w:rPr>
          <w:instrText xml:space="preserve"> PAGEREF _Toc374702915 \h </w:instrText>
        </w:r>
        <w:r w:rsidR="00FA5DE6">
          <w:rPr>
            <w:noProof/>
            <w:webHidden/>
          </w:rPr>
        </w:r>
        <w:r w:rsidR="00FA5DE6">
          <w:rPr>
            <w:noProof/>
            <w:webHidden/>
          </w:rPr>
          <w:fldChar w:fldCharType="separate"/>
        </w:r>
        <w:r w:rsidR="007C638F">
          <w:rPr>
            <w:noProof/>
            <w:webHidden/>
          </w:rPr>
          <w:t>176</w:t>
        </w:r>
        <w:r w:rsidR="00FA5DE6">
          <w:rPr>
            <w:noProof/>
            <w:webHidden/>
          </w:rPr>
          <w:fldChar w:fldCharType="end"/>
        </w:r>
      </w:hyperlink>
    </w:p>
    <w:p w:rsidR="00FA5DE6" w:rsidRDefault="00885D8C">
      <w:pPr>
        <w:pStyle w:val="Obsah1"/>
        <w:tabs>
          <w:tab w:val="right" w:leader="dot" w:pos="9060"/>
        </w:tabs>
        <w:rPr>
          <w:rFonts w:asciiTheme="minorHAnsi" w:eastAsiaTheme="minorEastAsia" w:hAnsiTheme="minorHAnsi" w:cstheme="minorBidi"/>
          <w:b w:val="0"/>
          <w:bCs w:val="0"/>
          <w:caps w:val="0"/>
          <w:noProof/>
          <w:sz w:val="22"/>
          <w:szCs w:val="22"/>
          <w:lang w:eastAsia="cs-CZ"/>
        </w:rPr>
      </w:pPr>
      <w:hyperlink w:anchor="_Toc374702916" w:history="1">
        <w:r w:rsidR="00FA5DE6" w:rsidRPr="00540E32">
          <w:rPr>
            <w:rStyle w:val="Hypertextovodkaz"/>
            <w:rFonts w:ascii="Times New Roman" w:hAnsi="Times New Roman" w:cs="Times New Roman"/>
            <w:i/>
            <w:iCs/>
            <w:noProof/>
          </w:rPr>
          <w:t>Seznam použitých zkratek</w:t>
        </w:r>
        <w:r w:rsidR="00FA5DE6">
          <w:rPr>
            <w:noProof/>
            <w:webHidden/>
          </w:rPr>
          <w:tab/>
        </w:r>
        <w:r w:rsidR="00FA5DE6">
          <w:rPr>
            <w:noProof/>
            <w:webHidden/>
          </w:rPr>
          <w:fldChar w:fldCharType="begin"/>
        </w:r>
        <w:r w:rsidR="00FA5DE6">
          <w:rPr>
            <w:noProof/>
            <w:webHidden/>
          </w:rPr>
          <w:instrText xml:space="preserve"> PAGEREF _Toc374702916 \h </w:instrText>
        </w:r>
        <w:r w:rsidR="00FA5DE6">
          <w:rPr>
            <w:noProof/>
            <w:webHidden/>
          </w:rPr>
        </w:r>
        <w:r w:rsidR="00FA5DE6">
          <w:rPr>
            <w:noProof/>
            <w:webHidden/>
          </w:rPr>
          <w:fldChar w:fldCharType="separate"/>
        </w:r>
        <w:r w:rsidR="007C638F">
          <w:rPr>
            <w:noProof/>
            <w:webHidden/>
          </w:rPr>
          <w:t>177</w:t>
        </w:r>
        <w:r w:rsidR="00FA5DE6">
          <w:rPr>
            <w:noProof/>
            <w:webHidden/>
          </w:rPr>
          <w:fldChar w:fldCharType="end"/>
        </w:r>
      </w:hyperlink>
    </w:p>
    <w:p w:rsidR="00426126" w:rsidRDefault="00842329" w:rsidP="0059011D">
      <w:pPr>
        <w:pStyle w:val="Nadpis1"/>
        <w:numPr>
          <w:ilvl w:val="0"/>
          <w:numId w:val="0"/>
        </w:numPr>
        <w:ind w:left="432" w:hanging="432"/>
        <w:rPr>
          <w:caps/>
          <w:sz w:val="24"/>
          <w:szCs w:val="24"/>
        </w:rPr>
      </w:pPr>
      <w:r w:rsidRPr="000B521F">
        <w:rPr>
          <w:caps/>
          <w:sz w:val="24"/>
          <w:szCs w:val="24"/>
        </w:rPr>
        <w:lastRenderedPageBreak/>
        <w:fldChar w:fldCharType="end"/>
      </w:r>
    </w:p>
    <w:p w:rsidR="00426126" w:rsidRDefault="00426126">
      <w:pPr>
        <w:spacing w:after="0" w:line="240" w:lineRule="auto"/>
        <w:rPr>
          <w:rFonts w:eastAsia="Times New Roman"/>
          <w:b/>
          <w:bCs/>
          <w:caps/>
          <w:kern w:val="32"/>
          <w:sz w:val="24"/>
          <w:szCs w:val="24"/>
          <w:lang w:eastAsia="cs-CZ"/>
        </w:rPr>
      </w:pPr>
      <w:r>
        <w:rPr>
          <w:caps/>
          <w:sz w:val="24"/>
          <w:szCs w:val="24"/>
        </w:rPr>
        <w:br w:type="page"/>
      </w:r>
    </w:p>
    <w:p w:rsidR="00582F78" w:rsidRPr="000B521F" w:rsidRDefault="00582F78" w:rsidP="0059011D">
      <w:pPr>
        <w:pStyle w:val="Nadpis1"/>
        <w:numPr>
          <w:ilvl w:val="0"/>
          <w:numId w:val="0"/>
        </w:numPr>
        <w:ind w:left="432" w:hanging="432"/>
      </w:pPr>
      <w:bookmarkStart w:id="2" w:name="_Toc374702850"/>
      <w:r w:rsidRPr="000B521F">
        <w:lastRenderedPageBreak/>
        <w:t>Úvod</w:t>
      </w:r>
      <w:bookmarkEnd w:id="0"/>
      <w:bookmarkEnd w:id="2"/>
    </w:p>
    <w:p w:rsidR="008F5036" w:rsidRDefault="008F5036" w:rsidP="0059011D">
      <w:pPr>
        <w:spacing w:after="120" w:line="240" w:lineRule="auto"/>
        <w:jc w:val="both"/>
        <w:rPr>
          <w:rFonts w:ascii="Times New Roman" w:hAnsi="Times New Roman" w:cs="Times New Roman"/>
          <w:b/>
          <w:color w:val="000000"/>
          <w:sz w:val="24"/>
          <w:szCs w:val="24"/>
        </w:rPr>
      </w:pPr>
      <w:bookmarkStart w:id="3" w:name="_Toc245272136"/>
      <w:bookmarkStart w:id="4" w:name="_Toc350333608"/>
    </w:p>
    <w:p w:rsidR="00F04C24" w:rsidRPr="000B521F" w:rsidRDefault="00F04C24" w:rsidP="0059011D">
      <w:p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b/>
          <w:color w:val="000000"/>
          <w:sz w:val="24"/>
          <w:szCs w:val="24"/>
        </w:rPr>
        <w:t>Dohoda o partnerství pro programové období 2014</w:t>
      </w:r>
      <w:r w:rsidR="002831A5">
        <w:rPr>
          <w:rFonts w:ascii="Times New Roman" w:hAnsi="Times New Roman" w:cs="Times New Roman"/>
          <w:b/>
          <w:color w:val="000000"/>
          <w:sz w:val="24"/>
          <w:szCs w:val="24"/>
        </w:rPr>
        <w:t>–</w:t>
      </w:r>
      <w:r w:rsidRPr="000B521F">
        <w:rPr>
          <w:rFonts w:ascii="Times New Roman" w:hAnsi="Times New Roman" w:cs="Times New Roman"/>
          <w:b/>
          <w:color w:val="000000"/>
          <w:sz w:val="24"/>
          <w:szCs w:val="24"/>
        </w:rPr>
        <w:t xml:space="preserve">2020 </w:t>
      </w:r>
      <w:r w:rsidRPr="000B521F">
        <w:rPr>
          <w:rFonts w:ascii="Times New Roman" w:hAnsi="Times New Roman" w:cs="Times New Roman"/>
          <w:color w:val="000000"/>
          <w:sz w:val="24"/>
          <w:szCs w:val="24"/>
        </w:rPr>
        <w:t>(dále také „Dohoda“ nebo „Dohoda o partnerství“)  je dokument vypracovaný členským státem Evropské unie, který</w:t>
      </w:r>
      <w:r w:rsidRPr="000B521F">
        <w:rPr>
          <w:rFonts w:ascii="Times New Roman" w:hAnsi="Times New Roman" w:cs="Times New Roman"/>
          <w:b/>
          <w:color w:val="000000"/>
          <w:sz w:val="24"/>
          <w:szCs w:val="24"/>
        </w:rPr>
        <w:t xml:space="preserve"> stanoví </w:t>
      </w:r>
      <w:r w:rsidRPr="000B521F">
        <w:rPr>
          <w:rFonts w:ascii="Times New Roman" w:hAnsi="Times New Roman" w:cs="Times New Roman"/>
          <w:color w:val="000000"/>
          <w:sz w:val="24"/>
          <w:szCs w:val="24"/>
        </w:rPr>
        <w:t xml:space="preserve"> cíle a priority  </w:t>
      </w:r>
      <w:r w:rsidRPr="000B521F">
        <w:rPr>
          <w:rFonts w:ascii="Times New Roman" w:hAnsi="Times New Roman" w:cs="Times New Roman"/>
          <w:b/>
          <w:color w:val="000000"/>
          <w:sz w:val="24"/>
          <w:szCs w:val="24"/>
        </w:rPr>
        <w:t xml:space="preserve">pro efektivní využívání Evropských strukturálních a investičních fondů (ESIF) </w:t>
      </w:r>
      <w:r w:rsidRPr="000B521F">
        <w:rPr>
          <w:rFonts w:ascii="Times New Roman" w:hAnsi="Times New Roman" w:cs="Times New Roman"/>
          <w:b/>
          <w:bCs/>
          <w:color w:val="000000"/>
          <w:sz w:val="24"/>
          <w:szCs w:val="24"/>
        </w:rPr>
        <w:t>za účelem naplňování strategie Evropa 2020 na základě vydefinovaných národních priorit</w:t>
      </w:r>
      <w:r w:rsidRPr="000B521F">
        <w:rPr>
          <w:rFonts w:ascii="Times New Roman" w:hAnsi="Times New Roman" w:cs="Times New Roman"/>
          <w:b/>
          <w:color w:val="000000"/>
          <w:sz w:val="24"/>
          <w:szCs w:val="24"/>
        </w:rPr>
        <w:t xml:space="preserve">. </w:t>
      </w:r>
      <w:r w:rsidRPr="000B521F">
        <w:rPr>
          <w:rFonts w:ascii="Times New Roman" w:hAnsi="Times New Roman" w:cs="Times New Roman"/>
          <w:color w:val="000000"/>
          <w:sz w:val="24"/>
          <w:szCs w:val="24"/>
        </w:rPr>
        <w:t xml:space="preserve">ESIF zahrnují Evropský fond pro regionální rozvoj (EFRR), Evropský sociální fond (ESF), Fond soudržnosti (FS), Evropský zemědělský fond pro rozvoj venkova (EZFRV) a Evropský námořní a rybářský fond (ENRF). </w:t>
      </w:r>
      <w:r w:rsidRPr="000B521F">
        <w:rPr>
          <w:rFonts w:ascii="Times New Roman" w:hAnsi="Times New Roman" w:cs="Times New Roman"/>
          <w:color w:val="000000"/>
          <w:sz w:val="24"/>
          <w:szCs w:val="24"/>
          <w:u w:color="000000"/>
        </w:rPr>
        <w:t>Dohoda  zastřešuje  operační programy (OP) cíle Investice pro růst a zaměstnanost a cíle Evropská územní spolupráce spadající pod politiku soudržnosti EU a  programy spadající pod II. pilíř Společné zemědělské politiky a Společné rybářské politiky.</w:t>
      </w:r>
      <w:r w:rsidRPr="000B521F">
        <w:rPr>
          <w:rFonts w:ascii="Times New Roman" w:hAnsi="Times New Roman" w:cs="Times New Roman"/>
          <w:color w:val="000000"/>
          <w:sz w:val="24"/>
          <w:szCs w:val="24"/>
        </w:rPr>
        <w:t xml:space="preserve"> Dohoda je zpracována v souladu s čl. 14 návrhu obecného nařízení</w:t>
      </w:r>
      <w:r w:rsidRPr="000B521F">
        <w:rPr>
          <w:rStyle w:val="Znakapoznpodarou"/>
          <w:rFonts w:ascii="Times New Roman" w:hAnsi="Times New Roman" w:cs="Times New Roman"/>
          <w:color w:val="000000"/>
          <w:sz w:val="24"/>
          <w:szCs w:val="24"/>
        </w:rPr>
        <w:footnoteReference w:id="1"/>
      </w:r>
      <w:r w:rsidRPr="000B521F">
        <w:rPr>
          <w:rFonts w:ascii="Times New Roman" w:hAnsi="Times New Roman" w:cs="Times New Roman"/>
          <w:color w:val="000000"/>
          <w:sz w:val="24"/>
          <w:szCs w:val="24"/>
        </w:rPr>
        <w:t xml:space="preserve"> ESIF, který stanovuje její obsah, a zároveň v souladu s šablonou EK (</w:t>
      </w:r>
      <w:r w:rsidRPr="000B521F">
        <w:rPr>
          <w:rFonts w:ascii="Times New Roman" w:hAnsi="Times New Roman" w:cs="Times New Roman"/>
          <w:sz w:val="24"/>
          <w:szCs w:val="24"/>
          <w:lang w:val="en-US"/>
        </w:rPr>
        <w:t>Draft Template and Guidelines on the Content of the Partnership Agreement</w:t>
      </w:r>
      <w:r w:rsidRPr="000B521F">
        <w:rPr>
          <w:rFonts w:ascii="Times New Roman" w:hAnsi="Times New Roman" w:cs="Times New Roman"/>
          <w:sz w:val="24"/>
          <w:szCs w:val="24"/>
        </w:rPr>
        <w:t xml:space="preserve">, verze </w:t>
      </w:r>
      <w:r w:rsidR="00AA5AB8" w:rsidRPr="000B521F">
        <w:rPr>
          <w:rFonts w:ascii="Times New Roman" w:hAnsi="Times New Roman" w:cs="Times New Roman"/>
          <w:sz w:val="24"/>
          <w:szCs w:val="24"/>
        </w:rPr>
        <w:t>5</w:t>
      </w:r>
      <w:r w:rsidRPr="000B521F">
        <w:rPr>
          <w:rFonts w:ascii="Times New Roman" w:hAnsi="Times New Roman" w:cs="Times New Roman"/>
          <w:sz w:val="24"/>
          <w:szCs w:val="24"/>
        </w:rPr>
        <w:t xml:space="preserve">., </w:t>
      </w:r>
      <w:r w:rsidR="00AA5AB8" w:rsidRPr="000B521F">
        <w:rPr>
          <w:rFonts w:ascii="Times New Roman" w:hAnsi="Times New Roman" w:cs="Times New Roman"/>
          <w:sz w:val="24"/>
          <w:szCs w:val="24"/>
        </w:rPr>
        <w:t>31</w:t>
      </w:r>
      <w:r w:rsidRPr="000B521F">
        <w:rPr>
          <w:rFonts w:ascii="Times New Roman" w:hAnsi="Times New Roman" w:cs="Times New Roman"/>
          <w:sz w:val="24"/>
          <w:szCs w:val="24"/>
        </w:rPr>
        <w:t xml:space="preserve">. </w:t>
      </w:r>
      <w:r w:rsidR="00AA5AB8" w:rsidRPr="000B521F">
        <w:rPr>
          <w:rFonts w:ascii="Times New Roman" w:hAnsi="Times New Roman" w:cs="Times New Roman"/>
          <w:sz w:val="24"/>
          <w:szCs w:val="24"/>
        </w:rPr>
        <w:t>10</w:t>
      </w:r>
      <w:r w:rsidRPr="000B521F">
        <w:rPr>
          <w:rFonts w:ascii="Times New Roman" w:hAnsi="Times New Roman" w:cs="Times New Roman"/>
          <w:sz w:val="24"/>
          <w:szCs w:val="24"/>
        </w:rPr>
        <w:t>. 2013)</w:t>
      </w:r>
      <w:r w:rsidRPr="000B521F">
        <w:rPr>
          <w:rFonts w:ascii="Times New Roman" w:hAnsi="Times New Roman" w:cs="Times New Roman"/>
          <w:color w:val="000000"/>
          <w:sz w:val="24"/>
          <w:szCs w:val="24"/>
        </w:rPr>
        <w:t>, která jej dále rozpracovává. Dohoda o partnerství byla vypracována za účasti partnerů v souladu s přístupem založeným na víceúrovňové správě, tj. se zapojením regionálních partnerů.</w:t>
      </w:r>
    </w:p>
    <w:p w:rsidR="003963D4" w:rsidRPr="000B521F" w:rsidRDefault="00F04C24" w:rsidP="0059011D">
      <w:p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Dohoda je strategickým dokumentem, založeným na důsledné analýze současné sociální a ekonomické situace, ekonomických trendů a potřeb  České republiky na jejichž základě jsou stanoveny priorit</w:t>
      </w:r>
      <w:r w:rsidR="002831A5">
        <w:rPr>
          <w:rFonts w:ascii="Times New Roman" w:hAnsi="Times New Roman" w:cs="Times New Roman"/>
          <w:color w:val="000000"/>
          <w:sz w:val="24"/>
          <w:szCs w:val="24"/>
        </w:rPr>
        <w:t>y pro financování v letech 2014–</w:t>
      </w:r>
      <w:r w:rsidRPr="000B521F">
        <w:rPr>
          <w:rFonts w:ascii="Times New Roman" w:hAnsi="Times New Roman" w:cs="Times New Roman"/>
          <w:color w:val="000000"/>
          <w:sz w:val="24"/>
          <w:szCs w:val="24"/>
        </w:rPr>
        <w:t>2020 při současném sledování naplňování společných cílů EU. Důraz  je kladen na výsledky, které jsou sledovány prostřednictvím indikátorů</w:t>
      </w:r>
      <w:bookmarkStart w:id="5" w:name="_Toc369797221"/>
      <w:bookmarkStart w:id="6" w:name="_Toc369797356"/>
      <w:bookmarkStart w:id="7" w:name="_Toc369797448"/>
      <w:bookmarkStart w:id="8" w:name="_Toc369797539"/>
      <w:bookmarkStart w:id="9" w:name="_Toc245272137"/>
      <w:bookmarkEnd w:id="3"/>
      <w:bookmarkEnd w:id="5"/>
      <w:bookmarkEnd w:id="6"/>
      <w:bookmarkEnd w:id="7"/>
      <w:bookmarkEnd w:id="8"/>
      <w:r w:rsidR="002831A5">
        <w:rPr>
          <w:rFonts w:ascii="Times New Roman" w:hAnsi="Times New Roman" w:cs="Times New Roman"/>
          <w:color w:val="000000"/>
          <w:sz w:val="24"/>
          <w:szCs w:val="24"/>
        </w:rPr>
        <w:t>.</w:t>
      </w:r>
    </w:p>
    <w:p w:rsidR="008206A4" w:rsidRPr="000B521F" w:rsidRDefault="003963D4" w:rsidP="0059011D">
      <w:pPr>
        <w:pStyle w:val="Nadpis1"/>
        <w:spacing w:before="0" w:after="240"/>
        <w:rPr>
          <w:rFonts w:ascii="Times New Roman" w:hAnsi="Times New Roman" w:cs="Times New Roman"/>
        </w:rPr>
      </w:pPr>
      <w:r w:rsidRPr="000B521F">
        <w:rPr>
          <w:rFonts w:ascii="Times New Roman" w:hAnsi="Times New Roman" w:cs="Times New Roman"/>
          <w:color w:val="000000"/>
        </w:rPr>
        <w:br w:type="page"/>
      </w:r>
      <w:bookmarkStart w:id="10" w:name="_Toc374702851"/>
      <w:r w:rsidR="00DC5011" w:rsidRPr="000B521F">
        <w:rPr>
          <w:rFonts w:ascii="Times New Roman" w:hAnsi="Times New Roman" w:cs="Times New Roman"/>
        </w:rPr>
        <w:lastRenderedPageBreak/>
        <w:t xml:space="preserve">Zajištění provázanosti se </w:t>
      </w:r>
      <w:r w:rsidR="005D52A2" w:rsidRPr="000B521F">
        <w:rPr>
          <w:rFonts w:ascii="Times New Roman" w:hAnsi="Times New Roman" w:cs="Times New Roman"/>
        </w:rPr>
        <w:t>s</w:t>
      </w:r>
      <w:r w:rsidR="00DC5011" w:rsidRPr="000B521F">
        <w:rPr>
          <w:rFonts w:ascii="Times New Roman" w:hAnsi="Times New Roman" w:cs="Times New Roman"/>
        </w:rPr>
        <w:t>trategií Evropa 2020</w:t>
      </w:r>
      <w:bookmarkStart w:id="11" w:name="_Toc352918644"/>
      <w:bookmarkEnd w:id="9"/>
      <w:bookmarkEnd w:id="10"/>
    </w:p>
    <w:p w:rsidR="008206A4" w:rsidRPr="000B521F" w:rsidRDefault="00DC5011" w:rsidP="0059011D">
      <w:pPr>
        <w:pStyle w:val="Nadpis2"/>
      </w:pPr>
      <w:bookmarkStart w:id="12" w:name="_Toc245272138"/>
      <w:bookmarkStart w:id="13" w:name="_Toc374702852"/>
      <w:r w:rsidRPr="000B521F">
        <w:t>Analýza disparit, rozvojových potřeb</w:t>
      </w:r>
      <w:bookmarkEnd w:id="11"/>
      <w:r w:rsidRPr="000B521F">
        <w:t xml:space="preserve"> a růstového potenciálu</w:t>
      </w:r>
      <w:bookmarkEnd w:id="12"/>
      <w:bookmarkEnd w:id="13"/>
    </w:p>
    <w:p w:rsidR="00DC5011" w:rsidRPr="000B521F" w:rsidRDefault="00DC5011" w:rsidP="0059011D">
      <w:pPr>
        <w:pStyle w:val="Nadpis3"/>
        <w:numPr>
          <w:ilvl w:val="0"/>
          <w:numId w:val="0"/>
        </w:numPr>
        <w:spacing w:after="120"/>
        <w:ind w:left="720" w:hanging="720"/>
        <w:rPr>
          <w:rFonts w:ascii="Times New Roman" w:hAnsi="Times New Roman" w:cs="Times New Roman"/>
        </w:rPr>
      </w:pPr>
      <w:bookmarkStart w:id="14" w:name="_Toc245272139"/>
      <w:bookmarkStart w:id="15" w:name="_Toc374702853"/>
      <w:r w:rsidRPr="000B521F">
        <w:rPr>
          <w:rFonts w:ascii="Times New Roman" w:hAnsi="Times New Roman" w:cs="Times New Roman"/>
        </w:rPr>
        <w:t>Makroekonomická situace České republiky</w:t>
      </w:r>
      <w:bookmarkEnd w:id="14"/>
      <w:bookmarkEnd w:id="15"/>
    </w:p>
    <w:p w:rsidR="00DC5011" w:rsidRPr="000B521F" w:rsidRDefault="00BF6C59" w:rsidP="0059011D">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Růst </w:t>
      </w:r>
      <w:r w:rsidR="00DC5011" w:rsidRPr="000B521F">
        <w:rPr>
          <w:rFonts w:ascii="Times New Roman" w:hAnsi="Times New Roman" w:cs="Times New Roman"/>
          <w:sz w:val="24"/>
          <w:szCs w:val="24"/>
        </w:rPr>
        <w:t xml:space="preserve">HDP české </w:t>
      </w:r>
      <w:r w:rsidR="000004C4">
        <w:rPr>
          <w:rFonts w:ascii="Times New Roman" w:hAnsi="Times New Roman" w:cs="Times New Roman"/>
          <w:sz w:val="24"/>
          <w:szCs w:val="24"/>
        </w:rPr>
        <w:t>republiky</w:t>
      </w:r>
      <w:r>
        <w:rPr>
          <w:rFonts w:ascii="Times New Roman" w:hAnsi="Times New Roman" w:cs="Times New Roman"/>
          <w:sz w:val="24"/>
          <w:szCs w:val="24"/>
        </w:rPr>
        <w:t xml:space="preserve"> se od </w:t>
      </w:r>
      <w:r w:rsidRPr="000B521F">
        <w:rPr>
          <w:rFonts w:ascii="Times New Roman" w:hAnsi="Times New Roman" w:cs="Times New Roman"/>
          <w:sz w:val="24"/>
          <w:szCs w:val="24"/>
        </w:rPr>
        <w:t>mírného oživení ekonomiky v letech 2010 a 2011</w:t>
      </w:r>
      <w:r w:rsidR="0017677C">
        <w:rPr>
          <w:rFonts w:ascii="Times New Roman" w:hAnsi="Times New Roman" w:cs="Times New Roman"/>
          <w:sz w:val="24"/>
          <w:szCs w:val="24"/>
        </w:rPr>
        <w:t xml:space="preserve"> </w:t>
      </w:r>
      <w:r w:rsidR="00CC7CA8">
        <w:rPr>
          <w:rFonts w:ascii="Times New Roman" w:hAnsi="Times New Roman" w:cs="Times New Roman"/>
          <w:sz w:val="24"/>
          <w:szCs w:val="24"/>
        </w:rPr>
        <w:t>následujícím po období hospodářské recese</w:t>
      </w:r>
      <w:r w:rsidRPr="000B521F">
        <w:rPr>
          <w:rFonts w:ascii="Times New Roman" w:hAnsi="Times New Roman" w:cs="Times New Roman"/>
          <w:sz w:val="24"/>
          <w:szCs w:val="24"/>
        </w:rPr>
        <w:t xml:space="preserve"> </w:t>
      </w:r>
      <w:r>
        <w:rPr>
          <w:rFonts w:ascii="Times New Roman" w:hAnsi="Times New Roman" w:cs="Times New Roman"/>
          <w:sz w:val="24"/>
          <w:szCs w:val="24"/>
        </w:rPr>
        <w:t xml:space="preserve">pohybuje </w:t>
      </w:r>
      <w:r w:rsidR="000004C4">
        <w:rPr>
          <w:rFonts w:ascii="Times New Roman" w:hAnsi="Times New Roman" w:cs="Times New Roman"/>
          <w:sz w:val="24"/>
          <w:szCs w:val="24"/>
        </w:rPr>
        <w:t>opět v záporných hodnotách. S výjimkou druhého čtvrtletí 2013</w:t>
      </w:r>
      <w:r w:rsidR="00DC5011" w:rsidRPr="000B521F">
        <w:rPr>
          <w:rFonts w:ascii="Times New Roman" w:hAnsi="Times New Roman" w:cs="Times New Roman"/>
          <w:sz w:val="24"/>
          <w:szCs w:val="24"/>
        </w:rPr>
        <w:t xml:space="preserve"> </w:t>
      </w:r>
      <w:r w:rsidR="000004C4">
        <w:rPr>
          <w:rFonts w:ascii="Times New Roman" w:hAnsi="Times New Roman" w:cs="Times New Roman"/>
          <w:sz w:val="24"/>
          <w:szCs w:val="24"/>
        </w:rPr>
        <w:t xml:space="preserve"> vykazuje</w:t>
      </w:r>
      <w:r w:rsidR="00CC44A6">
        <w:rPr>
          <w:rFonts w:ascii="Times New Roman" w:hAnsi="Times New Roman" w:cs="Times New Roman"/>
          <w:sz w:val="24"/>
          <w:szCs w:val="24"/>
        </w:rPr>
        <w:t xml:space="preserve"> HDP</w:t>
      </w:r>
      <w:r w:rsidR="000004C4">
        <w:rPr>
          <w:rFonts w:ascii="Times New Roman" w:hAnsi="Times New Roman" w:cs="Times New Roman"/>
          <w:sz w:val="24"/>
          <w:szCs w:val="24"/>
        </w:rPr>
        <w:t xml:space="preserve"> mezičtvrtletní pokles</w:t>
      </w:r>
      <w:r w:rsidR="00DC5011" w:rsidRPr="000B521F">
        <w:rPr>
          <w:rFonts w:ascii="Times New Roman" w:hAnsi="Times New Roman" w:cs="Times New Roman"/>
          <w:sz w:val="24"/>
          <w:szCs w:val="24"/>
        </w:rPr>
        <w:t xml:space="preserve"> už pošesté v řadě.</w:t>
      </w:r>
      <w:r w:rsidR="00CC44A6">
        <w:rPr>
          <w:rStyle w:val="Znakapoznpodarou"/>
          <w:rFonts w:cs="Times New Roman"/>
          <w:sz w:val="24"/>
          <w:szCs w:val="24"/>
        </w:rPr>
        <w:footnoteReference w:id="2"/>
      </w:r>
      <w:r w:rsidR="00DC5011" w:rsidRPr="000B521F">
        <w:rPr>
          <w:rFonts w:ascii="Times New Roman" w:hAnsi="Times New Roman" w:cs="Times New Roman"/>
          <w:sz w:val="24"/>
          <w:szCs w:val="24"/>
        </w:rPr>
        <w:t xml:space="preserve"> Efekt mírného oživení ekonomiky se tak dále vytrácí. V období od začátku hospodářské recese v roce 2008 tak ČR stále nedokázala navázat na předchozí úspěšné období výrazného hospodářského růstu. V porovnání s rokem 2008 je HDP české ekonomiky v roce 2012 o 1,2 % nižší; přírůstek HDP celé EU ve stejném období přitom činil 3,4 %. Německá ekonomika, se kterou je české hospodářství výrazně spojené, zvýšila výkon o 6,9 %, rakouská o 10 % a slovenská téměř o 11 %</w:t>
      </w:r>
      <w:r w:rsidR="00DC5011" w:rsidRPr="000B521F">
        <w:rPr>
          <w:rStyle w:val="Znakapoznpodarou"/>
          <w:rFonts w:ascii="Times New Roman" w:hAnsi="Times New Roman" w:cs="Times New Roman"/>
          <w:sz w:val="24"/>
          <w:szCs w:val="24"/>
        </w:rPr>
        <w:footnoteReference w:id="3"/>
      </w:r>
      <w:r w:rsidR="00DC5011" w:rsidRPr="000B521F">
        <w:rPr>
          <w:rFonts w:ascii="Times New Roman" w:hAnsi="Times New Roman" w:cs="Times New Roman"/>
          <w:sz w:val="24"/>
          <w:szCs w:val="24"/>
        </w:rPr>
        <w:t xml:space="preserve">. </w:t>
      </w:r>
    </w:p>
    <w:p w:rsidR="00DC5011" w:rsidRPr="000B521F" w:rsidRDefault="00DC5011"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Na obnovení recese se nejvíce podílely klesající výdaje domácností na konečnou spotřebu, které byly v roce 2012 meziročně nižší o 3,6 %. Pokračuje však rovněž dlouhodobá krize stavební výroby. Hodnota stavebních prací v ČR byla v roce 2012 o 23 % nižší, než v roce 2008 a od té doby v každém roce klesla. V roce 2012 mírně poklesla i průmyslová výroba, avšak od prosince minulého roku tento pokles výrazně zrychlil. V březnu 2013 činil meziroční pokles průmyslové výroby již 6 %.</w:t>
      </w:r>
    </w:p>
    <w:p w:rsidR="00DC5011" w:rsidRPr="000B521F" w:rsidRDefault="00DC5011"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Tato situace je hrozbou pro další vývoj na českém trhu práce. V období 2008</w:t>
      </w:r>
      <w:r w:rsidR="002831A5">
        <w:rPr>
          <w:rFonts w:ascii="Times New Roman" w:hAnsi="Times New Roman" w:cs="Times New Roman"/>
          <w:color w:val="000000"/>
          <w:sz w:val="24"/>
          <w:szCs w:val="24"/>
        </w:rPr>
        <w:t>–</w:t>
      </w:r>
      <w:r w:rsidRPr="000B521F">
        <w:rPr>
          <w:rFonts w:ascii="Times New Roman" w:hAnsi="Times New Roman" w:cs="Times New Roman"/>
          <w:sz w:val="24"/>
          <w:szCs w:val="24"/>
        </w:rPr>
        <w:t>2012 se zaměstnanost v české ekonomice snížila o 112 tisíc</w:t>
      </w:r>
      <w:r w:rsidRPr="000B521F">
        <w:rPr>
          <w:rStyle w:val="Znakapoznpodarou"/>
          <w:rFonts w:ascii="Times New Roman" w:hAnsi="Times New Roman" w:cs="Times New Roman"/>
          <w:sz w:val="24"/>
          <w:szCs w:val="24"/>
        </w:rPr>
        <w:footnoteReference w:id="4"/>
      </w:r>
      <w:r w:rsidRPr="000B521F">
        <w:rPr>
          <w:rFonts w:ascii="Times New Roman" w:hAnsi="Times New Roman" w:cs="Times New Roman"/>
          <w:sz w:val="24"/>
          <w:szCs w:val="24"/>
        </w:rPr>
        <w:t xml:space="preserve"> osob a vzhledem k pokračující recesi se dá očekávat, že se tento pokles ještě nezastaví. Dřívější motory růstu - především zpracovatelský průmysl a stavebnictví - se na tomto poklesu podílely největší měrou. Počet nezaměstnaných se proto ve srovnání s polovinou roku 2008, kdy recese začínala, zvýšil o více než čtvrt miliónu. Počet dlouhodobě nezaměstnaných se přiblížil hodnotě dvě stě tisíc. Tím se zvyšuje i riziko sociálního vyloučení a chudoby. ČR má sice celkově nejnižší podíl populace ohrožené chudobou nebo sociálním vyloučením ze všech zemí EU (15,3 %), nicméně vzhledem k dopadům ekonomické recese na trh práce se dá předpokládat, že se tento podíl bude dále zhoršovat. </w:t>
      </w:r>
    </w:p>
    <w:p w:rsidR="00DC5011" w:rsidRPr="000B521F" w:rsidRDefault="00DC5011"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Některá odvětví však navzdory ekonomické recesi rostou. Často se jedná o odvětví s vyššími nároky na znalosti a dovednosti pracovníků (architektonické a inženýrské činnosti, IT služby nebo výroba elektronických a optických přístrojů). Je velmi pozitivní, že podíl zaměstnaných v těchto odvětvích v české ekonomice stoupá, protože to svědčí o zvyšování kvalifikační náročnosti zde realizovaných činností. Přesun zaměstnanosti do odvětví s vyšší produktivitou práce a orientace na zlepšení pozice českých zaměstnavatelů v globálních hodnotových řetězcích je klíčovým faktorem zvyšování konkurenceschopnosti země. Zásadním předpokladem je však zvýšení kvality vzdělávání, snižování nesouladu mezi nabídkou a poptávkou na trhu práce, rozvoj podnikatelské kultury a podnikavosti lidí vedoucí k vyšší tvorbě nových firem a posílení inovační a exportní výkonnosti endogenního podnikového sektoru.</w:t>
      </w:r>
    </w:p>
    <w:p w:rsidR="008F63B1" w:rsidRPr="000B521F" w:rsidRDefault="008F63B1"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lastRenderedPageBreak/>
        <w:t>Energetická náročnost české ekonomiky je v porovnání s ostatními členskými zeměmi EU vysoká, přestože Česká republika zaznamenala v této oblasti pozitivní posun (energetická náročnost HDP ČR klesla v období 1995–2011 řádově o jednu třetinu z 0,75 GJ/tis.Kčsc 05</w:t>
      </w:r>
      <w:r w:rsidR="00AA51B4">
        <w:rPr>
          <w:rStyle w:val="Znakapoznpodarou"/>
          <w:rFonts w:cs="Times New Roman"/>
          <w:sz w:val="24"/>
          <w:szCs w:val="24"/>
        </w:rPr>
        <w:footnoteReference w:id="5"/>
      </w:r>
      <w:r w:rsidRPr="000B521F">
        <w:rPr>
          <w:rFonts w:ascii="Times New Roman" w:hAnsi="Times New Roman" w:cs="Times New Roman"/>
          <w:sz w:val="24"/>
          <w:szCs w:val="24"/>
        </w:rPr>
        <w:t xml:space="preserve"> na necelých 0,5 GJ/tis.Kčsc 05). Vyšší náklady na energii při výrobních procesech tak automaticky snižují možnosti podniků rozvíjet svou činnost, investovat do výzkumu, vývoje a inovací a tím tak zvyšovat svoji konkurenceschopnost. V oblasti energetických úspor existuje velký potenciál, vedle efektivnější přeměny primárních energetických zdrojů a omezení ztrát při distribuci, také v oblasti konečné spotřeby (snížení energetické náročnosti budov, instalace energeticky úsporných technologií a spotřebičů</w:t>
      </w:r>
      <w:r w:rsidR="009069B5" w:rsidRPr="000B521F">
        <w:rPr>
          <w:rFonts w:ascii="Times New Roman" w:hAnsi="Times New Roman" w:cs="Times New Roman"/>
          <w:sz w:val="24"/>
          <w:szCs w:val="24"/>
        </w:rPr>
        <w:t xml:space="preserve"> v podnicích a domácnostech</w:t>
      </w:r>
      <w:r w:rsidRPr="000B521F">
        <w:rPr>
          <w:rFonts w:ascii="Times New Roman" w:hAnsi="Times New Roman" w:cs="Times New Roman"/>
          <w:sz w:val="24"/>
          <w:szCs w:val="24"/>
        </w:rPr>
        <w:t xml:space="preserve">, doprava). </w:t>
      </w:r>
      <w:r w:rsidR="00760D22" w:rsidRPr="000B521F">
        <w:rPr>
          <w:rFonts w:ascii="Times New Roman" w:hAnsi="Times New Roman" w:cs="Times New Roman"/>
          <w:sz w:val="24"/>
          <w:szCs w:val="24"/>
        </w:rPr>
        <w:t>V procentuálním vyjádření mezi hlavní oblasti s potenciálem pro úspory energie patří sektor domácností, 30,5 % z celkových úspor, sektor průmyslu (24,5 %), dále sektor dopravy (23,3 %), následuje terciální sektor (15,8 %), sektor s nejmenší možností úspor pak je zemědělství (5,9 %).</w:t>
      </w:r>
      <w:r w:rsidR="00586A2C" w:rsidRPr="000B521F">
        <w:rPr>
          <w:rFonts w:ascii="Times New Roman" w:hAnsi="Times New Roman" w:cs="Times New Roman"/>
          <w:sz w:val="24"/>
          <w:szCs w:val="24"/>
        </w:rPr>
        <w:t>V ČR roste postupně význam OZE, v roce 2012 bylo 9,2 % z celkového množství vyprodukované elektřiny vyrobeno z OZE. Indikativní cíle pro podíl OZE byl v roce 2010 splněn, podíl výroby OZE na hrubé spotřebě elektřiny vzrostl v roce 2012 na 11,4 %. ČR</w:t>
      </w:r>
      <w:r w:rsidRPr="000B521F">
        <w:rPr>
          <w:rFonts w:ascii="Times New Roman" w:hAnsi="Times New Roman" w:cs="Times New Roman"/>
          <w:sz w:val="24"/>
          <w:szCs w:val="24"/>
        </w:rPr>
        <w:t xml:space="preserve"> se </w:t>
      </w:r>
      <w:r w:rsidR="00586A2C" w:rsidRPr="000B521F">
        <w:rPr>
          <w:rFonts w:ascii="Times New Roman" w:hAnsi="Times New Roman" w:cs="Times New Roman"/>
          <w:sz w:val="24"/>
          <w:szCs w:val="24"/>
        </w:rPr>
        <w:t xml:space="preserve">musí </w:t>
      </w:r>
      <w:r w:rsidRPr="000B521F">
        <w:rPr>
          <w:rFonts w:ascii="Times New Roman" w:hAnsi="Times New Roman" w:cs="Times New Roman"/>
          <w:sz w:val="24"/>
          <w:szCs w:val="24"/>
        </w:rPr>
        <w:t>zaměřit na systematická, celoplošná opatření ke zvýšení energetické efektivity a využívání obnovitelných zdrojů energie jak ke zvýšení konkurenceschopnosti a využití inovačního potenciálu českého hospodářství, tak i pro zvýšení energetické bezpečnosti.</w:t>
      </w:r>
    </w:p>
    <w:p w:rsidR="00DC5011" w:rsidRPr="000B521F" w:rsidRDefault="00DC5011"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Nutnou podmínkou pro posilování konkurenceschopnosti ČR je rovněž dobudování a modernizace kvalitních páteřních infrastruktur, což umožní zvýšit kvalitu služeb poskytovaných jejich prostřednictvím jak pro obyvatelstvo, tak pro podnikatelský sektor.</w:t>
      </w:r>
    </w:p>
    <w:p w:rsidR="00DC5011" w:rsidRPr="000B521F" w:rsidRDefault="00DC5011"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Dalším významným faktorem, který ovlivňuje (a limituje) rozvoj podnikání a české ekonomiky je nízká kvalita institucí. Umístění České republiky v tomto ukazateli v žebříčku Zprávy o globální konkurenceschopnosti</w:t>
      </w:r>
      <w:r w:rsidRPr="000B521F">
        <w:rPr>
          <w:rStyle w:val="Znakapoznpodarou"/>
          <w:rFonts w:ascii="Times New Roman" w:hAnsi="Times New Roman" w:cs="Times New Roman"/>
          <w:sz w:val="24"/>
          <w:szCs w:val="24"/>
        </w:rPr>
        <w:footnoteReference w:id="6"/>
      </w:r>
      <w:r w:rsidRPr="000B521F">
        <w:rPr>
          <w:rFonts w:ascii="Times New Roman" w:hAnsi="Times New Roman" w:cs="Times New Roman"/>
          <w:sz w:val="24"/>
          <w:szCs w:val="24"/>
        </w:rPr>
        <w:t xml:space="preserve"> (86. místo) je velmi špatnou vizitkou fungování veřejné správy. </w:t>
      </w:r>
    </w:p>
    <w:p w:rsidR="00DC5011" w:rsidRPr="000B521F" w:rsidRDefault="00DC5011"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Nízké hodnocení ČR ve výše uvedených oblastech se odráží i na celkové pozici země z hlediska mezinárodní konkurenceschopnosti. Zatímco v roce 2006 se ČR nacházela na 29. místě, v letošním roce klesla již na 46. místo, přičemž k největšímu zhoršení došlo v posledních třech letech</w:t>
      </w:r>
      <w:r w:rsidRPr="000B521F">
        <w:rPr>
          <w:rStyle w:val="Znakapoznpodarou"/>
          <w:rFonts w:ascii="Times New Roman" w:hAnsi="Times New Roman" w:cs="Times New Roman"/>
          <w:sz w:val="24"/>
          <w:szCs w:val="24"/>
        </w:rPr>
        <w:footnoteReference w:id="7"/>
      </w:r>
      <w:r w:rsidRPr="000B521F">
        <w:rPr>
          <w:rFonts w:ascii="Times New Roman" w:hAnsi="Times New Roman" w:cs="Times New Roman"/>
          <w:sz w:val="24"/>
          <w:szCs w:val="24"/>
        </w:rPr>
        <w:t xml:space="preserve">. </w:t>
      </w:r>
    </w:p>
    <w:p w:rsidR="00DC5011" w:rsidRPr="000B521F" w:rsidRDefault="00DC5011"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Na nedostatečnou kvalitu výzkumu, podprůměrně fungující vzdělávací systém, nedostatečně využívaný potenciál trhu práce, neefektivní využívání zdrojů a nevýkonnou veřejnou správu upozorňuje ve své pozici i EK.</w:t>
      </w:r>
    </w:p>
    <w:p w:rsidR="00DC5011" w:rsidRPr="000B521F" w:rsidRDefault="00DC5011"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Globální pozice ČR se tedy zhoršuje a řešení těchto slabin je klíčem k zajištění naší dlouhodobé konkurenceschopnosti. Úspěšná realizace opatření, směřujících do výše uvedených problémových oblastí umožní z</w:t>
      </w:r>
      <w:r w:rsidRPr="000B521F">
        <w:rPr>
          <w:rFonts w:ascii="Times New Roman" w:hAnsi="Times New Roman" w:cs="Times New Roman"/>
          <w:bCs/>
          <w:sz w:val="24"/>
          <w:szCs w:val="24"/>
        </w:rPr>
        <w:t xml:space="preserve">výšit prosperitu a kvalitu života na území ČR a naplnit naši vizi budoucího rozvoje, kterým je země </w:t>
      </w:r>
      <w:r w:rsidRPr="000B521F">
        <w:rPr>
          <w:rFonts w:ascii="Times New Roman" w:hAnsi="Times New Roman" w:cs="Times New Roman"/>
          <w:sz w:val="24"/>
          <w:szCs w:val="24"/>
        </w:rPr>
        <w:t>tažená vzdělanými lidmi a inovacemi, vytvářející lepší podmínky pro spokojený život místních obyvatel a přitahující talentované lidi a investice ze zahraničí.</w:t>
      </w:r>
    </w:p>
    <w:p w:rsidR="00DC5011" w:rsidRPr="000B521F" w:rsidRDefault="00DC5011" w:rsidP="0059011D">
      <w:pPr>
        <w:pStyle w:val="Nadpis3"/>
        <w:numPr>
          <w:ilvl w:val="0"/>
          <w:numId w:val="0"/>
        </w:numPr>
        <w:spacing w:after="120"/>
        <w:ind w:left="720" w:hanging="720"/>
        <w:rPr>
          <w:rFonts w:ascii="Times New Roman" w:hAnsi="Times New Roman" w:cs="Times New Roman"/>
        </w:rPr>
      </w:pPr>
      <w:bookmarkStart w:id="16" w:name="_Toc245272140"/>
      <w:bookmarkStart w:id="17" w:name="_Toc374702854"/>
      <w:r w:rsidRPr="000B521F">
        <w:rPr>
          <w:rFonts w:ascii="Times New Roman" w:hAnsi="Times New Roman" w:cs="Times New Roman"/>
        </w:rPr>
        <w:t>Východiska pro analýzu disparit, rozvojových potřeb a růstového potenciálu</w:t>
      </w:r>
      <w:bookmarkEnd w:id="16"/>
      <w:bookmarkEnd w:id="17"/>
    </w:p>
    <w:p w:rsidR="005D52A2" w:rsidRPr="000B521F" w:rsidRDefault="005D52A2"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Analýza disparit, rozvojových potřeb a růstového potenciálu (dále jen analýza) je zpracována za problémové oblasti, v rámci kterých jsou identifikovány národní a regionální problémy, </w:t>
      </w:r>
      <w:r w:rsidRPr="000B521F">
        <w:rPr>
          <w:rFonts w:ascii="Times New Roman" w:hAnsi="Times New Roman" w:cs="Times New Roman"/>
          <w:sz w:val="24"/>
          <w:szCs w:val="24"/>
        </w:rPr>
        <w:lastRenderedPageBreak/>
        <w:t>rozvojové potřeby a priority, které jednoznačně předurčují zaměření podpory fondů ESI pro období 2014</w:t>
      </w:r>
      <w:r w:rsidR="002831A5">
        <w:rPr>
          <w:rFonts w:ascii="Times New Roman" w:hAnsi="Times New Roman" w:cs="Times New Roman"/>
          <w:color w:val="000000"/>
          <w:sz w:val="24"/>
          <w:szCs w:val="24"/>
        </w:rPr>
        <w:t>–</w:t>
      </w:r>
      <w:r w:rsidRPr="000B521F">
        <w:rPr>
          <w:rFonts w:ascii="Times New Roman" w:hAnsi="Times New Roman" w:cs="Times New Roman"/>
          <w:sz w:val="24"/>
          <w:szCs w:val="24"/>
        </w:rPr>
        <w:t>2020 v ČR.</w:t>
      </w:r>
    </w:p>
    <w:p w:rsidR="005D52A2" w:rsidRPr="000B521F" w:rsidRDefault="005D52A2"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Jako východisko analýzy a identifikace potřeb byly využity </w:t>
      </w:r>
      <w:r w:rsidRPr="000B521F">
        <w:rPr>
          <w:rFonts w:ascii="Times New Roman" w:hAnsi="Times New Roman" w:cs="Times New Roman"/>
          <w:b/>
          <w:sz w:val="24"/>
          <w:szCs w:val="24"/>
        </w:rPr>
        <w:t>národní rozvojové priority</w:t>
      </w:r>
      <w:r w:rsidRPr="000B521F">
        <w:rPr>
          <w:rFonts w:ascii="Times New Roman" w:hAnsi="Times New Roman" w:cs="Times New Roman"/>
          <w:sz w:val="24"/>
          <w:szCs w:val="24"/>
        </w:rPr>
        <w:t xml:space="preserve"> (NRP) pro období 2014</w:t>
      </w:r>
      <w:r w:rsidR="00273FF4">
        <w:rPr>
          <w:rFonts w:ascii="Times New Roman" w:hAnsi="Times New Roman" w:cs="Times New Roman"/>
          <w:sz w:val="24"/>
          <w:szCs w:val="24"/>
        </w:rPr>
        <w:t>–</w:t>
      </w:r>
      <w:r w:rsidRPr="000B521F">
        <w:rPr>
          <w:rFonts w:ascii="Times New Roman" w:hAnsi="Times New Roman" w:cs="Times New Roman"/>
          <w:sz w:val="24"/>
          <w:szCs w:val="24"/>
        </w:rPr>
        <w:t>2020</w:t>
      </w:r>
      <w:r w:rsidRPr="000B521F">
        <w:rPr>
          <w:rStyle w:val="Znakapoznpodarou"/>
          <w:rFonts w:ascii="Times New Roman" w:eastAsia="Arial Unicode MS" w:hAnsi="Times New Roman" w:cs="Times New Roman"/>
          <w:sz w:val="24"/>
          <w:szCs w:val="24"/>
        </w:rPr>
        <w:footnoteReference w:id="8"/>
      </w:r>
      <w:r w:rsidRPr="000B521F">
        <w:rPr>
          <w:rFonts w:ascii="Times New Roman" w:hAnsi="Times New Roman" w:cs="Times New Roman"/>
          <w:sz w:val="24"/>
          <w:szCs w:val="24"/>
        </w:rPr>
        <w:t>, které si ČR stanovila  jako základ celého programovacího procesu 2014–2020. Jedná se o:</w:t>
      </w:r>
    </w:p>
    <w:p w:rsidR="008206A4" w:rsidRPr="000B521F" w:rsidRDefault="005D52A2" w:rsidP="0059011D">
      <w:pPr>
        <w:pStyle w:val="Odstavecseseznamem"/>
        <w:numPr>
          <w:ilvl w:val="0"/>
          <w:numId w:val="17"/>
        </w:numPr>
        <w:spacing w:after="0" w:line="240" w:lineRule="auto"/>
        <w:ind w:left="714" w:hanging="357"/>
        <w:jc w:val="both"/>
        <w:rPr>
          <w:rFonts w:ascii="Times New Roman" w:hAnsi="Times New Roman" w:cs="Times New Roman"/>
          <w:b/>
          <w:sz w:val="24"/>
          <w:szCs w:val="24"/>
        </w:rPr>
      </w:pPr>
      <w:r w:rsidRPr="000B521F">
        <w:rPr>
          <w:rFonts w:ascii="Times New Roman" w:hAnsi="Times New Roman" w:cs="Times New Roman"/>
          <w:b/>
          <w:sz w:val="24"/>
          <w:szCs w:val="24"/>
        </w:rPr>
        <w:t>Zvýšení konkurenceschopnosti ekonomiky, které zahrnuje:</w:t>
      </w:r>
    </w:p>
    <w:p w:rsidR="008206A4" w:rsidRPr="000B521F" w:rsidRDefault="005D52A2" w:rsidP="0059011D">
      <w:pPr>
        <w:pStyle w:val="Odstavecseseznamem"/>
        <w:numPr>
          <w:ilvl w:val="0"/>
          <w:numId w:val="18"/>
        </w:numPr>
        <w:spacing w:after="0" w:line="240" w:lineRule="auto"/>
        <w:jc w:val="both"/>
        <w:rPr>
          <w:rFonts w:ascii="Times New Roman" w:hAnsi="Times New Roman" w:cs="Times New Roman"/>
          <w:b/>
          <w:sz w:val="24"/>
          <w:szCs w:val="24"/>
          <w:lang w:eastAsia="cs-CZ"/>
        </w:rPr>
      </w:pPr>
      <w:r w:rsidRPr="000B521F">
        <w:rPr>
          <w:rFonts w:ascii="Times New Roman" w:hAnsi="Times New Roman" w:cs="Times New Roman"/>
          <w:b/>
          <w:sz w:val="24"/>
          <w:szCs w:val="24"/>
          <w:lang w:eastAsia="cs-CZ"/>
        </w:rPr>
        <w:t>Rozvoj podnikání, podnikavosti a využívání inovací.</w:t>
      </w:r>
    </w:p>
    <w:p w:rsidR="008206A4" w:rsidRPr="000B521F" w:rsidRDefault="005D52A2" w:rsidP="0059011D">
      <w:pPr>
        <w:pStyle w:val="Odstavecseseznamem"/>
        <w:numPr>
          <w:ilvl w:val="0"/>
          <w:numId w:val="18"/>
        </w:numPr>
        <w:spacing w:after="0" w:line="240" w:lineRule="auto"/>
        <w:jc w:val="both"/>
        <w:rPr>
          <w:rFonts w:ascii="Times New Roman" w:hAnsi="Times New Roman" w:cs="Times New Roman"/>
          <w:b/>
          <w:sz w:val="24"/>
          <w:szCs w:val="24"/>
          <w:lang w:eastAsia="cs-CZ"/>
        </w:rPr>
      </w:pPr>
      <w:r w:rsidRPr="000B521F">
        <w:rPr>
          <w:rFonts w:ascii="Times New Roman" w:hAnsi="Times New Roman" w:cs="Times New Roman"/>
          <w:b/>
          <w:sz w:val="24"/>
          <w:szCs w:val="24"/>
          <w:lang w:eastAsia="cs-CZ"/>
        </w:rPr>
        <w:t>Fungující trh práce.</w:t>
      </w:r>
    </w:p>
    <w:p w:rsidR="008206A4" w:rsidRPr="000B521F" w:rsidRDefault="005D52A2" w:rsidP="0059011D">
      <w:pPr>
        <w:pStyle w:val="Odstavecseseznamem"/>
        <w:numPr>
          <w:ilvl w:val="0"/>
          <w:numId w:val="18"/>
        </w:numPr>
        <w:spacing w:after="0" w:line="240" w:lineRule="auto"/>
        <w:jc w:val="both"/>
        <w:rPr>
          <w:rFonts w:ascii="Times New Roman" w:hAnsi="Times New Roman" w:cs="Times New Roman"/>
          <w:b/>
          <w:sz w:val="24"/>
          <w:szCs w:val="24"/>
          <w:lang w:eastAsia="cs-CZ"/>
        </w:rPr>
      </w:pPr>
      <w:r w:rsidRPr="000B521F">
        <w:rPr>
          <w:rFonts w:ascii="Times New Roman" w:hAnsi="Times New Roman" w:cs="Times New Roman"/>
          <w:b/>
          <w:sz w:val="24"/>
          <w:szCs w:val="24"/>
          <w:lang w:eastAsia="cs-CZ"/>
        </w:rPr>
        <w:t>Rozvoj vzdělávání.</w:t>
      </w:r>
    </w:p>
    <w:p w:rsidR="008206A4" w:rsidRPr="000B521F" w:rsidRDefault="005D52A2" w:rsidP="0059011D">
      <w:pPr>
        <w:pStyle w:val="Odstavecseseznamem"/>
        <w:numPr>
          <w:ilvl w:val="0"/>
          <w:numId w:val="18"/>
        </w:numPr>
        <w:spacing w:after="0" w:line="240" w:lineRule="auto"/>
        <w:jc w:val="both"/>
        <w:rPr>
          <w:rFonts w:ascii="Times New Roman" w:hAnsi="Times New Roman" w:cs="Times New Roman"/>
          <w:b/>
          <w:sz w:val="24"/>
          <w:szCs w:val="24"/>
          <w:lang w:eastAsia="cs-CZ"/>
        </w:rPr>
      </w:pPr>
      <w:r w:rsidRPr="000B521F">
        <w:rPr>
          <w:rFonts w:ascii="Times New Roman" w:hAnsi="Times New Roman" w:cs="Times New Roman"/>
          <w:b/>
          <w:sz w:val="24"/>
          <w:szCs w:val="24"/>
          <w:lang w:eastAsia="cs-CZ"/>
        </w:rPr>
        <w:t>Podpora prosazování inovací a výzkumu a vývoje.</w:t>
      </w:r>
    </w:p>
    <w:p w:rsidR="008206A4" w:rsidRPr="000B521F" w:rsidRDefault="005D52A2" w:rsidP="0059011D">
      <w:pPr>
        <w:pStyle w:val="Odstavecseseznamem"/>
        <w:numPr>
          <w:ilvl w:val="0"/>
          <w:numId w:val="17"/>
        </w:numPr>
        <w:spacing w:after="0" w:line="240" w:lineRule="auto"/>
        <w:ind w:left="714" w:hanging="357"/>
        <w:jc w:val="both"/>
        <w:rPr>
          <w:rFonts w:ascii="Times New Roman" w:hAnsi="Times New Roman" w:cs="Times New Roman"/>
          <w:b/>
          <w:sz w:val="24"/>
          <w:szCs w:val="24"/>
        </w:rPr>
      </w:pPr>
      <w:r w:rsidRPr="000B521F">
        <w:rPr>
          <w:rFonts w:ascii="Times New Roman" w:hAnsi="Times New Roman" w:cs="Times New Roman"/>
          <w:b/>
          <w:sz w:val="24"/>
          <w:szCs w:val="24"/>
        </w:rPr>
        <w:t>Rozvoj páteřní infrastruktury.</w:t>
      </w:r>
    </w:p>
    <w:p w:rsidR="008206A4" w:rsidRPr="000B521F" w:rsidRDefault="005D52A2" w:rsidP="0059011D">
      <w:pPr>
        <w:pStyle w:val="Odstavecseseznamem"/>
        <w:numPr>
          <w:ilvl w:val="0"/>
          <w:numId w:val="17"/>
        </w:numPr>
        <w:spacing w:after="0" w:line="240" w:lineRule="auto"/>
        <w:ind w:left="714" w:hanging="357"/>
        <w:jc w:val="both"/>
        <w:rPr>
          <w:rFonts w:ascii="Times New Roman" w:hAnsi="Times New Roman" w:cs="Times New Roman"/>
          <w:b/>
          <w:sz w:val="24"/>
          <w:szCs w:val="24"/>
        </w:rPr>
      </w:pPr>
      <w:r w:rsidRPr="000B521F">
        <w:rPr>
          <w:rFonts w:ascii="Times New Roman" w:hAnsi="Times New Roman" w:cs="Times New Roman"/>
          <w:b/>
          <w:sz w:val="24"/>
          <w:szCs w:val="24"/>
        </w:rPr>
        <w:t>Zvyšování kvality a efektivity veřejné správy.</w:t>
      </w:r>
    </w:p>
    <w:p w:rsidR="008206A4" w:rsidRPr="000B521F" w:rsidRDefault="005D52A2" w:rsidP="0059011D">
      <w:pPr>
        <w:pStyle w:val="Odstavecseseznamem"/>
        <w:numPr>
          <w:ilvl w:val="0"/>
          <w:numId w:val="17"/>
        </w:numPr>
        <w:spacing w:after="0" w:line="240" w:lineRule="auto"/>
        <w:ind w:left="714" w:hanging="357"/>
        <w:jc w:val="both"/>
        <w:rPr>
          <w:rFonts w:ascii="Times New Roman" w:hAnsi="Times New Roman" w:cs="Times New Roman"/>
          <w:b/>
          <w:sz w:val="24"/>
          <w:szCs w:val="24"/>
        </w:rPr>
      </w:pPr>
      <w:r w:rsidRPr="000B521F">
        <w:rPr>
          <w:rFonts w:ascii="Times New Roman" w:hAnsi="Times New Roman" w:cs="Times New Roman"/>
          <w:b/>
          <w:sz w:val="24"/>
          <w:szCs w:val="24"/>
        </w:rPr>
        <w:t>Podpora sociálního začleňování, boje s chudobou a systému péče o zdraví.</w:t>
      </w:r>
    </w:p>
    <w:p w:rsidR="008206A4" w:rsidRPr="000B521F" w:rsidRDefault="005D52A2" w:rsidP="0059011D">
      <w:pPr>
        <w:pStyle w:val="Odstavecseseznamem"/>
        <w:numPr>
          <w:ilvl w:val="0"/>
          <w:numId w:val="17"/>
        </w:numPr>
        <w:spacing w:after="0" w:line="240" w:lineRule="auto"/>
        <w:ind w:left="714" w:hanging="357"/>
        <w:jc w:val="both"/>
        <w:rPr>
          <w:rFonts w:ascii="Times New Roman" w:hAnsi="Times New Roman" w:cs="Times New Roman"/>
          <w:b/>
          <w:sz w:val="24"/>
          <w:szCs w:val="24"/>
        </w:rPr>
      </w:pPr>
      <w:r w:rsidRPr="000B521F">
        <w:rPr>
          <w:rFonts w:ascii="Times New Roman" w:hAnsi="Times New Roman" w:cs="Times New Roman"/>
          <w:b/>
          <w:sz w:val="24"/>
          <w:szCs w:val="24"/>
        </w:rPr>
        <w:t>Integrovaný rozvoj území.</w:t>
      </w:r>
    </w:p>
    <w:p w:rsidR="005D52A2" w:rsidRPr="000B521F" w:rsidRDefault="005D52A2" w:rsidP="0059011D">
      <w:pPr>
        <w:pStyle w:val="Odstavecseseznamem"/>
        <w:spacing w:after="0" w:line="240" w:lineRule="auto"/>
        <w:ind w:left="714"/>
        <w:jc w:val="both"/>
        <w:rPr>
          <w:rFonts w:ascii="Times New Roman" w:hAnsi="Times New Roman" w:cs="Times New Roman"/>
          <w:sz w:val="24"/>
          <w:szCs w:val="24"/>
        </w:rPr>
      </w:pPr>
    </w:p>
    <w:p w:rsidR="005D52A2" w:rsidRPr="000B521F" w:rsidRDefault="005D52A2"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Po vymezení NRP následovalo stanovení problémových oblastí a celkové logiky programování vůči Dohodě o partnerství.</w:t>
      </w:r>
    </w:p>
    <w:p w:rsidR="005D52A2" w:rsidRPr="000B521F" w:rsidRDefault="005D52A2"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Problémové oblasti byly stanoveny ve shodě s NRP s tím, že oproti stanoveným  NRP  byla zvolena jako  samostatná problémová oblast </w:t>
      </w:r>
      <w:r w:rsidRPr="000B521F">
        <w:rPr>
          <w:rFonts w:ascii="Times New Roman" w:hAnsi="Times New Roman" w:cs="Times New Roman"/>
          <w:b/>
          <w:sz w:val="24"/>
          <w:szCs w:val="24"/>
        </w:rPr>
        <w:t xml:space="preserve">životní prostředí  </w:t>
      </w:r>
      <w:r w:rsidRPr="000B521F">
        <w:rPr>
          <w:rFonts w:ascii="Times New Roman" w:hAnsi="Times New Roman" w:cs="Times New Roman"/>
          <w:sz w:val="24"/>
          <w:szCs w:val="24"/>
        </w:rPr>
        <w:t xml:space="preserve">(v NRP součást rozvoje páteřní infrastruktury a integrovaného rozvoje území). Národní  rozvojová priorita Integrovaný rozvoj území je v Dohodě uvedena v souladu se šablonou v samostatné kapitole. </w:t>
      </w:r>
    </w:p>
    <w:p w:rsidR="005D52A2" w:rsidRPr="000B521F" w:rsidRDefault="005D52A2"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b/>
          <w:sz w:val="24"/>
          <w:szCs w:val="24"/>
        </w:rPr>
        <w:t>Územní dimenze</w:t>
      </w:r>
      <w:r w:rsidRPr="000B521F">
        <w:rPr>
          <w:rFonts w:ascii="Times New Roman" w:hAnsi="Times New Roman" w:cs="Times New Roman"/>
          <w:sz w:val="24"/>
          <w:szCs w:val="24"/>
        </w:rPr>
        <w:t xml:space="preserve"> představuje, samostatnou  ucelenou  horizontální oblast jejíž zohlednění má podpořit  vyvážený a integrovaný rozvoj území (IRÚ). Jako taková prostupuje všemi problémovými oblastmi. Prosazení územní dimenze umožňuje reflektovat specifické územní problémy, potřeby, regionální rozdíly i potenciál území a to napříč všemi problémovými tématy.</w:t>
      </w:r>
    </w:p>
    <w:p w:rsidR="005D52A2" w:rsidRPr="000B521F" w:rsidRDefault="005D52A2" w:rsidP="0059011D">
      <w:p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 xml:space="preserve">Z hlediska pozice ČR lze konstatovat </w:t>
      </w:r>
      <w:r w:rsidRPr="000B521F">
        <w:rPr>
          <w:rFonts w:ascii="Times New Roman" w:hAnsi="Times New Roman" w:cs="Times New Roman"/>
          <w:b/>
          <w:color w:val="000000"/>
          <w:sz w:val="24"/>
          <w:szCs w:val="24"/>
        </w:rPr>
        <w:t xml:space="preserve">soulad Dohody o partnerství a v ní zpracovaných problémových oblastí s prioritami financování EK </w:t>
      </w:r>
      <w:r w:rsidRPr="000B521F">
        <w:rPr>
          <w:rFonts w:ascii="Times New Roman" w:hAnsi="Times New Roman" w:cs="Times New Roman"/>
          <w:sz w:val="24"/>
          <w:szCs w:val="24"/>
        </w:rPr>
        <w:t>(viz tabulka 1-2) definovanými v tzv. Pozičním dokumentu EK z listopadu 2012, který lze považovat za nejadresnější dokument na evropské úrovni vůči konkrétní situaci a problémům v ČR</w:t>
      </w:r>
      <w:r w:rsidRPr="000B521F">
        <w:rPr>
          <w:rFonts w:ascii="Times New Roman" w:hAnsi="Times New Roman" w:cs="Times New Roman"/>
          <w:color w:val="000000"/>
          <w:sz w:val="24"/>
          <w:szCs w:val="24"/>
        </w:rPr>
        <w:t>. Bariéry dalšího rozvoje ČR</w:t>
      </w:r>
      <w:r w:rsidRPr="000B521F">
        <w:rPr>
          <w:rStyle w:val="Znakapoznpodarou"/>
          <w:rFonts w:ascii="Times New Roman" w:hAnsi="Times New Roman" w:cs="Times New Roman"/>
          <w:color w:val="000000"/>
          <w:sz w:val="24"/>
          <w:szCs w:val="24"/>
        </w:rPr>
        <w:footnoteReference w:id="9"/>
      </w:r>
      <w:r w:rsidRPr="000B521F">
        <w:rPr>
          <w:rFonts w:ascii="Times New Roman" w:hAnsi="Times New Roman" w:cs="Times New Roman"/>
          <w:color w:val="000000"/>
          <w:sz w:val="24"/>
          <w:szCs w:val="24"/>
        </w:rPr>
        <w:t xml:space="preserve"> identifikované Pozičním dokumentem EK jsou v souladu s provedenou analýzou a rovněž s řadou strategických dokumentů ČR (včetně Národního programu reforem (NPR), Strategie mezinárodní konkurenceschopnosti (SMK), aj.), a jejich odstranění patří k hlavním cílům programového období 2014</w:t>
      </w:r>
      <w:r w:rsidR="00273FF4">
        <w:rPr>
          <w:rFonts w:ascii="Times New Roman" w:hAnsi="Times New Roman" w:cs="Times New Roman"/>
          <w:color w:val="000000"/>
          <w:sz w:val="24"/>
          <w:szCs w:val="24"/>
        </w:rPr>
        <w:t>–</w:t>
      </w:r>
      <w:r w:rsidRPr="000B521F">
        <w:rPr>
          <w:rFonts w:ascii="Times New Roman" w:hAnsi="Times New Roman" w:cs="Times New Roman"/>
          <w:color w:val="000000"/>
          <w:sz w:val="24"/>
          <w:szCs w:val="24"/>
        </w:rPr>
        <w:t>2020.</w:t>
      </w:r>
      <w:bookmarkStart w:id="18" w:name="_Toc245272141"/>
      <w:bookmarkStart w:id="19" w:name="_Toc352918647"/>
    </w:p>
    <w:p w:rsidR="008206A4" w:rsidRPr="000B521F" w:rsidRDefault="00DC5011" w:rsidP="0059011D">
      <w:pPr>
        <w:pStyle w:val="Nadpis3"/>
        <w:numPr>
          <w:ilvl w:val="2"/>
          <w:numId w:val="14"/>
        </w:numPr>
        <w:spacing w:after="120"/>
        <w:rPr>
          <w:rFonts w:ascii="Times New Roman" w:hAnsi="Times New Roman" w:cs="Times New Roman"/>
        </w:rPr>
      </w:pPr>
      <w:bookmarkStart w:id="20" w:name="_Toc245272142"/>
      <w:bookmarkStart w:id="21" w:name="_Toc374702855"/>
      <w:bookmarkEnd w:id="18"/>
      <w:r w:rsidRPr="000B521F">
        <w:rPr>
          <w:rFonts w:ascii="Times New Roman" w:hAnsi="Times New Roman" w:cs="Times New Roman"/>
        </w:rPr>
        <w:t>Konkurenceschopnost ekonomiky</w:t>
      </w:r>
      <w:bookmarkEnd w:id="19"/>
      <w:bookmarkEnd w:id="20"/>
      <w:bookmarkEnd w:id="21"/>
    </w:p>
    <w:p w:rsidR="00DC5011" w:rsidRPr="000B521F" w:rsidRDefault="00DC5011" w:rsidP="0059011D">
      <w:pPr>
        <w:autoSpaceDE w:val="0"/>
        <w:autoSpaceDN w:val="0"/>
        <w:adjustRightInd w:val="0"/>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Tato problémová oblast vychází z národní rozvojové priority </w:t>
      </w:r>
      <w:r w:rsidRPr="000B521F">
        <w:rPr>
          <w:rFonts w:ascii="Times New Roman" w:hAnsi="Times New Roman" w:cs="Times New Roman"/>
          <w:i/>
          <w:sz w:val="24"/>
          <w:szCs w:val="24"/>
        </w:rPr>
        <w:t>„Zvýšení ekonomické konkurenceschopnosti“</w:t>
      </w:r>
      <w:r w:rsidRPr="000B521F">
        <w:rPr>
          <w:rFonts w:ascii="Times New Roman" w:hAnsi="Times New Roman" w:cs="Times New Roman"/>
          <w:sz w:val="24"/>
          <w:szCs w:val="24"/>
        </w:rPr>
        <w:t xml:space="preserve"> a rozpracovává ji do níže uvedených </w:t>
      </w:r>
      <w:r w:rsidRPr="000B521F">
        <w:rPr>
          <w:rFonts w:ascii="Times New Roman" w:hAnsi="Times New Roman" w:cs="Times New Roman"/>
          <w:b/>
          <w:sz w:val="24"/>
          <w:szCs w:val="24"/>
        </w:rPr>
        <w:t>čtyř hlavních pilířů</w:t>
      </w:r>
      <w:r w:rsidRPr="000B521F">
        <w:rPr>
          <w:rFonts w:ascii="Times New Roman" w:hAnsi="Times New Roman" w:cs="Times New Roman"/>
          <w:sz w:val="24"/>
          <w:szCs w:val="24"/>
        </w:rPr>
        <w:t xml:space="preserve"> identifikovaných pro posílení konkurenceschopnosti.</w:t>
      </w:r>
    </w:p>
    <w:p w:rsidR="00DC5011" w:rsidRPr="000B521F" w:rsidRDefault="00DC5011" w:rsidP="0059011D">
      <w:pPr>
        <w:autoSpaceDE w:val="0"/>
        <w:autoSpaceDN w:val="0"/>
        <w:adjustRightInd w:val="0"/>
        <w:spacing w:after="120" w:line="240" w:lineRule="auto"/>
        <w:jc w:val="both"/>
        <w:rPr>
          <w:rFonts w:ascii="Times New Roman" w:hAnsi="Times New Roman" w:cs="Times New Roman"/>
          <w:sz w:val="24"/>
          <w:szCs w:val="24"/>
        </w:rPr>
      </w:pPr>
    </w:p>
    <w:p w:rsidR="00DC5011" w:rsidRPr="000B521F" w:rsidRDefault="00DC5011" w:rsidP="0059011D">
      <w:pPr>
        <w:autoSpaceDE w:val="0"/>
        <w:autoSpaceDN w:val="0"/>
        <w:adjustRightInd w:val="0"/>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Hlavní pilíře konkurenceschopnosti ČR jsou:</w:t>
      </w:r>
    </w:p>
    <w:p w:rsidR="008206A4" w:rsidRPr="000B521F" w:rsidRDefault="00DC5011" w:rsidP="0059011D">
      <w:pPr>
        <w:pStyle w:val="Odstavecseseznamem"/>
        <w:numPr>
          <w:ilvl w:val="0"/>
          <w:numId w:val="19"/>
        </w:numPr>
        <w:autoSpaceDE w:val="0"/>
        <w:autoSpaceDN w:val="0"/>
        <w:adjustRightInd w:val="0"/>
        <w:spacing w:after="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fungující trh práce,</w:t>
      </w:r>
    </w:p>
    <w:p w:rsidR="008206A4" w:rsidRPr="000B521F" w:rsidRDefault="00DC5011" w:rsidP="0059011D">
      <w:pPr>
        <w:pStyle w:val="Odstavecseseznamem"/>
        <w:numPr>
          <w:ilvl w:val="0"/>
          <w:numId w:val="19"/>
        </w:numPr>
        <w:autoSpaceDE w:val="0"/>
        <w:autoSpaceDN w:val="0"/>
        <w:adjustRightInd w:val="0"/>
        <w:spacing w:after="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lastRenderedPageBreak/>
        <w:t xml:space="preserve">moderní a kvalitní vzdělávací systém, </w:t>
      </w:r>
    </w:p>
    <w:p w:rsidR="008206A4" w:rsidRPr="000B521F" w:rsidRDefault="00DC5011" w:rsidP="0059011D">
      <w:pPr>
        <w:pStyle w:val="Odstavecseseznamem"/>
        <w:numPr>
          <w:ilvl w:val="0"/>
          <w:numId w:val="19"/>
        </w:numPr>
        <w:autoSpaceDE w:val="0"/>
        <w:autoSpaceDN w:val="0"/>
        <w:adjustRightInd w:val="0"/>
        <w:spacing w:after="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 xml:space="preserve">efektivní výzkumný a inovační systém a </w:t>
      </w:r>
    </w:p>
    <w:p w:rsidR="008206A4" w:rsidRPr="000B521F" w:rsidRDefault="00DC5011" w:rsidP="0059011D">
      <w:pPr>
        <w:pStyle w:val="Odstavecseseznamem"/>
        <w:numPr>
          <w:ilvl w:val="0"/>
          <w:numId w:val="19"/>
        </w:numPr>
        <w:autoSpaceDE w:val="0"/>
        <w:autoSpaceDN w:val="0"/>
        <w:adjustRightInd w:val="0"/>
        <w:spacing w:after="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konkurenceschopné podniky.</w:t>
      </w:r>
    </w:p>
    <w:p w:rsidR="00764BAE" w:rsidRPr="000B521F" w:rsidRDefault="00764BAE" w:rsidP="0059011D">
      <w:pPr>
        <w:pStyle w:val="Odstavecseseznamem"/>
        <w:autoSpaceDE w:val="0"/>
        <w:autoSpaceDN w:val="0"/>
        <w:adjustRightInd w:val="0"/>
        <w:spacing w:after="0" w:line="240" w:lineRule="auto"/>
        <w:ind w:left="0"/>
        <w:jc w:val="both"/>
        <w:rPr>
          <w:rFonts w:ascii="Times New Roman" w:hAnsi="Times New Roman" w:cs="Times New Roman"/>
          <w:b/>
          <w:sz w:val="24"/>
          <w:szCs w:val="24"/>
        </w:rPr>
      </w:pPr>
    </w:p>
    <w:p w:rsidR="008206A4" w:rsidRPr="000B521F" w:rsidRDefault="00DC5011" w:rsidP="0059011D">
      <w:pPr>
        <w:pStyle w:val="Nadpis4"/>
        <w:numPr>
          <w:ilvl w:val="3"/>
          <w:numId w:val="14"/>
        </w:numPr>
        <w:spacing w:before="120" w:after="120"/>
        <w:rPr>
          <w:rFonts w:ascii="Times New Roman" w:hAnsi="Times New Roman" w:cs="Times New Roman"/>
          <w:sz w:val="24"/>
          <w:szCs w:val="24"/>
        </w:rPr>
      </w:pPr>
      <w:bookmarkStart w:id="22" w:name="_Toc245272143"/>
      <w:bookmarkStart w:id="23" w:name="_Toc374702856"/>
      <w:r w:rsidRPr="000B521F">
        <w:rPr>
          <w:rFonts w:ascii="Times New Roman" w:hAnsi="Times New Roman" w:cs="Times New Roman"/>
          <w:sz w:val="24"/>
          <w:szCs w:val="24"/>
        </w:rPr>
        <w:t>Trh práce</w:t>
      </w:r>
      <w:bookmarkEnd w:id="22"/>
      <w:bookmarkEnd w:id="23"/>
    </w:p>
    <w:p w:rsidR="00DC5011" w:rsidRPr="000B521F" w:rsidRDefault="00DC5011" w:rsidP="0059011D">
      <w:pPr>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Východiska a charakteristika</w:t>
      </w:r>
    </w:p>
    <w:p w:rsidR="00DC5011" w:rsidRPr="000B521F" w:rsidRDefault="00DC5011" w:rsidP="0059011D">
      <w:pPr>
        <w:spacing w:after="120" w:line="240" w:lineRule="auto"/>
        <w:jc w:val="both"/>
        <w:rPr>
          <w:rFonts w:ascii="Times New Roman" w:hAnsi="Times New Roman" w:cs="Times New Roman"/>
          <w:b/>
          <w:sz w:val="24"/>
          <w:szCs w:val="24"/>
        </w:rPr>
      </w:pPr>
    </w:p>
    <w:p w:rsidR="00485A38" w:rsidRPr="000B521F" w:rsidRDefault="00485A38"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Kvalita lidských zdrojů a efektivně fungující trh práce jsou </w:t>
      </w:r>
      <w:r w:rsidRPr="000B521F">
        <w:rPr>
          <w:rFonts w:ascii="Times New Roman" w:hAnsi="Times New Roman" w:cs="Times New Roman"/>
          <w:b/>
          <w:sz w:val="24"/>
          <w:szCs w:val="24"/>
        </w:rPr>
        <w:t>klíčové prvky necenové konkurenceschopnosti</w:t>
      </w:r>
      <w:r w:rsidRPr="000B521F">
        <w:rPr>
          <w:rFonts w:ascii="Times New Roman" w:hAnsi="Times New Roman" w:cs="Times New Roman"/>
          <w:sz w:val="24"/>
          <w:szCs w:val="24"/>
        </w:rPr>
        <w:t xml:space="preserve">. Zejména pro malou a otevřenou ekonomiku jako je ČR je </w:t>
      </w:r>
      <w:r w:rsidRPr="000B521F">
        <w:rPr>
          <w:rFonts w:ascii="Times New Roman" w:hAnsi="Times New Roman" w:cs="Times New Roman"/>
          <w:b/>
          <w:sz w:val="24"/>
          <w:szCs w:val="24"/>
        </w:rPr>
        <w:t>flexibilita pracovní síly a sladění nabídky a poptávky na trhu práce</w:t>
      </w:r>
      <w:r w:rsidRPr="000B521F">
        <w:rPr>
          <w:rFonts w:ascii="Times New Roman" w:hAnsi="Times New Roman" w:cs="Times New Roman"/>
          <w:sz w:val="24"/>
          <w:szCs w:val="24"/>
        </w:rPr>
        <w:t xml:space="preserve"> důležitým nástrojem, jak se vyrovnat se ztrátou nákladové výhody, která byla významným faktorem růstu v období před nástupem hospodářské recese. </w:t>
      </w:r>
    </w:p>
    <w:p w:rsidR="00485A38" w:rsidRPr="000B521F" w:rsidRDefault="00485A38"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Český </w:t>
      </w:r>
      <w:r w:rsidRPr="000B521F">
        <w:rPr>
          <w:rFonts w:ascii="Times New Roman" w:hAnsi="Times New Roman" w:cs="Times New Roman"/>
          <w:b/>
          <w:sz w:val="24"/>
          <w:szCs w:val="24"/>
        </w:rPr>
        <w:t>trh práce je ovlivňován nepříznivým vývojem ekonomiky</w:t>
      </w:r>
      <w:r w:rsidRPr="000B521F">
        <w:rPr>
          <w:rFonts w:ascii="Times New Roman" w:hAnsi="Times New Roman" w:cs="Times New Roman"/>
          <w:sz w:val="24"/>
          <w:szCs w:val="24"/>
        </w:rPr>
        <w:t xml:space="preserve">. </w:t>
      </w:r>
      <w:r w:rsidRPr="000B521F">
        <w:rPr>
          <w:rFonts w:ascii="Times New Roman" w:hAnsi="Times New Roman" w:cs="Times New Roman"/>
          <w:b/>
          <w:sz w:val="24"/>
          <w:szCs w:val="24"/>
        </w:rPr>
        <w:t>Zaměstnanost</w:t>
      </w:r>
      <w:r w:rsidRPr="000B521F">
        <w:rPr>
          <w:rFonts w:ascii="Times New Roman" w:hAnsi="Times New Roman" w:cs="Times New Roman"/>
          <w:sz w:val="24"/>
          <w:szCs w:val="24"/>
        </w:rPr>
        <w:t xml:space="preserve"> v české ekonomice </w:t>
      </w:r>
      <w:r w:rsidRPr="000B521F">
        <w:rPr>
          <w:rFonts w:ascii="Times New Roman" w:hAnsi="Times New Roman" w:cs="Times New Roman"/>
          <w:b/>
          <w:sz w:val="24"/>
          <w:szCs w:val="24"/>
        </w:rPr>
        <w:t>klesla v období 2008-2012 již o 112 tisíc míst</w:t>
      </w:r>
      <w:r w:rsidRPr="000B521F">
        <w:rPr>
          <w:rStyle w:val="Znakapoznpodarou"/>
          <w:rFonts w:ascii="Times New Roman" w:hAnsi="Times New Roman" w:cs="Times New Roman"/>
          <w:sz w:val="24"/>
          <w:szCs w:val="24"/>
        </w:rPr>
        <w:footnoteReference w:id="10"/>
      </w:r>
      <w:r w:rsidRPr="000B521F">
        <w:rPr>
          <w:rFonts w:ascii="Times New Roman" w:hAnsi="Times New Roman" w:cs="Times New Roman"/>
          <w:sz w:val="24"/>
          <w:szCs w:val="24"/>
        </w:rPr>
        <w:t>. Největší pokles zaměstnanosti (v absolutní hodnotě) postihl zpracovatelský průmysl, kde se v období 2008-2012 snížil počet pracovních míst o téměř 80 tisíc; ztráta dalších 56 tisíc míst postihla stavebnictví; odvětví obchodu a dopravy ztratila 35 tisíc pracovních míst</w:t>
      </w:r>
      <w:r w:rsidRPr="000B521F">
        <w:rPr>
          <w:rStyle w:val="Znakapoznpodarou"/>
          <w:rFonts w:ascii="Times New Roman" w:hAnsi="Times New Roman" w:cs="Times New Roman"/>
          <w:sz w:val="24"/>
          <w:szCs w:val="24"/>
        </w:rPr>
        <w:footnoteReference w:id="11"/>
      </w:r>
    </w:p>
    <w:p w:rsidR="00485A38" w:rsidRPr="000B521F" w:rsidRDefault="00485A38"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Důsledkem tohoto vývoje je </w:t>
      </w:r>
      <w:r w:rsidRPr="000B521F">
        <w:rPr>
          <w:rFonts w:ascii="Times New Roman" w:hAnsi="Times New Roman" w:cs="Times New Roman"/>
          <w:b/>
          <w:sz w:val="24"/>
          <w:szCs w:val="24"/>
        </w:rPr>
        <w:t>rychle rostoucí počet nezaměstnaných</w:t>
      </w:r>
      <w:r w:rsidRPr="000B521F">
        <w:rPr>
          <w:rFonts w:ascii="Times New Roman" w:hAnsi="Times New Roman" w:cs="Times New Roman"/>
          <w:sz w:val="24"/>
          <w:szCs w:val="24"/>
        </w:rPr>
        <w:t xml:space="preserve">. V září 2013 jich bylo registrováno již přes 550 tisíc; v porovnání s červnem 2008, kdy jejich počet klesl pod 300 tisíc, jde o nárůst o téměř 90 %. Registrovaná míra nezaměstnanosti dosáhla na konci roku 2012 9,4 %. Přes </w:t>
      </w:r>
      <w:r w:rsidRPr="000B521F">
        <w:rPr>
          <w:rFonts w:ascii="Times New Roman" w:hAnsi="Times New Roman" w:cs="Times New Roman"/>
          <w:b/>
          <w:sz w:val="24"/>
          <w:szCs w:val="24"/>
        </w:rPr>
        <w:t>192 tisíc nezaměstnaných je v evidenci déle než rok</w:t>
      </w:r>
      <w:r w:rsidRPr="000B521F">
        <w:rPr>
          <w:rFonts w:ascii="Times New Roman" w:hAnsi="Times New Roman" w:cs="Times New Roman"/>
          <w:sz w:val="24"/>
          <w:szCs w:val="24"/>
        </w:rPr>
        <w:t>; v období 2008</w:t>
      </w:r>
      <w:r w:rsidR="00273FF4">
        <w:rPr>
          <w:rFonts w:ascii="Times New Roman" w:hAnsi="Times New Roman" w:cs="Times New Roman"/>
          <w:color w:val="000000"/>
          <w:sz w:val="24"/>
          <w:szCs w:val="24"/>
        </w:rPr>
        <w:t>–</w:t>
      </w:r>
      <w:r w:rsidRPr="000B521F">
        <w:rPr>
          <w:rFonts w:ascii="Times New Roman" w:hAnsi="Times New Roman" w:cs="Times New Roman"/>
          <w:sz w:val="24"/>
          <w:szCs w:val="24"/>
        </w:rPr>
        <w:t xml:space="preserve">2012 toto číslo narostlo o více než 90 %. Hrozí proto nebezpečí změny charakteru nezaměstnanosti na převážně </w:t>
      </w:r>
      <w:r w:rsidRPr="000B521F">
        <w:rPr>
          <w:rFonts w:ascii="Times New Roman" w:hAnsi="Times New Roman" w:cs="Times New Roman"/>
          <w:b/>
          <w:sz w:val="24"/>
          <w:szCs w:val="24"/>
        </w:rPr>
        <w:t>strukturální nezaměstnanost</w:t>
      </w:r>
      <w:r w:rsidRPr="000B521F">
        <w:rPr>
          <w:rFonts w:ascii="Times New Roman" w:hAnsi="Times New Roman" w:cs="Times New Roman"/>
          <w:sz w:val="24"/>
          <w:szCs w:val="24"/>
        </w:rPr>
        <w:t xml:space="preserve">, jejíž řešení bude obtížné a finančně náročné. </w:t>
      </w:r>
    </w:p>
    <w:p w:rsidR="00485A38" w:rsidRPr="000B521F" w:rsidRDefault="00485A38"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I když v mezinárodním srovnání je situace na českém trhu práce stále ještě poměrně dobrá, realita pro některé skupiny populace je výrazně horší. Výrazně </w:t>
      </w:r>
      <w:r w:rsidRPr="000B521F">
        <w:rPr>
          <w:rFonts w:ascii="Times New Roman" w:hAnsi="Times New Roman" w:cs="Times New Roman"/>
          <w:b/>
          <w:sz w:val="24"/>
          <w:szCs w:val="24"/>
        </w:rPr>
        <w:t>vyššímu riziku</w:t>
      </w:r>
      <w:r w:rsidRPr="000B521F">
        <w:rPr>
          <w:rFonts w:ascii="Times New Roman" w:hAnsi="Times New Roman" w:cs="Times New Roman"/>
          <w:sz w:val="24"/>
          <w:szCs w:val="24"/>
        </w:rPr>
        <w:t xml:space="preserve"> ztráty uplatnění a nezaměstnanosti jsou vystaveny </w:t>
      </w:r>
      <w:r w:rsidRPr="000B521F">
        <w:rPr>
          <w:rFonts w:ascii="Times New Roman" w:hAnsi="Times New Roman" w:cs="Times New Roman"/>
          <w:b/>
          <w:sz w:val="24"/>
          <w:szCs w:val="24"/>
        </w:rPr>
        <w:t>osoby ve věku 50+, lidé se zdravotním znevýhodněním a příslušníci menšin</w:t>
      </w:r>
      <w:r w:rsidRPr="000B521F">
        <w:rPr>
          <w:rFonts w:ascii="Times New Roman" w:hAnsi="Times New Roman" w:cs="Times New Roman"/>
          <w:sz w:val="24"/>
          <w:szCs w:val="24"/>
        </w:rPr>
        <w:t xml:space="preserve">. V případě </w:t>
      </w:r>
      <w:r w:rsidRPr="000B521F">
        <w:rPr>
          <w:rFonts w:ascii="Times New Roman" w:hAnsi="Times New Roman" w:cs="Times New Roman"/>
          <w:b/>
          <w:sz w:val="24"/>
          <w:szCs w:val="24"/>
        </w:rPr>
        <w:t>míry zaměstnanosti starších osob</w:t>
      </w:r>
      <w:r w:rsidRPr="000B521F">
        <w:rPr>
          <w:rFonts w:ascii="Times New Roman" w:hAnsi="Times New Roman" w:cs="Times New Roman"/>
          <w:sz w:val="24"/>
          <w:szCs w:val="24"/>
        </w:rPr>
        <w:t xml:space="preserve"> (49 %</w:t>
      </w:r>
      <w:r w:rsidRPr="000B521F">
        <w:rPr>
          <w:rStyle w:val="Znakapoznpodarou"/>
          <w:rFonts w:ascii="Times New Roman" w:hAnsi="Times New Roman" w:cs="Times New Roman"/>
          <w:sz w:val="24"/>
          <w:szCs w:val="24"/>
        </w:rPr>
        <w:footnoteReference w:id="12"/>
      </w:r>
      <w:r w:rsidRPr="000B521F">
        <w:rPr>
          <w:rFonts w:ascii="Times New Roman" w:hAnsi="Times New Roman" w:cs="Times New Roman"/>
          <w:sz w:val="24"/>
          <w:szCs w:val="24"/>
        </w:rPr>
        <w:t xml:space="preserve">) se ČR pohybuje na průměru EU, vykazuje však velký rozdíl mezi muži (60 %) a ženami (39 %). </w:t>
      </w:r>
      <w:r w:rsidRPr="000B521F">
        <w:rPr>
          <w:rFonts w:ascii="Times New Roman" w:hAnsi="Times New Roman" w:cs="Times New Roman"/>
          <w:b/>
          <w:sz w:val="24"/>
          <w:szCs w:val="24"/>
        </w:rPr>
        <w:t>Míra zaměstnanosti osob se základním vzděláním a bez vzdělání</w:t>
      </w:r>
      <w:r w:rsidRPr="000B521F">
        <w:rPr>
          <w:rFonts w:ascii="Times New Roman" w:hAnsi="Times New Roman" w:cs="Times New Roman"/>
          <w:sz w:val="24"/>
          <w:szCs w:val="24"/>
        </w:rPr>
        <w:t xml:space="preserve"> je výrazně pod průměrem EU-27 (v roce 2012 byla nižší o 13,6 p. b.) a navíc stále klesá. </w:t>
      </w:r>
      <w:r w:rsidRPr="000B521F">
        <w:rPr>
          <w:rFonts w:ascii="Times New Roman" w:hAnsi="Times New Roman" w:cs="Times New Roman"/>
          <w:b/>
          <w:sz w:val="24"/>
          <w:szCs w:val="24"/>
        </w:rPr>
        <w:t>Míra zaměstnanosti mladých osob</w:t>
      </w:r>
      <w:r w:rsidR="00273FF4">
        <w:rPr>
          <w:rFonts w:ascii="Times New Roman" w:hAnsi="Times New Roman" w:cs="Times New Roman"/>
          <w:sz w:val="24"/>
          <w:szCs w:val="24"/>
        </w:rPr>
        <w:t xml:space="preserve"> (20</w:t>
      </w:r>
      <w:r w:rsidR="00273FF4">
        <w:rPr>
          <w:rFonts w:ascii="Times New Roman" w:hAnsi="Times New Roman" w:cs="Times New Roman"/>
          <w:color w:val="000000"/>
          <w:sz w:val="24"/>
          <w:szCs w:val="24"/>
        </w:rPr>
        <w:t>–</w:t>
      </w:r>
      <w:r w:rsidRPr="000B521F">
        <w:rPr>
          <w:rFonts w:ascii="Times New Roman" w:hAnsi="Times New Roman" w:cs="Times New Roman"/>
          <w:sz w:val="24"/>
          <w:szCs w:val="24"/>
        </w:rPr>
        <w:t xml:space="preserve">29 let) má rovněž dlouhodobě klesající tendenci (v roce 2000 byla 66 %, v roce 2012 již pouze 57,8 %) a úměrně s tím roste i jejich nezaměstnanost. </w:t>
      </w:r>
      <w:r w:rsidRPr="000B521F">
        <w:rPr>
          <w:rFonts w:ascii="Times New Roman" w:hAnsi="Times New Roman" w:cs="Times New Roman"/>
          <w:b/>
          <w:sz w:val="24"/>
          <w:szCs w:val="24"/>
        </w:rPr>
        <w:t>Podíl mladých osob mimo trh práce nebo vzdělávání</w:t>
      </w:r>
      <w:r w:rsidRPr="000B521F">
        <w:rPr>
          <w:rFonts w:ascii="Times New Roman" w:hAnsi="Times New Roman" w:cs="Times New Roman"/>
          <w:sz w:val="24"/>
          <w:szCs w:val="24"/>
        </w:rPr>
        <w:t xml:space="preserve"> je sice stále pod průměrem EU-27, avšak i toto číslo roste (8,9 % v roce 2012). Specifikem českého trhu práce je rovněž </w:t>
      </w:r>
      <w:r w:rsidRPr="000B521F">
        <w:rPr>
          <w:rFonts w:ascii="Times New Roman" w:hAnsi="Times New Roman" w:cs="Times New Roman"/>
          <w:b/>
          <w:sz w:val="24"/>
          <w:szCs w:val="24"/>
        </w:rPr>
        <w:t>velký rozdíl v míře zaměstnanosti mužů a žen</w:t>
      </w:r>
      <w:r w:rsidRPr="000B521F">
        <w:rPr>
          <w:rFonts w:ascii="Times New Roman" w:hAnsi="Times New Roman" w:cs="Times New Roman"/>
          <w:sz w:val="24"/>
          <w:szCs w:val="24"/>
        </w:rPr>
        <w:t>.</w:t>
      </w:r>
    </w:p>
    <w:p w:rsidR="00485A38" w:rsidRPr="000B521F" w:rsidRDefault="00485A38"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I přes složitý vývoj na trhu práce v ČR nadále existují </w:t>
      </w:r>
      <w:r w:rsidRPr="000B521F">
        <w:rPr>
          <w:rFonts w:ascii="Times New Roman" w:hAnsi="Times New Roman" w:cs="Times New Roman"/>
          <w:b/>
          <w:sz w:val="24"/>
          <w:szCs w:val="24"/>
        </w:rPr>
        <w:t>„póly růstu“</w:t>
      </w:r>
      <w:r w:rsidRPr="000B521F">
        <w:rPr>
          <w:rFonts w:ascii="Times New Roman" w:hAnsi="Times New Roman" w:cs="Times New Roman"/>
          <w:sz w:val="24"/>
          <w:szCs w:val="24"/>
        </w:rPr>
        <w:t xml:space="preserve"> </w:t>
      </w:r>
      <w:r w:rsidR="0019742F">
        <w:rPr>
          <w:rFonts w:ascii="Times New Roman" w:hAnsi="Times New Roman" w:cs="Times New Roman"/>
          <w:color w:val="000000"/>
          <w:sz w:val="24"/>
          <w:szCs w:val="24"/>
        </w:rPr>
        <w:t>–</w:t>
      </w:r>
      <w:r w:rsidRPr="000B521F">
        <w:rPr>
          <w:rFonts w:ascii="Times New Roman" w:hAnsi="Times New Roman" w:cs="Times New Roman"/>
          <w:sz w:val="24"/>
          <w:szCs w:val="24"/>
        </w:rPr>
        <w:t xml:space="preserve"> odvětví, kde zaměstnanost roste. Často se jedná o odvětví s vyšší technologickou a znalostní náročností (architektonické a inženýrské činnosti, IT služby nebo výroba elektronických a optických přístrojů), jejich rozvoj je však brzděn </w:t>
      </w:r>
      <w:r w:rsidRPr="000B521F">
        <w:rPr>
          <w:rFonts w:ascii="Times New Roman" w:hAnsi="Times New Roman" w:cs="Times New Roman"/>
          <w:b/>
          <w:sz w:val="24"/>
          <w:szCs w:val="24"/>
        </w:rPr>
        <w:t xml:space="preserve">špatnou </w:t>
      </w:r>
      <w:r w:rsidRPr="000B521F">
        <w:rPr>
          <w:rFonts w:ascii="Times New Roman" w:hAnsi="Times New Roman" w:cs="Times New Roman"/>
          <w:sz w:val="24"/>
          <w:szCs w:val="24"/>
        </w:rPr>
        <w:t>d</w:t>
      </w:r>
      <w:r w:rsidRPr="000B521F">
        <w:rPr>
          <w:rFonts w:ascii="Times New Roman" w:hAnsi="Times New Roman" w:cs="Times New Roman"/>
          <w:b/>
          <w:sz w:val="24"/>
          <w:szCs w:val="24"/>
        </w:rPr>
        <w:t>ostupností kvalifikovaných pracovníků</w:t>
      </w:r>
      <w:r w:rsidRPr="000B521F">
        <w:rPr>
          <w:rFonts w:ascii="Times New Roman" w:hAnsi="Times New Roman" w:cs="Times New Roman"/>
          <w:sz w:val="24"/>
          <w:szCs w:val="24"/>
        </w:rPr>
        <w:t xml:space="preserve"> a mírou nesouladu mezi kompetencemi pracovní síly a požadavky zaměstnavatelů.</w:t>
      </w:r>
      <w:r w:rsidR="00C73CB8">
        <w:rPr>
          <w:rFonts w:ascii="Times New Roman" w:hAnsi="Times New Roman" w:cs="Times New Roman"/>
          <w:sz w:val="24"/>
          <w:szCs w:val="24"/>
        </w:rPr>
        <w:t xml:space="preserve"> </w:t>
      </w:r>
      <w:r w:rsidRPr="000B521F">
        <w:rPr>
          <w:rFonts w:ascii="Times New Roman" w:hAnsi="Times New Roman" w:cs="Times New Roman"/>
          <w:sz w:val="24"/>
          <w:szCs w:val="24"/>
        </w:rPr>
        <w:t>Tento problém je nutné řešit jak na úrovni trhu práce, tak v oblasti vzdělávání.</w:t>
      </w:r>
    </w:p>
    <w:p w:rsidR="00485A38" w:rsidRPr="000B521F" w:rsidRDefault="00485A38"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lastRenderedPageBreak/>
        <w:t>Ve Strategii pro inteligentní a udržitelný růst podporující začlenění („Evropa 2020“) je zvýšení zaměstnanosti věnována velká pozornost. Národní program reforem (NPR), navazující na Evropu 2020, stanovuje v oblasti zaměstnanosti pro ČR několik cílů. I přes obtížnou situaci na trhu práce se od roku 2010 podařilo zvýšit míru zaměstnanosti žen a starších osob a míru zaměstnanosti celkem. Největším problémem je rostoucí míra nezaměstnanosti osob s nízkou kvalifikací (viz tabulka na konci kapitoly).</w:t>
      </w:r>
    </w:p>
    <w:p w:rsidR="00485A38" w:rsidRPr="000B521F" w:rsidRDefault="00485A38" w:rsidP="0059011D">
      <w:pPr>
        <w:spacing w:after="120" w:line="240" w:lineRule="auto"/>
        <w:jc w:val="both"/>
        <w:rPr>
          <w:rFonts w:ascii="Times New Roman" w:hAnsi="Times New Roman" w:cs="Times New Roman"/>
          <w:b/>
          <w:sz w:val="24"/>
          <w:szCs w:val="24"/>
        </w:rPr>
      </w:pPr>
    </w:p>
    <w:p w:rsidR="00485A38" w:rsidRPr="000B521F" w:rsidRDefault="00485A38" w:rsidP="0059011D">
      <w:pPr>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Územní dimenze</w:t>
      </w:r>
    </w:p>
    <w:p w:rsidR="00485A38" w:rsidRPr="000B521F" w:rsidRDefault="00485A38"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Vývoj na trhu práce se projevuje v jednotlivých krajích rozdílně. Zatímco Praha, Jihomoravský a Středočeský kraj zaznamenaly od recese přírůstek zaměstnanosti, v ostatních krajích došlo k poklesu</w:t>
      </w:r>
      <w:r w:rsidRPr="000B521F">
        <w:rPr>
          <w:rStyle w:val="Znakapoznpodarou"/>
          <w:rFonts w:ascii="Times New Roman" w:hAnsi="Times New Roman" w:cs="Times New Roman"/>
          <w:sz w:val="24"/>
          <w:szCs w:val="24"/>
        </w:rPr>
        <w:footnoteReference w:id="13"/>
      </w:r>
      <w:r w:rsidRPr="000B521F">
        <w:rPr>
          <w:rFonts w:ascii="Times New Roman" w:hAnsi="Times New Roman" w:cs="Times New Roman"/>
          <w:sz w:val="24"/>
          <w:szCs w:val="24"/>
        </w:rPr>
        <w:t xml:space="preserve">. </w:t>
      </w:r>
      <w:r w:rsidR="00CB4BC5" w:rsidRPr="000B521F">
        <w:rPr>
          <w:rFonts w:ascii="Times New Roman" w:hAnsi="Times New Roman" w:cs="Times New Roman"/>
          <w:sz w:val="24"/>
          <w:szCs w:val="24"/>
        </w:rPr>
        <w:t>Míra nezaměstnanosti se pouze v Praze udržela pod hranicí 5%, v</w:t>
      </w:r>
      <w:r w:rsidRPr="000B521F">
        <w:rPr>
          <w:rFonts w:ascii="Times New Roman" w:hAnsi="Times New Roman" w:cs="Times New Roman"/>
          <w:sz w:val="24"/>
          <w:szCs w:val="24"/>
        </w:rPr>
        <w:t xml:space="preserve"> 8 ze 14 krajů ČR byla na konci roku 2012</w:t>
      </w:r>
      <w:r w:rsidR="00CB4BC5" w:rsidRPr="000B521F">
        <w:rPr>
          <w:rFonts w:ascii="Times New Roman" w:hAnsi="Times New Roman" w:cs="Times New Roman"/>
          <w:sz w:val="24"/>
          <w:szCs w:val="24"/>
        </w:rPr>
        <w:t xml:space="preserve"> naopak</w:t>
      </w:r>
      <w:r w:rsidRPr="000B521F">
        <w:rPr>
          <w:rFonts w:ascii="Times New Roman" w:hAnsi="Times New Roman" w:cs="Times New Roman"/>
          <w:sz w:val="24"/>
          <w:szCs w:val="24"/>
        </w:rPr>
        <w:t xml:space="preserve"> vyšší než 10 %</w:t>
      </w:r>
      <w:r w:rsidR="00CB4BC5" w:rsidRPr="000B521F">
        <w:rPr>
          <w:rFonts w:ascii="Times New Roman" w:hAnsi="Times New Roman" w:cs="Times New Roman"/>
          <w:sz w:val="24"/>
          <w:szCs w:val="24"/>
        </w:rPr>
        <w:t>.</w:t>
      </w:r>
      <w:r w:rsidRPr="000B521F">
        <w:rPr>
          <w:rFonts w:ascii="Times New Roman" w:hAnsi="Times New Roman" w:cs="Times New Roman"/>
          <w:sz w:val="24"/>
          <w:szCs w:val="24"/>
        </w:rPr>
        <w:t xml:space="preserve">V těchto krajích je také velmi špatná situace v poměru nezaměstnaných a volných pracovních míst. </w:t>
      </w:r>
      <w:r w:rsidR="00CB4BC5" w:rsidRPr="000B521F">
        <w:rPr>
          <w:rFonts w:ascii="Times New Roman" w:hAnsi="Times New Roman" w:cs="Times New Roman"/>
          <w:sz w:val="24"/>
          <w:szCs w:val="24"/>
        </w:rPr>
        <w:t>Míra nezaměstnanosti mladých ve věku 15–24 let byla nejvyšší v regionu Severozápad. V roce 2012 dosáhla 28,2 %, což je zhruba o 9 p.b. nad průměrem ČR. Tento stav má navíc stále rostoucí ten</w:t>
      </w:r>
      <w:r w:rsidR="00273FF4">
        <w:rPr>
          <w:rFonts w:ascii="Times New Roman" w:hAnsi="Times New Roman" w:cs="Times New Roman"/>
          <w:sz w:val="24"/>
          <w:szCs w:val="24"/>
        </w:rPr>
        <w:t>d</w:t>
      </w:r>
      <w:r w:rsidR="00CB4BC5" w:rsidRPr="000B521F">
        <w:rPr>
          <w:rFonts w:ascii="Times New Roman" w:hAnsi="Times New Roman" w:cs="Times New Roman"/>
          <w:sz w:val="24"/>
          <w:szCs w:val="24"/>
        </w:rPr>
        <w:t>enci.</w:t>
      </w:r>
      <w:r w:rsidR="00273FF4">
        <w:rPr>
          <w:rFonts w:ascii="Times New Roman" w:hAnsi="Times New Roman" w:cs="Times New Roman"/>
          <w:sz w:val="24"/>
          <w:szCs w:val="24"/>
        </w:rPr>
        <w:t xml:space="preserve"> </w:t>
      </w:r>
      <w:r w:rsidR="00A14789" w:rsidRPr="000B521F">
        <w:rPr>
          <w:rFonts w:ascii="Times New Roman" w:hAnsi="Times New Roman" w:cs="Times New Roman"/>
          <w:sz w:val="24"/>
          <w:szCs w:val="24"/>
        </w:rPr>
        <w:t>Podíl zaměstnaných do 34 let a podíl zaměstnaných nad 55 let vykazuje malé rozdíly v území. Naopak podíl zaměstnaných i nezaměstnaných „bez vzdělání“ se vyznačuje výraznými regionálními rozdíly.</w:t>
      </w:r>
    </w:p>
    <w:p w:rsidR="00485A38" w:rsidRPr="000B521F" w:rsidRDefault="00485A38"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Vývoj v Praze a Jihomoravském kraji</w:t>
      </w:r>
      <w:r w:rsidR="00A14789" w:rsidRPr="000B521F">
        <w:rPr>
          <w:rFonts w:ascii="Times New Roman" w:hAnsi="Times New Roman" w:cs="Times New Roman"/>
          <w:sz w:val="24"/>
          <w:szCs w:val="24"/>
        </w:rPr>
        <w:t xml:space="preserve"> (</w:t>
      </w:r>
      <w:r w:rsidRPr="000B521F">
        <w:rPr>
          <w:rFonts w:ascii="Times New Roman" w:hAnsi="Times New Roman" w:cs="Times New Roman"/>
          <w:sz w:val="24"/>
          <w:szCs w:val="24"/>
        </w:rPr>
        <w:t xml:space="preserve"> kde je růst zaměstnanosti tažen především díky městu Brnu</w:t>
      </w:r>
      <w:r w:rsidR="00A14789" w:rsidRPr="000B521F">
        <w:rPr>
          <w:rFonts w:ascii="Times New Roman" w:hAnsi="Times New Roman" w:cs="Times New Roman"/>
          <w:sz w:val="24"/>
          <w:szCs w:val="24"/>
        </w:rPr>
        <w:t>)</w:t>
      </w:r>
      <w:r w:rsidRPr="000B521F">
        <w:rPr>
          <w:rFonts w:ascii="Times New Roman" w:hAnsi="Times New Roman" w:cs="Times New Roman"/>
          <w:sz w:val="24"/>
          <w:szCs w:val="24"/>
        </w:rPr>
        <w:t xml:space="preserve"> dokládá </w:t>
      </w:r>
      <w:r w:rsidRPr="000B521F">
        <w:rPr>
          <w:rFonts w:ascii="Times New Roman" w:hAnsi="Times New Roman" w:cs="Times New Roman"/>
          <w:b/>
          <w:sz w:val="24"/>
          <w:szCs w:val="24"/>
        </w:rPr>
        <w:t>zvyšování rozdílů na trhu práce mezi městy a venkovem</w:t>
      </w:r>
      <w:r w:rsidRPr="000B521F">
        <w:rPr>
          <w:rFonts w:ascii="Times New Roman" w:hAnsi="Times New Roman" w:cs="Times New Roman"/>
          <w:sz w:val="24"/>
          <w:szCs w:val="24"/>
        </w:rPr>
        <w:t xml:space="preserve">. Uchazeči ve venkovských oblastech tvoří přibližně čtvrtinu všech uchazečů, zatímco volná pracovní místa (VPM) ve venkovských oblastech představují jen šestinu všech VPM. </w:t>
      </w:r>
      <w:r w:rsidRPr="000B521F">
        <w:rPr>
          <w:rFonts w:ascii="Times New Roman" w:hAnsi="Times New Roman" w:cs="Times New Roman"/>
          <w:b/>
          <w:sz w:val="24"/>
          <w:szCs w:val="24"/>
        </w:rPr>
        <w:t>Malá tvorba pracovních míst ve venkovských oblastech</w:t>
      </w:r>
      <w:r w:rsidRPr="000B521F">
        <w:rPr>
          <w:rFonts w:ascii="Times New Roman" w:hAnsi="Times New Roman" w:cs="Times New Roman"/>
          <w:sz w:val="24"/>
          <w:szCs w:val="24"/>
        </w:rPr>
        <w:t xml:space="preserve"> má několik příčin </w:t>
      </w:r>
      <w:r w:rsidR="00273FF4">
        <w:rPr>
          <w:rFonts w:ascii="Times New Roman" w:hAnsi="Times New Roman" w:cs="Times New Roman"/>
          <w:color w:val="000000"/>
          <w:sz w:val="24"/>
          <w:szCs w:val="24"/>
        </w:rPr>
        <w:t>–</w:t>
      </w:r>
      <w:r w:rsidRPr="000B521F">
        <w:rPr>
          <w:rFonts w:ascii="Times New Roman" w:hAnsi="Times New Roman" w:cs="Times New Roman"/>
          <w:sz w:val="24"/>
          <w:szCs w:val="24"/>
        </w:rPr>
        <w:t xml:space="preserve"> především horší infrastrukturu pro podnikání nebo horší dostupnost kapitálu. V důsledku nižší hustoty zalidnění (a také vybavenosti) na venkově je založení a zejména provozování podnikatelské aktivity většinou spojeno s vyššími náklady.</w:t>
      </w:r>
      <w:r w:rsidR="00A14789" w:rsidRPr="000B521F">
        <w:rPr>
          <w:rFonts w:ascii="Times New Roman" w:hAnsi="Times New Roman" w:cs="Times New Roman"/>
          <w:sz w:val="24"/>
          <w:szCs w:val="24"/>
        </w:rPr>
        <w:t xml:space="preserve"> Z hlediska aktivní politiky zaměstnanosti vykazuje aktivita jednotlivých úřadů práce na úrovni okresů i krajů velké územní rozdíly z hlediska objemu prostředků vynaložených na APZ a objemu rekvalifikací.</w:t>
      </w:r>
    </w:p>
    <w:p w:rsidR="00485A38" w:rsidRPr="000B521F" w:rsidRDefault="00485A38"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b/>
          <w:sz w:val="24"/>
          <w:szCs w:val="24"/>
        </w:rPr>
        <w:t>Nedostatek pracovních příležitostí ve venkovském prostoru</w:t>
      </w:r>
      <w:r w:rsidRPr="000B521F">
        <w:rPr>
          <w:rFonts w:ascii="Times New Roman" w:hAnsi="Times New Roman" w:cs="Times New Roman"/>
          <w:sz w:val="24"/>
          <w:szCs w:val="24"/>
        </w:rPr>
        <w:t xml:space="preserve"> je pak jednou z hlavních příčin migrace především mladých lidí do měst. Stabilizace venkovského obyvatelstva prostřednictvím zajištění pracovních příležitostí je tak jednou z důležitých výzev nového programového období.</w:t>
      </w:r>
      <w:r w:rsidR="00C75F84">
        <w:rPr>
          <w:rFonts w:ascii="Times New Roman" w:hAnsi="Times New Roman" w:cs="Times New Roman"/>
          <w:sz w:val="24"/>
          <w:szCs w:val="24"/>
        </w:rPr>
        <w:t xml:space="preserve"> </w:t>
      </w:r>
      <w:r w:rsidR="00C75F84" w:rsidRPr="00C75F84">
        <w:rPr>
          <w:rFonts w:ascii="Times New Roman" w:hAnsi="Times New Roman" w:cs="Times New Roman"/>
          <w:sz w:val="24"/>
          <w:szCs w:val="24"/>
        </w:rPr>
        <w:t>Významnými zaměstnavateli, kteří tvoří pracovní místa přímo ve venkovském prostoru jsou i zemědělští podnikatelé. Další pracovní příležitosti je možné vytvořit  i diverzifikací jejich aktivit.</w:t>
      </w:r>
    </w:p>
    <w:p w:rsidR="00097BDC" w:rsidRPr="000B521F" w:rsidRDefault="00097BDC" w:rsidP="0059011D">
      <w:pPr>
        <w:spacing w:after="120" w:line="240" w:lineRule="auto"/>
        <w:jc w:val="both"/>
        <w:rPr>
          <w:rFonts w:ascii="Times New Roman" w:hAnsi="Times New Roman" w:cs="Times New Roman"/>
          <w:sz w:val="24"/>
          <w:szCs w:val="24"/>
        </w:rPr>
      </w:pPr>
    </w:p>
    <w:p w:rsidR="00485A38" w:rsidRPr="000B521F" w:rsidRDefault="00485A38" w:rsidP="0059011D">
      <w:pPr>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 xml:space="preserve">Zkušenosti </w:t>
      </w:r>
      <w:r w:rsidR="00535D8E" w:rsidRPr="000B521F">
        <w:rPr>
          <w:rFonts w:ascii="Times New Roman" w:hAnsi="Times New Roman" w:cs="Times New Roman"/>
          <w:b/>
          <w:sz w:val="24"/>
          <w:szCs w:val="24"/>
        </w:rPr>
        <w:t>z programového období 2007–2013 a stav dosažení současných cílů</w:t>
      </w:r>
    </w:p>
    <w:p w:rsidR="00485A38" w:rsidRPr="000B521F" w:rsidRDefault="00485A38"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V oblasti trhu práce cílily v programovém období 2007</w:t>
      </w:r>
      <w:r w:rsidR="00273FF4">
        <w:rPr>
          <w:rFonts w:ascii="Times New Roman" w:hAnsi="Times New Roman" w:cs="Times New Roman"/>
          <w:color w:val="000000"/>
          <w:sz w:val="24"/>
          <w:szCs w:val="24"/>
        </w:rPr>
        <w:t>–</w:t>
      </w:r>
      <w:r w:rsidRPr="000B521F">
        <w:rPr>
          <w:rFonts w:ascii="Times New Roman" w:hAnsi="Times New Roman" w:cs="Times New Roman"/>
          <w:sz w:val="24"/>
          <w:szCs w:val="24"/>
        </w:rPr>
        <w:t>2013 aktivity na:</w:t>
      </w:r>
    </w:p>
    <w:p w:rsidR="008206A4" w:rsidRPr="000B521F" w:rsidRDefault="00485A38" w:rsidP="0059011D">
      <w:pPr>
        <w:pStyle w:val="Odstavecseseznamem"/>
        <w:numPr>
          <w:ilvl w:val="0"/>
          <w:numId w:val="20"/>
        </w:numPr>
        <w:spacing w:after="120" w:line="240" w:lineRule="auto"/>
        <w:ind w:left="567"/>
        <w:jc w:val="both"/>
        <w:rPr>
          <w:rFonts w:ascii="Times New Roman" w:hAnsi="Times New Roman" w:cs="Times New Roman"/>
          <w:sz w:val="24"/>
          <w:szCs w:val="24"/>
        </w:rPr>
      </w:pPr>
      <w:r w:rsidRPr="000B521F">
        <w:rPr>
          <w:rFonts w:ascii="Times New Roman" w:hAnsi="Times New Roman" w:cs="Times New Roman"/>
          <w:sz w:val="24"/>
          <w:szCs w:val="24"/>
        </w:rPr>
        <w:t xml:space="preserve">zvýšení schopnosti pracujících a podniků přizpůsobovat se změnám, </w:t>
      </w:r>
    </w:p>
    <w:p w:rsidR="008206A4" w:rsidRPr="000B521F" w:rsidRDefault="00485A38" w:rsidP="0059011D">
      <w:pPr>
        <w:pStyle w:val="Odstavecseseznamem"/>
        <w:numPr>
          <w:ilvl w:val="0"/>
          <w:numId w:val="20"/>
        </w:numPr>
        <w:spacing w:after="120" w:line="240" w:lineRule="auto"/>
        <w:ind w:left="567"/>
        <w:jc w:val="both"/>
        <w:rPr>
          <w:rFonts w:ascii="Times New Roman" w:hAnsi="Times New Roman" w:cs="Times New Roman"/>
          <w:sz w:val="24"/>
          <w:szCs w:val="24"/>
        </w:rPr>
      </w:pPr>
      <w:r w:rsidRPr="000B521F">
        <w:rPr>
          <w:rFonts w:ascii="Times New Roman" w:hAnsi="Times New Roman" w:cs="Times New Roman"/>
          <w:sz w:val="24"/>
          <w:szCs w:val="24"/>
        </w:rPr>
        <w:t xml:space="preserve">zvýšení flexibility trhu práce </w:t>
      </w:r>
    </w:p>
    <w:p w:rsidR="008206A4" w:rsidRPr="000B521F" w:rsidRDefault="00485A38" w:rsidP="0059011D">
      <w:pPr>
        <w:pStyle w:val="Odstavecseseznamem"/>
        <w:numPr>
          <w:ilvl w:val="0"/>
          <w:numId w:val="20"/>
        </w:numPr>
        <w:spacing w:after="120" w:line="240" w:lineRule="auto"/>
        <w:ind w:left="567"/>
        <w:jc w:val="both"/>
        <w:rPr>
          <w:rFonts w:ascii="Times New Roman" w:hAnsi="Times New Roman" w:cs="Times New Roman"/>
          <w:sz w:val="24"/>
          <w:szCs w:val="24"/>
        </w:rPr>
      </w:pPr>
      <w:r w:rsidRPr="000B521F">
        <w:rPr>
          <w:rFonts w:ascii="Times New Roman" w:hAnsi="Times New Roman" w:cs="Times New Roman"/>
          <w:sz w:val="24"/>
          <w:szCs w:val="24"/>
        </w:rPr>
        <w:t xml:space="preserve">pomoc osobám ohroženým sociálním vyloučením, zvyšování kvality a dostupnosti sociálních služeb a zavedení opatření zvyšující zaměstnatelnost těchto osob </w:t>
      </w:r>
    </w:p>
    <w:p w:rsidR="008206A4" w:rsidRPr="000B521F" w:rsidRDefault="00485A38" w:rsidP="0059011D">
      <w:pPr>
        <w:pStyle w:val="Odstavecseseznamem"/>
        <w:numPr>
          <w:ilvl w:val="0"/>
          <w:numId w:val="20"/>
        </w:numPr>
        <w:spacing w:after="120" w:line="240" w:lineRule="auto"/>
        <w:ind w:left="567"/>
        <w:jc w:val="both"/>
        <w:rPr>
          <w:rFonts w:ascii="Times New Roman" w:hAnsi="Times New Roman" w:cs="Times New Roman"/>
          <w:sz w:val="24"/>
          <w:szCs w:val="24"/>
        </w:rPr>
      </w:pPr>
      <w:r w:rsidRPr="000B521F">
        <w:rPr>
          <w:rFonts w:ascii="Times New Roman" w:hAnsi="Times New Roman" w:cs="Times New Roman"/>
          <w:sz w:val="24"/>
          <w:szCs w:val="24"/>
        </w:rPr>
        <w:t>prosazování rovných příležitostí žen a mužů na trhu práce.</w:t>
      </w:r>
    </w:p>
    <w:p w:rsidR="00485A38" w:rsidRPr="000B521F" w:rsidRDefault="00485A38"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Hospodářská recese zvrátila trend v nivelizování rozdílů míry regionální zaměstnanosti v jednotlivých krajích ČR a rozdíly mezi nimi opětovně vzrostly. Aktuálnost potřeby podpory </w:t>
      </w:r>
      <w:r w:rsidRPr="000B521F">
        <w:rPr>
          <w:rFonts w:ascii="Times New Roman" w:hAnsi="Times New Roman" w:cs="Times New Roman"/>
          <w:sz w:val="24"/>
          <w:szCs w:val="24"/>
        </w:rPr>
        <w:lastRenderedPageBreak/>
        <w:t xml:space="preserve">v oblasti trhu práce a zaměstnanosti tak nadále trvá, resp. její význam ještě vzrostl. Stejně tak </w:t>
      </w:r>
      <w:r w:rsidRPr="000B521F">
        <w:rPr>
          <w:rFonts w:ascii="Times New Roman" w:hAnsi="Times New Roman" w:cs="Times New Roman"/>
          <w:b/>
          <w:sz w:val="24"/>
          <w:szCs w:val="24"/>
        </w:rPr>
        <w:t>vzrůstá důležitost územní dimenze</w:t>
      </w:r>
      <w:r w:rsidR="00535D8E">
        <w:rPr>
          <w:rFonts w:ascii="Times New Roman" w:hAnsi="Times New Roman" w:cs="Times New Roman"/>
          <w:sz w:val="24"/>
          <w:szCs w:val="24"/>
        </w:rPr>
        <w:t xml:space="preserve"> –</w:t>
      </w:r>
      <w:r w:rsidRPr="000B521F">
        <w:rPr>
          <w:rFonts w:ascii="Times New Roman" w:hAnsi="Times New Roman" w:cs="Times New Roman"/>
          <w:sz w:val="24"/>
          <w:szCs w:val="24"/>
        </w:rPr>
        <w:t xml:space="preserve"> rozdílný dopad recese na regiony ČR a významné strukturální územní rozdíly způsobují koncentraci problémů trhu práce především do některých regionů. </w:t>
      </w:r>
    </w:p>
    <w:p w:rsidR="00485A38" w:rsidRPr="000B521F" w:rsidRDefault="00485A38"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I přes negativní vývoj české ekonomiky se podařilo </w:t>
      </w:r>
      <w:r w:rsidRPr="000B521F">
        <w:rPr>
          <w:rFonts w:ascii="Times New Roman" w:hAnsi="Times New Roman" w:cs="Times New Roman"/>
          <w:b/>
          <w:sz w:val="24"/>
          <w:szCs w:val="24"/>
        </w:rPr>
        <w:t>zvyšovat celkovou míru zaměstnanosti</w:t>
      </w:r>
      <w:r w:rsidRPr="000B521F">
        <w:rPr>
          <w:rFonts w:ascii="Times New Roman" w:hAnsi="Times New Roman" w:cs="Times New Roman"/>
          <w:sz w:val="24"/>
          <w:szCs w:val="24"/>
        </w:rPr>
        <w:t xml:space="preserve"> v ekonomice stejně jako míru zaměstnanosti žen a starších osob. ČR se tak přiblížila splnění některých národních cílů v oblasti zaměstnanosti v návaznosti na strategii Evropa 2020.</w:t>
      </w:r>
    </w:p>
    <w:p w:rsidR="00485A38" w:rsidRPr="000B521F" w:rsidRDefault="00485A38"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Zkušenosti ze současného programového období ukázaly </w:t>
      </w:r>
      <w:r w:rsidRPr="000B521F">
        <w:rPr>
          <w:rFonts w:ascii="Times New Roman" w:hAnsi="Times New Roman" w:cs="Times New Roman"/>
          <w:b/>
          <w:sz w:val="24"/>
          <w:szCs w:val="24"/>
        </w:rPr>
        <w:t>důležitost spolupráce všech aktérů na trhu práce</w:t>
      </w:r>
      <w:r w:rsidRPr="000B521F">
        <w:rPr>
          <w:rFonts w:ascii="Times New Roman" w:hAnsi="Times New Roman" w:cs="Times New Roman"/>
          <w:sz w:val="24"/>
          <w:szCs w:val="24"/>
        </w:rPr>
        <w:t xml:space="preserve"> v řešení problémů zaměstnanosti a nutnost </w:t>
      </w:r>
      <w:r w:rsidRPr="000B521F">
        <w:rPr>
          <w:rFonts w:ascii="Times New Roman" w:hAnsi="Times New Roman" w:cs="Times New Roman"/>
          <w:b/>
          <w:sz w:val="24"/>
          <w:szCs w:val="24"/>
        </w:rPr>
        <w:t>provázat lépe opatření APZ s dalšími nástroj</w:t>
      </w:r>
      <w:r w:rsidRPr="000B521F">
        <w:rPr>
          <w:rFonts w:ascii="Times New Roman" w:hAnsi="Times New Roman" w:cs="Times New Roman"/>
          <w:sz w:val="24"/>
          <w:szCs w:val="24"/>
        </w:rPr>
        <w:t xml:space="preserve">i, zejména v oblasti sociálního začleňování. Dalším významným zjištěním je potřeba </w:t>
      </w:r>
      <w:r w:rsidRPr="000B521F">
        <w:rPr>
          <w:rFonts w:ascii="Times New Roman" w:hAnsi="Times New Roman" w:cs="Times New Roman"/>
          <w:b/>
          <w:sz w:val="24"/>
          <w:szCs w:val="24"/>
        </w:rPr>
        <w:t>posílit analytické a monitorovací nástroje</w:t>
      </w:r>
      <w:r w:rsidRPr="000B521F">
        <w:rPr>
          <w:rFonts w:ascii="Times New Roman" w:hAnsi="Times New Roman" w:cs="Times New Roman"/>
          <w:sz w:val="24"/>
          <w:szCs w:val="24"/>
        </w:rPr>
        <w:t xml:space="preserve">, které umožní lépe zacílit intervence a zvýšit efektivitu jejich realizace. </w:t>
      </w:r>
    </w:p>
    <w:p w:rsidR="00485A38" w:rsidRPr="000B521F" w:rsidRDefault="00485A38"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Vzhledem k dopadům hospodářské recese  období 2014–2020 se intervence v oblasti trhu práce zaměří především na </w:t>
      </w:r>
      <w:r w:rsidRPr="000B521F">
        <w:rPr>
          <w:rFonts w:ascii="Times New Roman" w:hAnsi="Times New Roman" w:cs="Times New Roman"/>
          <w:b/>
          <w:sz w:val="24"/>
          <w:szCs w:val="24"/>
        </w:rPr>
        <w:t>zkvalitnění a modernizaci služeb zaměstnanosti</w:t>
      </w:r>
      <w:r w:rsidRPr="000B521F">
        <w:rPr>
          <w:rFonts w:ascii="Times New Roman" w:hAnsi="Times New Roman" w:cs="Times New Roman"/>
          <w:sz w:val="24"/>
          <w:szCs w:val="24"/>
        </w:rPr>
        <w:t xml:space="preserve"> a jejich </w:t>
      </w:r>
      <w:r w:rsidRPr="000B521F">
        <w:rPr>
          <w:rFonts w:ascii="Times New Roman" w:hAnsi="Times New Roman" w:cs="Times New Roman"/>
          <w:b/>
          <w:sz w:val="24"/>
          <w:szCs w:val="24"/>
        </w:rPr>
        <w:t>provázání s dalšími službami</w:t>
      </w:r>
      <w:r w:rsidRPr="000B521F">
        <w:rPr>
          <w:rFonts w:ascii="Times New Roman" w:hAnsi="Times New Roman" w:cs="Times New Roman"/>
          <w:sz w:val="24"/>
          <w:szCs w:val="24"/>
        </w:rPr>
        <w:t xml:space="preserve"> zejména v oblasti sociálního začleňování. Je třeba dosáhnout zvýšení počtu a podílu uchazečů o zaměstnání podpořených v rámci nástrojů aktivní politiky zaměstnanosti, zvýšení míry zaměstnanosti podpořených osob s důrazem na skupiny osob ohrožených na trhu práce, </w:t>
      </w:r>
      <w:r w:rsidRPr="000B521F">
        <w:rPr>
          <w:rFonts w:ascii="Times New Roman" w:hAnsi="Times New Roman" w:cs="Times New Roman"/>
          <w:b/>
          <w:sz w:val="24"/>
          <w:szCs w:val="24"/>
        </w:rPr>
        <w:t>zvýšení souladu kvalifikací a dovedností</w:t>
      </w:r>
      <w:r w:rsidRPr="000B521F">
        <w:rPr>
          <w:rFonts w:ascii="Times New Roman" w:hAnsi="Times New Roman" w:cs="Times New Roman"/>
          <w:sz w:val="24"/>
          <w:szCs w:val="24"/>
        </w:rPr>
        <w:t xml:space="preserve"> pracovníků s požadavky zaměstnavatelů, zvýšení využívání flexibilních forem práce a </w:t>
      </w:r>
      <w:r w:rsidRPr="000B521F">
        <w:rPr>
          <w:rFonts w:ascii="Times New Roman" w:hAnsi="Times New Roman" w:cs="Times New Roman"/>
          <w:color w:val="000000"/>
          <w:sz w:val="24"/>
          <w:szCs w:val="24"/>
        </w:rPr>
        <w:t xml:space="preserve">podpory </w:t>
      </w:r>
      <w:r w:rsidRPr="000B521F">
        <w:rPr>
          <w:rFonts w:ascii="Times New Roman" w:hAnsi="Times New Roman" w:cs="Times New Roman"/>
          <w:b/>
          <w:color w:val="000000"/>
          <w:sz w:val="24"/>
          <w:szCs w:val="24"/>
        </w:rPr>
        <w:t>slaďování pracovního a soukromého života</w:t>
      </w:r>
      <w:r w:rsidRPr="000B521F">
        <w:rPr>
          <w:rFonts w:ascii="Times New Roman" w:hAnsi="Times New Roman" w:cs="Times New Roman"/>
          <w:b/>
          <w:sz w:val="24"/>
          <w:szCs w:val="24"/>
        </w:rPr>
        <w:t xml:space="preserve">. </w:t>
      </w:r>
      <w:r w:rsidRPr="000B521F">
        <w:rPr>
          <w:rFonts w:ascii="Times New Roman" w:hAnsi="Times New Roman" w:cs="Times New Roman"/>
          <w:sz w:val="24"/>
          <w:szCs w:val="24"/>
        </w:rPr>
        <w:t xml:space="preserve">Zkušenosti ze současného období rovněž ukázaly, že je nutné podpořit zvýšení </w:t>
      </w:r>
      <w:r w:rsidRPr="000B521F">
        <w:rPr>
          <w:rFonts w:ascii="Times New Roman" w:hAnsi="Times New Roman" w:cs="Times New Roman"/>
          <w:b/>
          <w:sz w:val="24"/>
          <w:szCs w:val="24"/>
        </w:rPr>
        <w:t>účasti dospělých v dalším vzdělávání</w:t>
      </w:r>
      <w:r w:rsidRPr="000B521F">
        <w:rPr>
          <w:rFonts w:ascii="Times New Roman" w:hAnsi="Times New Roman" w:cs="Times New Roman"/>
          <w:sz w:val="24"/>
          <w:szCs w:val="24"/>
        </w:rPr>
        <w:t xml:space="preserve"> (DV) a to jak se zaměřením na rozvoj odborných i klíčových kompetencí. Je však přitom nutné klást </w:t>
      </w:r>
      <w:r w:rsidRPr="000B521F">
        <w:rPr>
          <w:rFonts w:ascii="Times New Roman" w:hAnsi="Times New Roman" w:cs="Times New Roman"/>
          <w:b/>
          <w:sz w:val="24"/>
          <w:szCs w:val="24"/>
        </w:rPr>
        <w:t>větší důraz na kvalitu</w:t>
      </w:r>
      <w:r w:rsidRPr="000B521F">
        <w:rPr>
          <w:rFonts w:ascii="Times New Roman" w:hAnsi="Times New Roman" w:cs="Times New Roman"/>
          <w:sz w:val="24"/>
          <w:szCs w:val="24"/>
        </w:rPr>
        <w:t xml:space="preserve"> DV a související služby v oblasti </w:t>
      </w:r>
      <w:r w:rsidRPr="000B521F">
        <w:rPr>
          <w:rFonts w:ascii="Times New Roman" w:hAnsi="Times New Roman" w:cs="Times New Roman"/>
          <w:b/>
          <w:sz w:val="24"/>
          <w:szCs w:val="24"/>
        </w:rPr>
        <w:t>kariérového poradenství</w:t>
      </w:r>
      <w:r w:rsidRPr="000B521F">
        <w:rPr>
          <w:rFonts w:ascii="Times New Roman" w:hAnsi="Times New Roman" w:cs="Times New Roman"/>
          <w:sz w:val="24"/>
          <w:szCs w:val="24"/>
        </w:rPr>
        <w:t>, bez čehož nejsou přínosy DV pro cílové skupiny dostatečné.</w:t>
      </w:r>
    </w:p>
    <w:p w:rsidR="00764BAE" w:rsidRPr="000B521F" w:rsidRDefault="00764BAE" w:rsidP="0059011D">
      <w:pPr>
        <w:spacing w:after="120" w:line="240" w:lineRule="auto"/>
        <w:jc w:val="both"/>
        <w:rPr>
          <w:rFonts w:ascii="Times New Roman" w:hAnsi="Times New Roman" w:cs="Times New Roman"/>
          <w:b/>
          <w:sz w:val="24"/>
          <w:szCs w:val="24"/>
        </w:rPr>
      </w:pPr>
    </w:p>
    <w:p w:rsidR="00485A38" w:rsidRPr="000B521F" w:rsidRDefault="00485A38" w:rsidP="0059011D">
      <w:pPr>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Hlavní identifikované problémy a potřeby rozvoje</w:t>
      </w:r>
    </w:p>
    <w:p w:rsidR="00485A38" w:rsidRPr="000B521F" w:rsidRDefault="00485A38"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Cílem České republiky ve vazbě na Evropu 2020 je zvýšit míru zaměstnanosti v ekonomice na 75 %. Problém nedostatečné míry zaměstnanosti má několik příčin, na které chce ČR s využitím strukturálních fondů v období 2014</w:t>
      </w:r>
      <w:r w:rsidR="0019742F">
        <w:rPr>
          <w:rFonts w:ascii="Times New Roman" w:hAnsi="Times New Roman" w:cs="Times New Roman"/>
          <w:color w:val="000000"/>
          <w:sz w:val="24"/>
          <w:szCs w:val="24"/>
        </w:rPr>
        <w:t>–</w:t>
      </w:r>
      <w:r w:rsidRPr="000B521F">
        <w:rPr>
          <w:rFonts w:ascii="Times New Roman" w:hAnsi="Times New Roman" w:cs="Times New Roman"/>
          <w:sz w:val="24"/>
          <w:szCs w:val="24"/>
        </w:rPr>
        <w:t xml:space="preserve">2020 reagovat. Ty jsou popsány níže. Pro zlepšení situace na trhu práce je však důležitá zejména tvorba nových pracovních míst, která je podmíněna především obnovením ekonomického růstu a zvyšováním konkurenceschopnosti českých podnikatelských subjektů na mezinárodním trhu. Na to se zaměřuje kapitola Konkurenceschopné podniky.  </w:t>
      </w:r>
    </w:p>
    <w:p w:rsidR="00485A38" w:rsidRPr="000B521F" w:rsidRDefault="00485A38" w:rsidP="0059011D">
      <w:pPr>
        <w:spacing w:after="120" w:line="240" w:lineRule="auto"/>
        <w:jc w:val="both"/>
        <w:rPr>
          <w:rFonts w:ascii="Times New Roman" w:hAnsi="Times New Roman" w:cs="Times New Roman"/>
          <w:sz w:val="24"/>
          <w:szCs w:val="24"/>
        </w:rPr>
      </w:pPr>
    </w:p>
    <w:p w:rsidR="00485A38" w:rsidRPr="000B521F" w:rsidRDefault="00485A38" w:rsidP="0059011D">
      <w:pPr>
        <w:spacing w:after="120" w:line="240" w:lineRule="auto"/>
        <w:jc w:val="both"/>
        <w:rPr>
          <w:rFonts w:ascii="Times New Roman" w:hAnsi="Times New Roman" w:cs="Times New Roman"/>
          <w:b/>
          <w:i/>
          <w:sz w:val="24"/>
          <w:szCs w:val="24"/>
        </w:rPr>
      </w:pPr>
      <w:r w:rsidRPr="000B521F">
        <w:rPr>
          <w:rFonts w:ascii="Times New Roman" w:hAnsi="Times New Roman" w:cs="Times New Roman"/>
          <w:b/>
          <w:i/>
          <w:sz w:val="24"/>
          <w:szCs w:val="24"/>
        </w:rPr>
        <w:t xml:space="preserve">1. Nedostatečná kvalita a kapacita služeb podporujících zaměstnanost </w:t>
      </w:r>
    </w:p>
    <w:p w:rsidR="00485A38" w:rsidRPr="000B521F" w:rsidRDefault="00485A38"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Výdaje na aktivní politiku zaměstnanosti (APZ), realizovanou Úřadem práce ČR jsou jedny z nejnižších v EU-27 (dosáhly podílu pouze 0,07 % k HDP v roce 2012). V roce 2012 bylo nástroji APZ podpořeno pouze 7,6 % z celkového počtu uchazečů o zaměstnání, kteří prošli evidencí na ÚP ČR v roce 2012, což představuje oproti roku 2011 pokles o plných 40 %.</w:t>
      </w:r>
      <w:r w:rsidRPr="000B521F">
        <w:rPr>
          <w:rStyle w:val="Znakapoznpodarou"/>
          <w:rFonts w:ascii="Times New Roman" w:hAnsi="Times New Roman" w:cs="Times New Roman"/>
          <w:sz w:val="24"/>
          <w:szCs w:val="24"/>
        </w:rPr>
        <w:footnoteReference w:id="14"/>
      </w:r>
      <w:r w:rsidRPr="000B521F">
        <w:rPr>
          <w:rFonts w:ascii="Times New Roman" w:hAnsi="Times New Roman" w:cs="Times New Roman"/>
          <w:sz w:val="24"/>
          <w:szCs w:val="24"/>
        </w:rPr>
        <w:t xml:space="preserve"> </w:t>
      </w:r>
    </w:p>
    <w:p w:rsidR="00485A38" w:rsidRPr="000B521F" w:rsidRDefault="00485A38"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Nástroje APZ navíc již neodpovídají potřebám uchazečů (zejména v oblasti propojování jednotlivých nástrojů tak, aby jejich aplikace vedla k postupnému vstupu na trh práce) a nejsou vždy cíleny na ty, kteří ji nejvíce potřebují, což je dáno také absencí nástrojů pro profilace uchazečů. To se týká především právě specifických skupin obtížně zaměstnatelných osob, kterým se rovněž nedostává vhodná vzdělávací a poradenská podpora. </w:t>
      </w:r>
    </w:p>
    <w:p w:rsidR="00485A38" w:rsidRPr="000B521F" w:rsidRDefault="00485A38"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lastRenderedPageBreak/>
        <w:t>Rozsah a kvalita informací jak o vývoji trhu práce, tak o dopadech APZ je nedostatečná, vyhodnocování efektivity jednotlivých nástrojů není systematicky prováděno. Ostatní aktéři na trhu práce navíc nejsou dostatečně zapojeni do stanovení cílů politiky zaměstnanosti, ani do samotné její realizace, což účinnost APZ dále snižuje.</w:t>
      </w:r>
    </w:p>
    <w:p w:rsidR="00485A38" w:rsidRPr="000B521F" w:rsidRDefault="00485A38"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i/>
          <w:sz w:val="24"/>
          <w:szCs w:val="24"/>
        </w:rPr>
        <w:t>Potřeby rozvoje</w:t>
      </w:r>
      <w:r w:rsidRPr="000B521F">
        <w:rPr>
          <w:rFonts w:ascii="Times New Roman" w:hAnsi="Times New Roman" w:cs="Times New Roman"/>
          <w:sz w:val="24"/>
          <w:szCs w:val="24"/>
        </w:rPr>
        <w:t>:</w:t>
      </w:r>
    </w:p>
    <w:p w:rsidR="008206A4" w:rsidRPr="000B521F" w:rsidRDefault="00485A38" w:rsidP="0059011D">
      <w:pPr>
        <w:pStyle w:val="Odstavecseseznamem"/>
        <w:numPr>
          <w:ilvl w:val="0"/>
          <w:numId w:val="21"/>
        </w:numPr>
        <w:autoSpaceDE w:val="0"/>
        <w:autoSpaceDN w:val="0"/>
        <w:adjustRightInd w:val="0"/>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Zavést do praxe inovované nástroje aktivní politiky zaměstnanosti (APZ) s důrazem na individuální přístup a služby, zaměřené zejména na spolupráci se sociálními partnery při tvorbě nových pracovních míst, na prevenci před nezaměstnaností včetně relací ke školskému systému, na aktivaci osob na okraji trhu práce či mimo něj v souladu s jejich individuálními potřebami</w:t>
      </w:r>
    </w:p>
    <w:p w:rsidR="008206A4" w:rsidRPr="000B521F" w:rsidRDefault="00485A38" w:rsidP="0059011D">
      <w:pPr>
        <w:pStyle w:val="Odstavecseseznamem"/>
        <w:numPr>
          <w:ilvl w:val="0"/>
          <w:numId w:val="21"/>
        </w:numPr>
        <w:autoSpaceDE w:val="0"/>
        <w:autoSpaceDN w:val="0"/>
        <w:adjustRightInd w:val="0"/>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Rozvíjet pravidelné monitorování zacílení a hodnocení dopadů nástrojů APZ</w:t>
      </w:r>
    </w:p>
    <w:p w:rsidR="008206A4" w:rsidRPr="000B521F" w:rsidRDefault="00485A38" w:rsidP="0059011D">
      <w:pPr>
        <w:pStyle w:val="Odstavecseseznamem"/>
        <w:numPr>
          <w:ilvl w:val="0"/>
          <w:numId w:val="21"/>
        </w:numPr>
        <w:autoSpaceDE w:val="0"/>
        <w:autoSpaceDN w:val="0"/>
        <w:adjustRightInd w:val="0"/>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Podporovat rozvoj a kapacity institucí trhu práce (personální, analytické, metodické a řídící) s ohledem na potřeby trhu práce</w:t>
      </w:r>
    </w:p>
    <w:p w:rsidR="008206A4" w:rsidRPr="000B521F" w:rsidRDefault="00485A38" w:rsidP="0059011D">
      <w:pPr>
        <w:pStyle w:val="Odstavecseseznamem"/>
        <w:numPr>
          <w:ilvl w:val="0"/>
          <w:numId w:val="21"/>
        </w:numPr>
        <w:autoSpaceDE w:val="0"/>
        <w:autoSpaceDN w:val="0"/>
        <w:adjustRightInd w:val="0"/>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Podporovat cílenými nástroji zaměstnanost uchazečů a zájemců o zaměstnání a neaktivních osob a jejich návrat na trh práce, se zvláštním zaměřením na osoby starší 55 let, mladé lidi bez praxe, osoby s nízkou kvalifikací, příslušníky menšin, osoby dlouhodobě nezaměstnané, osob zdravotně znevýhodněné a osoby s pečovatelskými závazky v rodině.</w:t>
      </w:r>
    </w:p>
    <w:p w:rsidR="008206A4" w:rsidRPr="000B521F" w:rsidRDefault="00A3084A" w:rsidP="0059011D">
      <w:pPr>
        <w:pStyle w:val="Odstavecseseznamem"/>
        <w:numPr>
          <w:ilvl w:val="0"/>
          <w:numId w:val="21"/>
        </w:numPr>
        <w:autoSpaceDE w:val="0"/>
        <w:autoSpaceDN w:val="0"/>
        <w:adjustRightInd w:val="0"/>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Zavést do praxe opatření pro zvýšení zaměstnanosti mladých v souladu s programem Záruky pro mladé a zaměřit podporu prostřednictvím těchto opatření  zejména na mladé lidi v regionu Severozápad</w:t>
      </w:r>
    </w:p>
    <w:p w:rsidR="0015622A" w:rsidRPr="000B521F" w:rsidRDefault="0015622A" w:rsidP="0059011D">
      <w:pPr>
        <w:pStyle w:val="Odstavecseseznamem"/>
        <w:autoSpaceDE w:val="0"/>
        <w:autoSpaceDN w:val="0"/>
        <w:adjustRightInd w:val="0"/>
        <w:spacing w:after="120" w:line="240" w:lineRule="auto"/>
        <w:ind w:left="0"/>
        <w:jc w:val="both"/>
        <w:rPr>
          <w:rFonts w:ascii="Times New Roman" w:hAnsi="Times New Roman" w:cs="Times New Roman"/>
          <w:sz w:val="24"/>
          <w:szCs w:val="24"/>
        </w:rPr>
      </w:pPr>
    </w:p>
    <w:p w:rsidR="00485A38" w:rsidRPr="000B521F" w:rsidRDefault="00485A38" w:rsidP="0059011D">
      <w:pPr>
        <w:spacing w:after="120" w:line="240" w:lineRule="auto"/>
        <w:jc w:val="both"/>
        <w:rPr>
          <w:rFonts w:ascii="Times New Roman" w:hAnsi="Times New Roman" w:cs="Times New Roman"/>
          <w:b/>
          <w:i/>
          <w:sz w:val="24"/>
          <w:szCs w:val="24"/>
        </w:rPr>
      </w:pPr>
      <w:r w:rsidRPr="000B521F">
        <w:rPr>
          <w:rFonts w:ascii="Times New Roman" w:hAnsi="Times New Roman" w:cs="Times New Roman"/>
          <w:b/>
          <w:i/>
          <w:sz w:val="24"/>
          <w:szCs w:val="24"/>
        </w:rPr>
        <w:t>2. Nesoulad kvalifikace pracovní síly s požadavky trhu práce</w:t>
      </w:r>
    </w:p>
    <w:p w:rsidR="00485A38" w:rsidRPr="000B521F" w:rsidRDefault="00485A38"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I přes recesi jsou v české ekonomice odvětví, která zvyšují svou zaměstnanost. Potenciál jejich růstu je však oslabován </w:t>
      </w:r>
      <w:r w:rsidRPr="000B521F">
        <w:rPr>
          <w:rFonts w:ascii="Times New Roman" w:hAnsi="Times New Roman" w:cs="Times New Roman"/>
          <w:b/>
          <w:sz w:val="24"/>
          <w:szCs w:val="24"/>
        </w:rPr>
        <w:t>nedostatečnou dostupností kvalifikovaných pracovníků</w:t>
      </w:r>
      <w:r w:rsidRPr="000B521F">
        <w:rPr>
          <w:rFonts w:ascii="Times New Roman" w:hAnsi="Times New Roman" w:cs="Times New Roman"/>
          <w:sz w:val="24"/>
          <w:szCs w:val="24"/>
        </w:rPr>
        <w:t>. I v odvětvích s klesající zaměstnaností, jako je například zpracovatelský průmysl, stavebnictví nebo zemědělství, je řada profesí dlouhodobě nedostatkových.</w:t>
      </w:r>
    </w:p>
    <w:p w:rsidR="00485A38" w:rsidRPr="000B521F" w:rsidRDefault="00485A38"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Nesoulad mezi nabídkou a poptávkou na trhu práce je způsoben i </w:t>
      </w:r>
      <w:r w:rsidRPr="000B521F">
        <w:rPr>
          <w:rFonts w:ascii="Times New Roman" w:hAnsi="Times New Roman" w:cs="Times New Roman"/>
          <w:b/>
          <w:sz w:val="24"/>
          <w:szCs w:val="24"/>
        </w:rPr>
        <w:t xml:space="preserve">nižší relevancí počátečního vzdělávání </w:t>
      </w:r>
      <w:r w:rsidRPr="000B521F">
        <w:rPr>
          <w:rFonts w:ascii="Times New Roman" w:hAnsi="Times New Roman" w:cs="Times New Roman"/>
          <w:sz w:val="24"/>
          <w:szCs w:val="24"/>
        </w:rPr>
        <w:t xml:space="preserve">k požadavkům zaměstnavatelů (viz také část Vzdělávání). Na úrovni trhu práce je tento problém možné řešit podporou DV dospělé populace. Účinnost tohoto nástroje je však stále nedostatečná. Na jednu stranu jednotlivci často vnímají </w:t>
      </w:r>
      <w:r w:rsidRPr="000B521F">
        <w:rPr>
          <w:rFonts w:ascii="Times New Roman" w:hAnsi="Times New Roman" w:cs="Times New Roman"/>
          <w:b/>
          <w:sz w:val="24"/>
          <w:szCs w:val="24"/>
        </w:rPr>
        <w:t>přínosy DV pro uplatnitelnost jako nízké</w:t>
      </w:r>
      <w:r w:rsidRPr="000B521F">
        <w:rPr>
          <w:rFonts w:ascii="Times New Roman" w:hAnsi="Times New Roman" w:cs="Times New Roman"/>
          <w:sz w:val="24"/>
          <w:szCs w:val="24"/>
        </w:rPr>
        <w:t xml:space="preserve">, což poptávku po tomto vzdělávání oslabuje. Zejména </w:t>
      </w:r>
      <w:r w:rsidRPr="000B521F">
        <w:rPr>
          <w:rFonts w:ascii="Times New Roman" w:hAnsi="Times New Roman" w:cs="Times New Roman"/>
          <w:b/>
          <w:sz w:val="24"/>
          <w:szCs w:val="24"/>
        </w:rPr>
        <w:t>účast osob nejvíce ohrožených nízkou uplatnitelností</w:t>
      </w:r>
      <w:r w:rsidRPr="000B521F">
        <w:rPr>
          <w:rFonts w:ascii="Times New Roman" w:hAnsi="Times New Roman" w:cs="Times New Roman"/>
          <w:sz w:val="24"/>
          <w:szCs w:val="24"/>
        </w:rPr>
        <w:t xml:space="preserve"> (lidí s nižší kvalifikací a ve vyšším věku) na DV je v mezinárodním srovnání </w:t>
      </w:r>
      <w:r w:rsidRPr="000B521F">
        <w:rPr>
          <w:rFonts w:ascii="Times New Roman" w:hAnsi="Times New Roman" w:cs="Times New Roman"/>
          <w:b/>
          <w:sz w:val="24"/>
          <w:szCs w:val="24"/>
        </w:rPr>
        <w:t>podprůměrná</w:t>
      </w:r>
      <w:r w:rsidRPr="000B521F">
        <w:rPr>
          <w:rStyle w:val="Znakapoznpodarou"/>
          <w:rFonts w:ascii="Times New Roman" w:hAnsi="Times New Roman" w:cs="Times New Roman"/>
          <w:b/>
          <w:sz w:val="24"/>
          <w:szCs w:val="24"/>
        </w:rPr>
        <w:footnoteReference w:id="15"/>
      </w:r>
      <w:r w:rsidRPr="000B521F">
        <w:rPr>
          <w:rFonts w:ascii="Times New Roman" w:hAnsi="Times New Roman" w:cs="Times New Roman"/>
          <w:sz w:val="24"/>
          <w:szCs w:val="24"/>
        </w:rPr>
        <w:t>, což vyhlídky této skupiny na trhu práce dále zhoršuje.</w:t>
      </w:r>
    </w:p>
    <w:p w:rsidR="00485A38" w:rsidRPr="000B521F" w:rsidRDefault="00485A38"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Cílovým skupinám rovněž </w:t>
      </w:r>
      <w:r w:rsidRPr="000B521F">
        <w:rPr>
          <w:rFonts w:ascii="Times New Roman" w:hAnsi="Times New Roman" w:cs="Times New Roman"/>
          <w:b/>
          <w:sz w:val="24"/>
          <w:szCs w:val="24"/>
        </w:rPr>
        <w:t>chybí orientace v nabídce dalšího vzdělávání a schopnost identifikovat nejvhodnější vzdělávací směr</w:t>
      </w:r>
      <w:r w:rsidRPr="000B521F">
        <w:rPr>
          <w:rFonts w:ascii="Times New Roman" w:hAnsi="Times New Roman" w:cs="Times New Roman"/>
          <w:sz w:val="24"/>
          <w:szCs w:val="24"/>
        </w:rPr>
        <w:t xml:space="preserve"> pro zvýšení uplatnitelnosti. Souvisí to rovněž s neexistencí nástrojů pro analýzu a předvídání vývoje a potřeb trhu práce.</w:t>
      </w:r>
    </w:p>
    <w:p w:rsidR="00485A38" w:rsidRPr="000B521F" w:rsidRDefault="00485A38"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Významnou roli ve vzdělávání dospělých hrají zaměstnavatelé. Důraz na poskytování dalšího vzdělávání zaměstnancům je však patrný spíše v kategorii velkých a středních podniků, zatímco u malých podniků je vzdělávání zaměstnancům poskytováno méně často</w:t>
      </w:r>
      <w:r w:rsidRPr="000B521F">
        <w:rPr>
          <w:rStyle w:val="Znakapoznpodarou"/>
          <w:rFonts w:ascii="Times New Roman" w:hAnsi="Times New Roman" w:cs="Times New Roman"/>
          <w:sz w:val="24"/>
          <w:szCs w:val="24"/>
        </w:rPr>
        <w:footnoteReference w:id="16"/>
      </w:r>
      <w:r w:rsidRPr="000B521F">
        <w:rPr>
          <w:rFonts w:ascii="Times New Roman" w:hAnsi="Times New Roman" w:cs="Times New Roman"/>
          <w:sz w:val="24"/>
          <w:szCs w:val="24"/>
        </w:rPr>
        <w:t xml:space="preserve">. K hlavním </w:t>
      </w:r>
      <w:r w:rsidRPr="000B521F">
        <w:rPr>
          <w:rFonts w:ascii="Times New Roman" w:hAnsi="Times New Roman" w:cs="Times New Roman"/>
          <w:b/>
          <w:sz w:val="24"/>
          <w:szCs w:val="24"/>
        </w:rPr>
        <w:t>bariérám rozvoje vzdělávání zejména u menších zaměstnavatelů</w:t>
      </w:r>
      <w:r w:rsidRPr="000B521F">
        <w:rPr>
          <w:rFonts w:ascii="Times New Roman" w:hAnsi="Times New Roman" w:cs="Times New Roman"/>
          <w:sz w:val="24"/>
          <w:szCs w:val="24"/>
        </w:rPr>
        <w:t xml:space="preserve"> patří </w:t>
      </w:r>
      <w:r w:rsidRPr="000B521F">
        <w:rPr>
          <w:rFonts w:ascii="Times New Roman" w:hAnsi="Times New Roman" w:cs="Times New Roman"/>
          <w:sz w:val="24"/>
          <w:szCs w:val="24"/>
        </w:rPr>
        <w:lastRenderedPageBreak/>
        <w:t>nedostatečná úroveň řízení a rozvoje lidských zdrojů, finanční náročnost a nutnost uvolnit zaměstnance pro účast na vzdělávání.</w:t>
      </w:r>
    </w:p>
    <w:p w:rsidR="00485A38" w:rsidRPr="000B521F" w:rsidRDefault="00485A38"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i/>
          <w:sz w:val="24"/>
          <w:szCs w:val="24"/>
        </w:rPr>
        <w:t>Potřeby rozvoje</w:t>
      </w:r>
      <w:r w:rsidRPr="000B521F">
        <w:rPr>
          <w:rFonts w:ascii="Times New Roman" w:hAnsi="Times New Roman" w:cs="Times New Roman"/>
          <w:sz w:val="24"/>
          <w:szCs w:val="24"/>
        </w:rPr>
        <w:t>:</w:t>
      </w:r>
    </w:p>
    <w:p w:rsidR="008206A4" w:rsidRPr="000B521F" w:rsidRDefault="00485A38" w:rsidP="0059011D">
      <w:pPr>
        <w:pStyle w:val="Odstavecseseznamem"/>
        <w:numPr>
          <w:ilvl w:val="0"/>
          <w:numId w:val="22"/>
        </w:numPr>
        <w:autoSpaceDE w:val="0"/>
        <w:autoSpaceDN w:val="0"/>
        <w:adjustRightInd w:val="0"/>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Podporovat DV v oblasti odborných, klíčových i podnikatelských kompetencí pro zvýšení uplatnitelnosti dospělých a zavést prvky hodnocení kvality DV které pomohou zvýšit přínos DV pro cílové skupiny </w:t>
      </w:r>
    </w:p>
    <w:p w:rsidR="008206A4" w:rsidRPr="000B521F" w:rsidRDefault="00485A38" w:rsidP="0059011D">
      <w:pPr>
        <w:pStyle w:val="Odstavecseseznamem"/>
        <w:numPr>
          <w:ilvl w:val="0"/>
          <w:numId w:val="22"/>
        </w:numPr>
        <w:autoSpaceDE w:val="0"/>
        <w:autoSpaceDN w:val="0"/>
        <w:adjustRightInd w:val="0"/>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Zvýšit účast na DV u skupin dospělé populace nejvíce ohrožené nezaměstnaností a ztrátou uplatnění</w:t>
      </w:r>
    </w:p>
    <w:p w:rsidR="008206A4" w:rsidRPr="000B521F" w:rsidRDefault="00485A38" w:rsidP="0059011D">
      <w:pPr>
        <w:pStyle w:val="Odstavecseseznamem"/>
        <w:numPr>
          <w:ilvl w:val="0"/>
          <w:numId w:val="22"/>
        </w:numPr>
        <w:autoSpaceDE w:val="0"/>
        <w:autoSpaceDN w:val="0"/>
        <w:adjustRightInd w:val="0"/>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Rozvíjet nástroje pro uznávání výsledků předchozího učení, včetně certifikace získaných kompetencí ve spolupráci služeb zaměstnanosti, veřejných, soukromých a neziskových vzdělávacích subjektů.</w:t>
      </w:r>
    </w:p>
    <w:p w:rsidR="008206A4" w:rsidRPr="000B521F" w:rsidRDefault="00485A38" w:rsidP="0059011D">
      <w:pPr>
        <w:pStyle w:val="Odstavecseseznamem"/>
        <w:numPr>
          <w:ilvl w:val="0"/>
          <w:numId w:val="22"/>
        </w:numPr>
        <w:autoSpaceDE w:val="0"/>
        <w:autoSpaceDN w:val="0"/>
        <w:adjustRightInd w:val="0"/>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Zkvalitnění kariérového poradenství včetně rozvoje programů usnadňující vyhledávání zaměstnání a volbu povolání </w:t>
      </w:r>
    </w:p>
    <w:p w:rsidR="008206A4" w:rsidRPr="000B521F" w:rsidRDefault="00485A38" w:rsidP="0059011D">
      <w:pPr>
        <w:pStyle w:val="Odstavecseseznamem"/>
        <w:numPr>
          <w:ilvl w:val="0"/>
          <w:numId w:val="22"/>
        </w:numPr>
        <w:autoSpaceDE w:val="0"/>
        <w:autoSpaceDN w:val="0"/>
        <w:adjustRightInd w:val="0"/>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Rozvíjet využívání nástrojů analyzování a předvídání trhu práce a využít je pro slaďování vzdělávací nabídky s potřebami zaměstnavatelů</w:t>
      </w:r>
    </w:p>
    <w:p w:rsidR="008206A4" w:rsidRPr="000B521F" w:rsidRDefault="00485A38" w:rsidP="0059011D">
      <w:pPr>
        <w:pStyle w:val="Odstavecseseznamem"/>
        <w:numPr>
          <w:ilvl w:val="0"/>
          <w:numId w:val="22"/>
        </w:numPr>
        <w:autoSpaceDE w:val="0"/>
        <w:autoSpaceDN w:val="0"/>
        <w:adjustRightInd w:val="0"/>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Podpořit odborné praxe a stáže v podnicích</w:t>
      </w:r>
    </w:p>
    <w:p w:rsidR="008206A4" w:rsidRPr="000B521F" w:rsidRDefault="00485A38" w:rsidP="0059011D">
      <w:pPr>
        <w:pStyle w:val="Odstavecseseznamem"/>
        <w:numPr>
          <w:ilvl w:val="0"/>
          <w:numId w:val="22"/>
        </w:numPr>
        <w:autoSpaceDE w:val="0"/>
        <w:autoSpaceDN w:val="0"/>
        <w:adjustRightInd w:val="0"/>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Poskytovat podporu a poradenství při vytváření a zavádění moderních systémů řízení a rozvoje lidských zdrojů v podnicích</w:t>
      </w:r>
    </w:p>
    <w:p w:rsidR="008206A4" w:rsidRPr="000B521F" w:rsidRDefault="00485A38" w:rsidP="0059011D">
      <w:pPr>
        <w:pStyle w:val="Odstavecseseznamem"/>
        <w:numPr>
          <w:ilvl w:val="0"/>
          <w:numId w:val="22"/>
        </w:numPr>
        <w:autoSpaceDE w:val="0"/>
        <w:autoSpaceDN w:val="0"/>
        <w:adjustRightInd w:val="0"/>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Podpořit sladění nabídky a poptávky na trzích práce ve venkovských oblastech a snížit odliv mladých lidí a osob do metropolitních oblastí</w:t>
      </w:r>
    </w:p>
    <w:p w:rsidR="0015622A" w:rsidRPr="000B521F" w:rsidRDefault="0015622A" w:rsidP="0059011D">
      <w:pPr>
        <w:pStyle w:val="Odstavecseseznamem"/>
        <w:autoSpaceDE w:val="0"/>
        <w:autoSpaceDN w:val="0"/>
        <w:adjustRightInd w:val="0"/>
        <w:spacing w:after="120" w:line="240" w:lineRule="auto"/>
        <w:ind w:left="0"/>
        <w:jc w:val="both"/>
        <w:rPr>
          <w:rFonts w:ascii="Times New Roman" w:hAnsi="Times New Roman" w:cs="Times New Roman"/>
          <w:sz w:val="24"/>
          <w:szCs w:val="24"/>
        </w:rPr>
      </w:pPr>
    </w:p>
    <w:p w:rsidR="00485A38" w:rsidRPr="000B521F" w:rsidRDefault="00485A38" w:rsidP="0059011D">
      <w:pPr>
        <w:spacing w:after="120" w:line="240" w:lineRule="auto"/>
        <w:jc w:val="both"/>
        <w:rPr>
          <w:rFonts w:ascii="Times New Roman" w:hAnsi="Times New Roman" w:cs="Times New Roman"/>
          <w:b/>
          <w:i/>
          <w:sz w:val="24"/>
          <w:szCs w:val="24"/>
        </w:rPr>
      </w:pPr>
      <w:r w:rsidRPr="000B521F">
        <w:rPr>
          <w:rFonts w:ascii="Times New Roman" w:hAnsi="Times New Roman" w:cs="Times New Roman"/>
          <w:b/>
          <w:i/>
          <w:sz w:val="24"/>
          <w:szCs w:val="24"/>
        </w:rPr>
        <w:t>3. Obtížné slaďování soukromého a pracovního života a nerovné postavení žen na trhu práce</w:t>
      </w:r>
    </w:p>
    <w:p w:rsidR="00485A38" w:rsidRPr="000B521F" w:rsidRDefault="00485A38"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b/>
          <w:sz w:val="24"/>
          <w:szCs w:val="24"/>
        </w:rPr>
        <w:t>Využívání flexibilních forem práce</w:t>
      </w:r>
      <w:r w:rsidRPr="000B521F">
        <w:rPr>
          <w:rFonts w:ascii="Times New Roman" w:hAnsi="Times New Roman" w:cs="Times New Roman"/>
          <w:sz w:val="24"/>
          <w:szCs w:val="24"/>
        </w:rPr>
        <w:t>, jako je práce na částečný úvazek nebo práce z domova, které by umožnily vyšší zapojení zejména žen s dětmi a dalších osob, které z různých důvodů nemohou pracovat na plný úvazek,</w:t>
      </w:r>
      <w:r w:rsidR="0036158F" w:rsidRPr="000B521F">
        <w:rPr>
          <w:rFonts w:ascii="Times New Roman" w:hAnsi="Times New Roman" w:cs="Times New Roman"/>
          <w:sz w:val="24"/>
          <w:szCs w:val="24"/>
        </w:rPr>
        <w:t xml:space="preserve"> </w:t>
      </w:r>
      <w:r w:rsidRPr="000B521F">
        <w:rPr>
          <w:rFonts w:ascii="Times New Roman" w:hAnsi="Times New Roman" w:cs="Times New Roman"/>
          <w:b/>
          <w:sz w:val="24"/>
          <w:szCs w:val="24"/>
        </w:rPr>
        <w:t>je v ČR nedostatečné</w:t>
      </w:r>
      <w:r w:rsidRPr="000B521F">
        <w:rPr>
          <w:rFonts w:ascii="Times New Roman" w:hAnsi="Times New Roman" w:cs="Times New Roman"/>
          <w:sz w:val="24"/>
          <w:szCs w:val="24"/>
        </w:rPr>
        <w:t xml:space="preserve">. Zatímco v EU-27 na částečný pracovní úvazek v roce 2012 pracovalo přibližně 32,6 % zaměstnaných žen a 9,5 % zaměstnaných mužů, v ČR je tento poměr 9,6 % u žen a 2,9 % u mužů. Zaměstnávání osob, které pečují o děti, je dále komplikováno </w:t>
      </w:r>
      <w:r w:rsidRPr="000B521F">
        <w:rPr>
          <w:rFonts w:ascii="Times New Roman" w:hAnsi="Times New Roman" w:cs="Times New Roman"/>
          <w:b/>
          <w:sz w:val="24"/>
          <w:szCs w:val="24"/>
        </w:rPr>
        <w:t>malou dostupností zařízení předškolní péče o děti</w:t>
      </w:r>
      <w:r w:rsidRPr="000B521F">
        <w:rPr>
          <w:rFonts w:ascii="Times New Roman" w:hAnsi="Times New Roman" w:cs="Times New Roman"/>
          <w:sz w:val="24"/>
          <w:szCs w:val="24"/>
        </w:rPr>
        <w:t>. Zatímco ve školním roce 2005/06 bylo neúspěšně vyřízeno 6 810 žádostí o umístění dítěte do zařízení předškolního vzdělávání, ve školním roce 2012/13 to již bylo 58 939 žádostí.</w:t>
      </w:r>
    </w:p>
    <w:p w:rsidR="00485A38" w:rsidRPr="000B521F" w:rsidRDefault="00485A38"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b/>
          <w:sz w:val="24"/>
          <w:szCs w:val="24"/>
        </w:rPr>
        <w:t>Obtížné slaďování soukromého a pracovního života</w:t>
      </w:r>
      <w:r w:rsidRPr="000B521F">
        <w:rPr>
          <w:rFonts w:ascii="Times New Roman" w:hAnsi="Times New Roman" w:cs="Times New Roman"/>
          <w:sz w:val="24"/>
          <w:szCs w:val="24"/>
        </w:rPr>
        <w:t xml:space="preserve"> má velký vliv zejména na uplatnitelnost i odměňování žen. Dlouhé výpadky v kariéře žen z důvodu potřeby zajištění péče o malé děti a nedostatečné nabídky odpovídajících služeb vedou k </w:t>
      </w:r>
      <w:r w:rsidRPr="000B521F">
        <w:rPr>
          <w:rFonts w:ascii="Times New Roman" w:hAnsi="Times New Roman" w:cs="Times New Roman"/>
          <w:b/>
          <w:sz w:val="24"/>
          <w:szCs w:val="24"/>
        </w:rPr>
        <w:t xml:space="preserve">vysokým rozdílům mezi muži a ženami v mírách zaměstnanosti i v odměňování </w:t>
      </w:r>
      <w:r w:rsidR="00535D8E">
        <w:rPr>
          <w:rFonts w:ascii="Times New Roman" w:hAnsi="Times New Roman" w:cs="Times New Roman"/>
          <w:b/>
          <w:sz w:val="24"/>
          <w:szCs w:val="24"/>
        </w:rPr>
        <w:t>–</w:t>
      </w:r>
      <w:r w:rsidRPr="000B521F">
        <w:rPr>
          <w:rFonts w:ascii="Times New Roman" w:hAnsi="Times New Roman" w:cs="Times New Roman"/>
          <w:sz w:val="24"/>
          <w:szCs w:val="24"/>
        </w:rPr>
        <w:t xml:space="preserve"> v postavení žen v obou těchto faktorech ČR významně zaostává za průměrem EU.</w:t>
      </w:r>
    </w:p>
    <w:p w:rsidR="00485A38" w:rsidRPr="000B521F" w:rsidRDefault="00485A38"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Rozdíly v odměňování se projevují u žen nejenom v produktivním věku, ale mají také následně dopad na důchody žen. Například v roce 2012 byla </w:t>
      </w:r>
      <w:r w:rsidRPr="000B521F">
        <w:rPr>
          <w:rFonts w:ascii="Times New Roman" w:hAnsi="Times New Roman" w:cs="Times New Roman"/>
          <w:b/>
          <w:sz w:val="24"/>
          <w:szCs w:val="24"/>
        </w:rPr>
        <w:t>průměrná výše starobního důchodu mužů o čtvrtinu vyšší</w:t>
      </w:r>
      <w:r w:rsidRPr="000B521F">
        <w:rPr>
          <w:rFonts w:ascii="Times New Roman" w:hAnsi="Times New Roman" w:cs="Times New Roman"/>
          <w:sz w:val="24"/>
          <w:szCs w:val="24"/>
        </w:rPr>
        <w:t xml:space="preserve"> než v případě žen. U žen ve starším věku také v mnohem větší míře hrozí </w:t>
      </w:r>
      <w:r w:rsidRPr="000B521F">
        <w:rPr>
          <w:rFonts w:ascii="Times New Roman" w:hAnsi="Times New Roman" w:cs="Times New Roman"/>
          <w:b/>
          <w:sz w:val="24"/>
          <w:szCs w:val="24"/>
        </w:rPr>
        <w:t>diskriminace na trhu práce</w:t>
      </w:r>
      <w:r w:rsidRPr="000B521F">
        <w:rPr>
          <w:rFonts w:ascii="Times New Roman" w:hAnsi="Times New Roman" w:cs="Times New Roman"/>
          <w:sz w:val="24"/>
          <w:szCs w:val="24"/>
        </w:rPr>
        <w:t xml:space="preserve">, neboť se mohou stát obětí diskriminace nejen z důvodu pohlaví, ale také věku. Rozdíly v odměňování žen a mužů jsou kromě kariérních výpadků způsobeny zejména horizontální a vertikální segregací trhu práce dle pohlaví a přímou a nepřímou diskriminací. </w:t>
      </w:r>
    </w:p>
    <w:p w:rsidR="00485A38" w:rsidRPr="000B521F" w:rsidRDefault="00485A38"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i/>
          <w:sz w:val="24"/>
          <w:szCs w:val="24"/>
        </w:rPr>
        <w:t>Potřeby rozvoje</w:t>
      </w:r>
      <w:r w:rsidRPr="000B521F">
        <w:rPr>
          <w:rFonts w:ascii="Times New Roman" w:hAnsi="Times New Roman" w:cs="Times New Roman"/>
          <w:sz w:val="24"/>
          <w:szCs w:val="24"/>
        </w:rPr>
        <w:t>:</w:t>
      </w:r>
    </w:p>
    <w:p w:rsidR="008206A4" w:rsidRPr="000B521F" w:rsidRDefault="00485A38" w:rsidP="0059011D">
      <w:pPr>
        <w:pStyle w:val="Odstavecseseznamem"/>
        <w:numPr>
          <w:ilvl w:val="0"/>
          <w:numId w:val="23"/>
        </w:numPr>
        <w:autoSpaceDE w:val="0"/>
        <w:autoSpaceDN w:val="0"/>
        <w:adjustRightInd w:val="0"/>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Vytvoření podmínek pro vyšší využívání flexibilních forem práce.</w:t>
      </w:r>
    </w:p>
    <w:p w:rsidR="008206A4" w:rsidRPr="000B521F" w:rsidRDefault="00485A38" w:rsidP="0059011D">
      <w:pPr>
        <w:pStyle w:val="Odstavecseseznamem"/>
        <w:numPr>
          <w:ilvl w:val="0"/>
          <w:numId w:val="23"/>
        </w:numPr>
        <w:autoSpaceDE w:val="0"/>
        <w:autoSpaceDN w:val="0"/>
        <w:adjustRightInd w:val="0"/>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lastRenderedPageBreak/>
        <w:t>Podpořit sladění rodinného a pracovního života u rodin s dětmi cestou zvýšení nabídky předškolního vzdělávání a služeb péče o předškolní děti, včetně dětí mladších 3 let.</w:t>
      </w:r>
    </w:p>
    <w:p w:rsidR="008206A4" w:rsidRPr="000B521F" w:rsidRDefault="00485A38" w:rsidP="0059011D">
      <w:pPr>
        <w:pStyle w:val="Odstavecseseznamem"/>
        <w:numPr>
          <w:ilvl w:val="0"/>
          <w:numId w:val="24"/>
        </w:numPr>
        <w:spacing w:before="60" w:after="60" w:line="240" w:lineRule="auto"/>
        <w:jc w:val="both"/>
        <w:rPr>
          <w:rFonts w:ascii="Times New Roman" w:hAnsi="Times New Roman" w:cs="Times New Roman"/>
          <w:sz w:val="24"/>
          <w:szCs w:val="24"/>
        </w:rPr>
      </w:pPr>
      <w:r w:rsidRPr="000B521F">
        <w:rPr>
          <w:rFonts w:ascii="Times New Roman" w:hAnsi="Times New Roman" w:cs="Times New Roman"/>
          <w:sz w:val="24"/>
          <w:szCs w:val="24"/>
        </w:rPr>
        <w:t>Zlepšit dostupnost vzdělávání a poradenských služeb pro osoby na mateřské a rodičovské dovolené a pečující o závislé osoby či pro ženy ve starším věku, zaměřené na zlepšení jejich přístupu na trh práce, včetně výkonu samostatné výdělečné činnosti.</w:t>
      </w:r>
    </w:p>
    <w:p w:rsidR="008206A4" w:rsidRPr="000B521F" w:rsidRDefault="00485A38" w:rsidP="0059011D">
      <w:pPr>
        <w:pStyle w:val="Odstavecseseznamem"/>
        <w:numPr>
          <w:ilvl w:val="0"/>
          <w:numId w:val="25"/>
        </w:numPr>
        <w:spacing w:before="60" w:after="60" w:line="240" w:lineRule="auto"/>
        <w:jc w:val="both"/>
        <w:rPr>
          <w:rFonts w:ascii="Times New Roman" w:hAnsi="Times New Roman" w:cs="Times New Roman"/>
          <w:sz w:val="24"/>
          <w:szCs w:val="24"/>
        </w:rPr>
      </w:pPr>
      <w:r w:rsidRPr="000B521F">
        <w:rPr>
          <w:rFonts w:ascii="Times New Roman" w:hAnsi="Times New Roman" w:cs="Times New Roman"/>
          <w:sz w:val="24"/>
          <w:szCs w:val="24"/>
        </w:rPr>
        <w:t>Podpořit opatření pro odstranění projevů diskriminace na trhu práce na základě pohlaví a pro snížení horizontální a vertikální segregace trhu práce podle pohlaví a rozdílů v odměňování žen a mužů.</w:t>
      </w:r>
    </w:p>
    <w:p w:rsidR="008206A4" w:rsidRPr="000B521F" w:rsidRDefault="00485A38" w:rsidP="0059011D">
      <w:pPr>
        <w:pStyle w:val="Odstavecseseznamem"/>
        <w:numPr>
          <w:ilvl w:val="0"/>
          <w:numId w:val="25"/>
        </w:numPr>
        <w:spacing w:before="60" w:after="60" w:line="240" w:lineRule="auto"/>
        <w:jc w:val="both"/>
        <w:rPr>
          <w:rFonts w:ascii="Times New Roman" w:hAnsi="Times New Roman" w:cs="Times New Roman"/>
          <w:sz w:val="24"/>
          <w:szCs w:val="24"/>
        </w:rPr>
      </w:pPr>
      <w:r w:rsidRPr="000B521F">
        <w:rPr>
          <w:rFonts w:ascii="Times New Roman" w:hAnsi="Times New Roman" w:cs="Times New Roman"/>
          <w:sz w:val="24"/>
          <w:szCs w:val="24"/>
        </w:rPr>
        <w:t>Zvýšit míru zapojení mužů do péče o děti a další závislé osoby.</w:t>
      </w:r>
    </w:p>
    <w:p w:rsidR="008206A4" w:rsidRPr="000B521F" w:rsidRDefault="00485A38" w:rsidP="0059011D">
      <w:pPr>
        <w:pStyle w:val="Odstavecseseznamem"/>
        <w:numPr>
          <w:ilvl w:val="0"/>
          <w:numId w:val="25"/>
        </w:numPr>
        <w:spacing w:before="60" w:after="60" w:line="240" w:lineRule="auto"/>
        <w:jc w:val="both"/>
        <w:rPr>
          <w:rFonts w:ascii="Times New Roman" w:hAnsi="Times New Roman" w:cs="Times New Roman"/>
          <w:sz w:val="24"/>
          <w:szCs w:val="24"/>
        </w:rPr>
      </w:pPr>
      <w:r w:rsidRPr="000B521F">
        <w:rPr>
          <w:rFonts w:ascii="Times New Roman" w:hAnsi="Times New Roman" w:cs="Times New Roman"/>
          <w:sz w:val="24"/>
          <w:szCs w:val="24"/>
        </w:rPr>
        <w:t>Zlepšení koordinace místních a celostátních politik týkajících se rovných příležitostí žen a mužů a jejich implementace či přizpůsobení.</w:t>
      </w:r>
    </w:p>
    <w:p w:rsidR="0015622A" w:rsidRPr="000B521F" w:rsidRDefault="0015622A" w:rsidP="0059011D">
      <w:pPr>
        <w:pStyle w:val="Odstavecseseznamem"/>
        <w:spacing w:before="60" w:after="60" w:line="240" w:lineRule="auto"/>
        <w:ind w:left="0"/>
        <w:jc w:val="both"/>
        <w:rPr>
          <w:rFonts w:ascii="Times New Roman" w:hAnsi="Times New Roman" w:cs="Times New Roman"/>
          <w:sz w:val="24"/>
          <w:szCs w:val="24"/>
        </w:rPr>
      </w:pPr>
    </w:p>
    <w:p w:rsidR="00485A38" w:rsidRPr="000B521F" w:rsidRDefault="00485A38" w:rsidP="0059011D">
      <w:pPr>
        <w:spacing w:after="120" w:line="240" w:lineRule="auto"/>
        <w:jc w:val="both"/>
        <w:rPr>
          <w:rFonts w:ascii="Times New Roman" w:hAnsi="Times New Roman" w:cs="Times New Roman"/>
          <w:b/>
          <w:i/>
          <w:sz w:val="24"/>
          <w:szCs w:val="24"/>
        </w:rPr>
      </w:pPr>
      <w:r w:rsidRPr="000B521F">
        <w:rPr>
          <w:rFonts w:ascii="Times New Roman" w:hAnsi="Times New Roman" w:cs="Times New Roman"/>
          <w:b/>
          <w:i/>
          <w:sz w:val="24"/>
          <w:szCs w:val="24"/>
        </w:rPr>
        <w:t>4. Nedostatečná spolupráce klíčových aktérů a nízká provázanost různých typů nástrojů při řešení problémů na trhu práce</w:t>
      </w:r>
    </w:p>
    <w:p w:rsidR="00485A38" w:rsidRPr="000B521F" w:rsidRDefault="00485A38"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Angažovanost místní samosprávy (obcí, měst) v řešení problematiky zaměstnanosti je nedostatečná. Samosprávy nejsou dostatečně aktivní v mobilizaci vnitřního potenciálu daných lokalit a v podpoře tvorby nových typů pracovních příležitostí. Rovněž spolupráce všech relevantních místních aktérů na trhu práce (samosprávy, služby zaměstnanosti, zaměstnavatelé, vzdělavatelé, neziskový sektor atd.) je nedostatečná.</w:t>
      </w:r>
    </w:p>
    <w:p w:rsidR="00485A38" w:rsidRPr="000B521F" w:rsidRDefault="00485A38"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Provázanost služeb zaměstnanosti a sociálních služeb, sociálních a zdravotních služeb i dalších navazujících služeb je velmi omezená. Pro komplexní řešení uplatnitelnosti osob ohrožených dlouhodobou nezaměstnaností a sociálním vyloučením je přitom provázanost různých nástrojů nezbytná.</w:t>
      </w:r>
    </w:p>
    <w:p w:rsidR="00485A38" w:rsidRPr="000B521F" w:rsidRDefault="00485A38"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i/>
          <w:sz w:val="24"/>
          <w:szCs w:val="24"/>
        </w:rPr>
        <w:t>Potřeby rozvoje</w:t>
      </w:r>
      <w:r w:rsidRPr="000B521F">
        <w:rPr>
          <w:rFonts w:ascii="Times New Roman" w:hAnsi="Times New Roman" w:cs="Times New Roman"/>
          <w:sz w:val="24"/>
          <w:szCs w:val="24"/>
        </w:rPr>
        <w:t>:</w:t>
      </w:r>
    </w:p>
    <w:p w:rsidR="008206A4" w:rsidRPr="000B521F" w:rsidRDefault="00485A38" w:rsidP="0059011D">
      <w:pPr>
        <w:pStyle w:val="Odstavecseseznamem"/>
        <w:numPr>
          <w:ilvl w:val="0"/>
          <w:numId w:val="26"/>
        </w:numPr>
        <w:autoSpaceDE w:val="0"/>
        <w:autoSpaceDN w:val="0"/>
        <w:adjustRightInd w:val="0"/>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Podpořit a rozvíjet programy spolupráce a partnerství při řešení problémů trhu práce jak na národní, tak zejména regionální a místní úrovni se všemi relevantními aktéry na trhu práce </w:t>
      </w:r>
    </w:p>
    <w:p w:rsidR="008206A4" w:rsidRPr="000B521F" w:rsidRDefault="00485A38" w:rsidP="00535D8E">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Podpořit provázání služeb zaměstnanosti a sociálních služeb, sociálních a zdravotních služeb i dalších navazujících služeb k zajištění komplexního přístupu ke zvýšení uplatnitelnosti cílových skupin.</w:t>
      </w:r>
    </w:p>
    <w:p w:rsidR="00097BDC" w:rsidRPr="000B521F" w:rsidRDefault="00097BDC" w:rsidP="0059011D">
      <w:pPr>
        <w:spacing w:after="120" w:line="240" w:lineRule="auto"/>
        <w:rPr>
          <w:rFonts w:ascii="Times New Roman" w:hAnsi="Times New Roman" w:cs="Times New Roman"/>
          <w:b/>
          <w:sz w:val="24"/>
          <w:szCs w:val="24"/>
        </w:rPr>
      </w:pPr>
    </w:p>
    <w:p w:rsidR="00D47C84" w:rsidRPr="00477DC2" w:rsidRDefault="00D47C84" w:rsidP="00477DC2">
      <w:pPr>
        <w:spacing w:after="120" w:line="240" w:lineRule="auto"/>
        <w:rPr>
          <w:rFonts w:ascii="Times New Roman" w:hAnsi="Times New Roman" w:cs="Times New Roman"/>
          <w:b/>
          <w:sz w:val="24"/>
          <w:szCs w:val="24"/>
        </w:rPr>
      </w:pPr>
      <w:r w:rsidRPr="00477DC2">
        <w:rPr>
          <w:rFonts w:ascii="Times New Roman" w:hAnsi="Times New Roman" w:cs="Times New Roman"/>
          <w:b/>
          <w:sz w:val="24"/>
          <w:szCs w:val="24"/>
        </w:rPr>
        <w:t>Specifické potřeby a výzvy městského a venkovského prostoru a přeshraničních regionů:</w:t>
      </w:r>
    </w:p>
    <w:p w:rsidR="008206A4" w:rsidRPr="00477DC2" w:rsidRDefault="00D47C84" w:rsidP="00535D8E">
      <w:pPr>
        <w:pStyle w:val="Odstavecseseznamem"/>
        <w:numPr>
          <w:ilvl w:val="0"/>
          <w:numId w:val="146"/>
        </w:numPr>
        <w:spacing w:after="120" w:line="240" w:lineRule="auto"/>
        <w:ind w:left="714" w:hanging="357"/>
        <w:jc w:val="both"/>
        <w:rPr>
          <w:rFonts w:ascii="Times New Roman" w:hAnsi="Times New Roman" w:cs="Times New Roman"/>
          <w:sz w:val="24"/>
          <w:szCs w:val="24"/>
        </w:rPr>
      </w:pPr>
      <w:r w:rsidRPr="00477DC2">
        <w:rPr>
          <w:rFonts w:ascii="Times New Roman" w:hAnsi="Times New Roman" w:cs="Times New Roman"/>
          <w:sz w:val="24"/>
          <w:szCs w:val="24"/>
        </w:rPr>
        <w:t xml:space="preserve">přizpůsobení nástrojů politiky zaměstnanosti specifickým podmínkám a požadavkům měst a venkova -  formování potřebné nabídky pracovních sil s požadovanou úrovní a strukturou vzdělání a kvalifikace </w:t>
      </w:r>
    </w:p>
    <w:p w:rsidR="008206A4" w:rsidRPr="00477DC2" w:rsidRDefault="00D47C84" w:rsidP="00535D8E">
      <w:pPr>
        <w:pStyle w:val="Odstavecseseznamem"/>
        <w:numPr>
          <w:ilvl w:val="0"/>
          <w:numId w:val="146"/>
        </w:numPr>
        <w:spacing w:after="120" w:line="240" w:lineRule="auto"/>
        <w:ind w:left="714" w:hanging="357"/>
        <w:jc w:val="both"/>
        <w:rPr>
          <w:rFonts w:ascii="Times New Roman" w:hAnsi="Times New Roman" w:cs="Times New Roman"/>
          <w:sz w:val="24"/>
          <w:szCs w:val="24"/>
        </w:rPr>
      </w:pPr>
      <w:r w:rsidRPr="00477DC2">
        <w:rPr>
          <w:rFonts w:ascii="Times New Roman" w:hAnsi="Times New Roman" w:cs="Times New Roman"/>
          <w:sz w:val="24"/>
          <w:szCs w:val="24"/>
        </w:rPr>
        <w:t xml:space="preserve">stabilizace venkovského prostoru prostřednictvím zajištění pracovních příležitostí (rozvoj zemědělství, </w:t>
      </w:r>
      <w:r w:rsidR="00C75F84">
        <w:rPr>
          <w:rFonts w:ascii="Times New Roman" w:hAnsi="Times New Roman"/>
          <w:sz w:val="24"/>
          <w:szCs w:val="24"/>
        </w:rPr>
        <w:t>a diverzifikace aktivit zemědělských podnikatelů,</w:t>
      </w:r>
      <w:r w:rsidR="00C75F84" w:rsidRPr="00477DC2">
        <w:rPr>
          <w:rFonts w:ascii="Times New Roman" w:hAnsi="Times New Roman" w:cs="Times New Roman"/>
          <w:sz w:val="24"/>
          <w:szCs w:val="24"/>
        </w:rPr>
        <w:t xml:space="preserve"> </w:t>
      </w:r>
      <w:r w:rsidRPr="00477DC2">
        <w:rPr>
          <w:rFonts w:ascii="Times New Roman" w:hAnsi="Times New Roman" w:cs="Times New Roman"/>
          <w:sz w:val="24"/>
          <w:szCs w:val="24"/>
        </w:rPr>
        <w:t xml:space="preserve">podpora </w:t>
      </w:r>
      <w:r w:rsidR="00C75F84">
        <w:rPr>
          <w:rFonts w:ascii="Times New Roman" w:hAnsi="Times New Roman"/>
          <w:sz w:val="24"/>
          <w:szCs w:val="24"/>
        </w:rPr>
        <w:t>dalších</w:t>
      </w:r>
      <w:r w:rsidR="00C75F84" w:rsidRPr="00477DC2">
        <w:rPr>
          <w:rFonts w:ascii="Times New Roman" w:hAnsi="Times New Roman" w:cs="Times New Roman"/>
          <w:sz w:val="24"/>
          <w:szCs w:val="24"/>
        </w:rPr>
        <w:t xml:space="preserve"> </w:t>
      </w:r>
      <w:r w:rsidRPr="00477DC2">
        <w:rPr>
          <w:rFonts w:ascii="Times New Roman" w:hAnsi="Times New Roman" w:cs="Times New Roman"/>
          <w:sz w:val="24"/>
          <w:szCs w:val="24"/>
        </w:rPr>
        <w:t>podnikatelských příležitostí, atp.)</w:t>
      </w:r>
    </w:p>
    <w:p w:rsidR="00F17177" w:rsidRPr="00477DC2" w:rsidRDefault="00F17177" w:rsidP="00535D8E">
      <w:pPr>
        <w:pStyle w:val="Odstavecseseznamem"/>
        <w:numPr>
          <w:ilvl w:val="0"/>
          <w:numId w:val="146"/>
        </w:numPr>
        <w:spacing w:after="120" w:line="240" w:lineRule="auto"/>
        <w:ind w:left="714" w:hanging="357"/>
        <w:jc w:val="both"/>
        <w:rPr>
          <w:rFonts w:ascii="Times New Roman" w:hAnsi="Times New Roman" w:cs="Times New Roman"/>
          <w:sz w:val="24"/>
          <w:szCs w:val="24"/>
        </w:rPr>
      </w:pPr>
      <w:r w:rsidRPr="00477DC2">
        <w:rPr>
          <w:rFonts w:ascii="Times New Roman" w:hAnsi="Times New Roman" w:cs="Times New Roman"/>
          <w:sz w:val="24"/>
          <w:szCs w:val="24"/>
        </w:rPr>
        <w:t xml:space="preserve">zajistit dostatek vstupního i provozního kapitálu pro stabilizaci podnikatelské struktury ve venkovském prostoru </w:t>
      </w:r>
    </w:p>
    <w:p w:rsidR="00C00481" w:rsidRPr="00477DC2" w:rsidRDefault="00C00481" w:rsidP="00535D8E">
      <w:pPr>
        <w:pStyle w:val="Odstavecseseznamem"/>
        <w:numPr>
          <w:ilvl w:val="0"/>
          <w:numId w:val="146"/>
        </w:numPr>
        <w:spacing w:after="120" w:line="240" w:lineRule="auto"/>
        <w:ind w:left="714" w:hanging="357"/>
        <w:jc w:val="both"/>
        <w:rPr>
          <w:rFonts w:ascii="Times New Roman" w:hAnsi="Times New Roman" w:cs="Times New Roman"/>
          <w:sz w:val="24"/>
          <w:szCs w:val="24"/>
        </w:rPr>
      </w:pPr>
      <w:r w:rsidRPr="00477DC2">
        <w:rPr>
          <w:rFonts w:ascii="Times New Roman" w:hAnsi="Times New Roman" w:cs="Times New Roman"/>
          <w:sz w:val="24"/>
          <w:szCs w:val="24"/>
        </w:rPr>
        <w:t>spolupráce institucí trhu práce z obou stran hranice, zejména orgánů veřejné správy (úřady práce), které přispívají k řešení nezaměstnanosti a dalších (výměna informací, usnadnění přístupu k práci přes hranici, dojížďka apod.)</w:t>
      </w:r>
    </w:p>
    <w:p w:rsidR="00C00481" w:rsidRPr="00477DC2" w:rsidRDefault="00B410AB" w:rsidP="00535D8E">
      <w:pPr>
        <w:pStyle w:val="Odstavecseseznamem"/>
        <w:numPr>
          <w:ilvl w:val="0"/>
          <w:numId w:val="146"/>
        </w:numPr>
        <w:spacing w:after="120" w:line="240" w:lineRule="auto"/>
        <w:ind w:left="714" w:hanging="357"/>
        <w:jc w:val="both"/>
        <w:rPr>
          <w:rFonts w:ascii="Times New Roman" w:hAnsi="Times New Roman" w:cs="Times New Roman"/>
          <w:sz w:val="24"/>
          <w:szCs w:val="24"/>
        </w:rPr>
      </w:pPr>
      <w:r w:rsidRPr="00477DC2">
        <w:rPr>
          <w:rFonts w:ascii="Times New Roman" w:hAnsi="Times New Roman" w:cs="Times New Roman"/>
          <w:sz w:val="24"/>
          <w:szCs w:val="24"/>
        </w:rPr>
        <w:t>p</w:t>
      </w:r>
      <w:r w:rsidR="00C00481" w:rsidRPr="00477DC2">
        <w:rPr>
          <w:rFonts w:ascii="Times New Roman" w:hAnsi="Times New Roman" w:cs="Times New Roman"/>
          <w:sz w:val="24"/>
          <w:szCs w:val="24"/>
        </w:rPr>
        <w:t>ružnější reakce vzdělávacího systému na obou stranách hranice na potřeby přeshraničního trhu práce – od přizpůsobení vzdělávacích oborů po uznávání kvalifikací pro zvýšení uplatnění uchazečů na obou stranách pracovního trhu</w:t>
      </w:r>
    </w:p>
    <w:p w:rsidR="00485A38" w:rsidRPr="000B521F" w:rsidRDefault="00485A38" w:rsidP="0059011D">
      <w:pPr>
        <w:pStyle w:val="Tabulka"/>
        <w:spacing w:before="120" w:after="60"/>
        <w:rPr>
          <w:szCs w:val="20"/>
        </w:rPr>
      </w:pPr>
      <w:r w:rsidRPr="000B521F">
        <w:rPr>
          <w:szCs w:val="20"/>
        </w:rPr>
        <w:lastRenderedPageBreak/>
        <w:t>Vazby na dokumenty EU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7580"/>
      </w:tblGrid>
      <w:tr w:rsidR="00485A38" w:rsidRPr="000B521F" w:rsidTr="00764BAE">
        <w:trPr>
          <w:trHeight w:val="268"/>
        </w:trPr>
        <w:tc>
          <w:tcPr>
            <w:tcW w:w="1560" w:type="dxa"/>
            <w:shd w:val="clear" w:color="auto" w:fill="8DB3E2" w:themeFill="text2" w:themeFillTint="66"/>
            <w:vAlign w:val="center"/>
          </w:tcPr>
          <w:p w:rsidR="00485A38" w:rsidRPr="000B521F" w:rsidRDefault="00485A38"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Strategie Evropa 2020</w:t>
            </w:r>
          </w:p>
        </w:tc>
        <w:tc>
          <w:tcPr>
            <w:tcW w:w="7580" w:type="dxa"/>
            <w:shd w:val="clear" w:color="auto" w:fill="auto"/>
            <w:vAlign w:val="center"/>
          </w:tcPr>
          <w:p w:rsidR="00485A38" w:rsidRPr="000B521F" w:rsidRDefault="00485A38" w:rsidP="0059011D">
            <w:pPr>
              <w:pStyle w:val="DAVA"/>
              <w:spacing w:before="60" w:after="60"/>
              <w:rPr>
                <w:rFonts w:ascii="Times New Roman" w:hAnsi="Times New Roman"/>
                <w:sz w:val="20"/>
                <w:szCs w:val="20"/>
              </w:rPr>
            </w:pPr>
            <w:r w:rsidRPr="000B521F">
              <w:rPr>
                <w:rFonts w:ascii="Times New Roman" w:hAnsi="Times New Roman"/>
                <w:sz w:val="20"/>
                <w:szCs w:val="20"/>
              </w:rPr>
              <w:t>Cíl Zvýšit zaměstnanost u osob ve věku 20 až 64 let ze současných 69 % na nejméně 75 %; Iniciativa „Mládež v pohybu“ a „Program pro nové dovednosti a pracovní místa“, Integrované hlavní směry 7 „Zvyšování účasti žen a mužů na trhu práce, omezování strukturální nezaměstnanosti a prosazování kvality pracovních míst“, 8 „Rozvoj kvalifikované pracovní síly, která bude reagovat na potřeby trhu práce, a podpora celoživotního učení“, 9 „Zlepšování kvality a výsledků systémů vzdělávání a odborné přípravy na všech úrovních a zvyšování účasti na terciárním nebo srovnatelném vzdělávání“</w:t>
            </w:r>
            <w:r w:rsidR="00535D8E">
              <w:rPr>
                <w:rFonts w:ascii="Times New Roman" w:hAnsi="Times New Roman"/>
                <w:sz w:val="20"/>
                <w:szCs w:val="20"/>
              </w:rPr>
              <w:t>.</w:t>
            </w:r>
          </w:p>
        </w:tc>
      </w:tr>
      <w:tr w:rsidR="00485A38" w:rsidRPr="000B521F" w:rsidTr="00761093">
        <w:trPr>
          <w:trHeight w:val="407"/>
        </w:trPr>
        <w:tc>
          <w:tcPr>
            <w:tcW w:w="1560" w:type="dxa"/>
            <w:shd w:val="clear" w:color="auto" w:fill="8DB3E2" w:themeFill="text2" w:themeFillTint="66"/>
            <w:vAlign w:val="center"/>
          </w:tcPr>
          <w:p w:rsidR="00485A38" w:rsidRPr="000B521F" w:rsidRDefault="00485A38"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Společný strategický rámec</w:t>
            </w:r>
          </w:p>
        </w:tc>
        <w:tc>
          <w:tcPr>
            <w:tcW w:w="7580" w:type="dxa"/>
            <w:shd w:val="clear" w:color="auto" w:fill="auto"/>
            <w:vAlign w:val="center"/>
          </w:tcPr>
          <w:p w:rsidR="00485A38" w:rsidRPr="000B521F" w:rsidRDefault="00485A38" w:rsidP="0059011D">
            <w:pPr>
              <w:pStyle w:val="DAVA"/>
              <w:spacing w:before="60" w:after="60"/>
              <w:rPr>
                <w:rFonts w:ascii="Times New Roman" w:hAnsi="Times New Roman"/>
                <w:sz w:val="20"/>
                <w:szCs w:val="20"/>
              </w:rPr>
            </w:pPr>
            <w:r w:rsidRPr="000B521F">
              <w:rPr>
                <w:rFonts w:ascii="Times New Roman" w:hAnsi="Times New Roman"/>
                <w:sz w:val="20"/>
                <w:szCs w:val="20"/>
              </w:rPr>
              <w:t>Příloha 1, 5.5 Reakce na demografickou změnu, opatření mj. na zlepšení podmínek pro rodiny a rovnováhu mezi prací a rodinným životem</w:t>
            </w:r>
            <w:r w:rsidR="00535D8E">
              <w:rPr>
                <w:rFonts w:ascii="Times New Roman" w:hAnsi="Times New Roman"/>
                <w:sz w:val="20"/>
                <w:szCs w:val="20"/>
              </w:rPr>
              <w:t>.</w:t>
            </w:r>
          </w:p>
        </w:tc>
      </w:tr>
      <w:tr w:rsidR="00485A38" w:rsidRPr="000B521F" w:rsidTr="00761093">
        <w:trPr>
          <w:trHeight w:val="407"/>
        </w:trPr>
        <w:tc>
          <w:tcPr>
            <w:tcW w:w="1560" w:type="dxa"/>
            <w:shd w:val="clear" w:color="auto" w:fill="8DB3E2" w:themeFill="text2" w:themeFillTint="66"/>
            <w:vAlign w:val="center"/>
          </w:tcPr>
          <w:p w:rsidR="00485A38" w:rsidRPr="000B521F" w:rsidRDefault="00485A38"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Tematické cíle</w:t>
            </w:r>
          </w:p>
        </w:tc>
        <w:tc>
          <w:tcPr>
            <w:tcW w:w="7580" w:type="dxa"/>
            <w:shd w:val="clear" w:color="auto" w:fill="auto"/>
            <w:vAlign w:val="center"/>
          </w:tcPr>
          <w:p w:rsidR="00485A38" w:rsidRPr="000B521F" w:rsidRDefault="00485A38" w:rsidP="0059011D">
            <w:pPr>
              <w:pStyle w:val="DAVA"/>
              <w:spacing w:before="60" w:after="60"/>
              <w:rPr>
                <w:rFonts w:ascii="Times New Roman" w:hAnsi="Times New Roman"/>
                <w:sz w:val="20"/>
                <w:szCs w:val="20"/>
              </w:rPr>
            </w:pPr>
            <w:r w:rsidRPr="000B521F">
              <w:rPr>
                <w:rFonts w:ascii="Times New Roman" w:hAnsi="Times New Roman"/>
                <w:sz w:val="20"/>
                <w:szCs w:val="20"/>
              </w:rPr>
              <w:t>8. Podpora zaměstnanosti a podpora mobility pracovních sil</w:t>
            </w:r>
            <w:r w:rsidR="00535D8E">
              <w:rPr>
                <w:rFonts w:ascii="Times New Roman" w:hAnsi="Times New Roman"/>
                <w:sz w:val="20"/>
                <w:szCs w:val="20"/>
              </w:rPr>
              <w:t>.</w:t>
            </w:r>
          </w:p>
        </w:tc>
      </w:tr>
      <w:tr w:rsidR="00485A38" w:rsidRPr="000B521F" w:rsidTr="00761093">
        <w:trPr>
          <w:trHeight w:val="2853"/>
        </w:trPr>
        <w:tc>
          <w:tcPr>
            <w:tcW w:w="1560" w:type="dxa"/>
            <w:shd w:val="clear" w:color="auto" w:fill="8DB3E2" w:themeFill="text2" w:themeFillTint="66"/>
            <w:vAlign w:val="center"/>
          </w:tcPr>
          <w:p w:rsidR="00485A38" w:rsidRPr="000B521F" w:rsidRDefault="00485A38"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Specifická doporučení Rady 2013</w:t>
            </w:r>
          </w:p>
        </w:tc>
        <w:tc>
          <w:tcPr>
            <w:tcW w:w="7580" w:type="dxa"/>
            <w:shd w:val="clear" w:color="auto" w:fill="auto"/>
            <w:vAlign w:val="center"/>
          </w:tcPr>
          <w:p w:rsidR="00485A38" w:rsidRPr="000B521F" w:rsidRDefault="00485A38" w:rsidP="0059011D">
            <w:pPr>
              <w:pStyle w:val="DAVA"/>
              <w:rPr>
                <w:rFonts w:ascii="Times New Roman" w:hAnsi="Times New Roman"/>
                <w:sz w:val="20"/>
                <w:szCs w:val="20"/>
              </w:rPr>
            </w:pPr>
            <w:r w:rsidRPr="000B521F">
              <w:rPr>
                <w:rFonts w:ascii="Times New Roman" w:hAnsi="Times New Roman"/>
                <w:sz w:val="20"/>
                <w:szCs w:val="20"/>
              </w:rPr>
              <w:t>4. Přijmout opatření k posílení efektivnosti a účinnosti veřejných služeb zaměstnanosti. Výrazně zvýšit dostupnost zařízení péče o děti podporující sociální začlenění se zaměřením na děti do tří let a zvýšit účast romských dětí, a to zejména přijetím a provedením zákona o soukromých zařízeních péče o děti a zvýšením kapacity veřejných zařízení péče o děti.</w:t>
            </w:r>
          </w:p>
          <w:p w:rsidR="00485A38" w:rsidRPr="000B521F" w:rsidRDefault="00485A38" w:rsidP="0059011D">
            <w:pPr>
              <w:pStyle w:val="DAVA"/>
              <w:rPr>
                <w:rFonts w:ascii="Times New Roman" w:hAnsi="Times New Roman"/>
                <w:sz w:val="20"/>
                <w:szCs w:val="20"/>
              </w:rPr>
            </w:pPr>
            <w:r w:rsidRPr="000B521F">
              <w:rPr>
                <w:rFonts w:ascii="Times New Roman" w:hAnsi="Times New Roman"/>
                <w:sz w:val="20"/>
                <w:szCs w:val="20"/>
              </w:rPr>
              <w:t>Částečně: 3. Zvyšovat zákonem stanovený věk odchodu do důchodu rychleji, než to stanoví stávající právní předpisy, vytvořit jasnou vazbu mezi zákonem stanoveným věkem odchodu do důchodu a nadějí dožití a přezkoumat mechanismus indexace důchodů. Zvyšování věku odchodu do důchodu doplnit o opatření podporující zaměstnatelnost starších pracovníků a omezit možnosti předčasného odchodu do důchodu. Zejména zrušit veřejnou dotaci pro režim předčasného odchodu do důchodu. Přijmout opatření, která by výrazně zlepšila nákladovou efektivnost výdajů na zdravotní péči, zejména na péči v nemocnicích.</w:t>
            </w:r>
          </w:p>
        </w:tc>
      </w:tr>
    </w:tbl>
    <w:p w:rsidR="00485A38" w:rsidRPr="000B521F" w:rsidRDefault="00485A38" w:rsidP="0059011D">
      <w:pPr>
        <w:pStyle w:val="Tabulka"/>
        <w:spacing w:before="120" w:after="60"/>
        <w:rPr>
          <w:szCs w:val="20"/>
        </w:rPr>
      </w:pPr>
      <w:r w:rsidRPr="000B521F">
        <w:rPr>
          <w:szCs w:val="20"/>
        </w:rPr>
        <w:t>Vazby na dokumenty ČR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7618"/>
      </w:tblGrid>
      <w:tr w:rsidR="00485A38" w:rsidRPr="000B521F" w:rsidTr="00761093">
        <w:trPr>
          <w:trHeight w:val="395"/>
        </w:trPr>
        <w:tc>
          <w:tcPr>
            <w:tcW w:w="1560" w:type="dxa"/>
            <w:shd w:val="clear" w:color="auto" w:fill="8DB3E2" w:themeFill="text2" w:themeFillTint="66"/>
            <w:vAlign w:val="center"/>
          </w:tcPr>
          <w:p w:rsidR="00485A38" w:rsidRPr="000B521F" w:rsidRDefault="00485A38"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Národní program reforem 2013</w:t>
            </w:r>
          </w:p>
        </w:tc>
        <w:tc>
          <w:tcPr>
            <w:tcW w:w="7618" w:type="dxa"/>
            <w:shd w:val="clear" w:color="auto" w:fill="auto"/>
            <w:vAlign w:val="center"/>
          </w:tcPr>
          <w:p w:rsidR="00485A38" w:rsidRPr="000B521F" w:rsidRDefault="00485A38" w:rsidP="0059011D">
            <w:pPr>
              <w:pStyle w:val="DAVA"/>
              <w:spacing w:before="60" w:after="60"/>
              <w:rPr>
                <w:rFonts w:ascii="Times New Roman" w:hAnsi="Times New Roman"/>
                <w:sz w:val="20"/>
                <w:szCs w:val="20"/>
              </w:rPr>
            </w:pPr>
            <w:r w:rsidRPr="000B521F">
              <w:rPr>
                <w:rFonts w:ascii="Times New Roman" w:hAnsi="Times New Roman"/>
                <w:sz w:val="20"/>
                <w:szCs w:val="20"/>
              </w:rPr>
              <w:t>3.3.1 Rozvoj trhu práce a aktivní politika zaměstnanosti 3.3.4 Zvýšení kvality a dostupnosti předškolní péče, slučitelnos</w:t>
            </w:r>
            <w:r w:rsidR="00535D8E">
              <w:rPr>
                <w:rFonts w:ascii="Times New Roman" w:hAnsi="Times New Roman"/>
                <w:sz w:val="20"/>
                <w:szCs w:val="20"/>
              </w:rPr>
              <w:t>t rodinného a pracovního života.</w:t>
            </w:r>
          </w:p>
          <w:p w:rsidR="00485A38" w:rsidRPr="000B521F" w:rsidRDefault="00485A38" w:rsidP="0059011D">
            <w:pPr>
              <w:pStyle w:val="DAVA"/>
              <w:spacing w:before="60" w:after="60"/>
              <w:rPr>
                <w:rFonts w:ascii="Times New Roman" w:hAnsi="Times New Roman"/>
                <w:sz w:val="20"/>
                <w:szCs w:val="20"/>
              </w:rPr>
            </w:pPr>
            <w:r w:rsidRPr="000B521F">
              <w:rPr>
                <w:rFonts w:ascii="Times New Roman" w:hAnsi="Times New Roman"/>
                <w:sz w:val="20"/>
                <w:szCs w:val="20"/>
              </w:rPr>
              <w:t>3.3.6 Reforma vysokého školství a rozvoj celoživotního vzdělávání; 3.3.6.2 Rozvoj celoživotního učení</w:t>
            </w:r>
            <w:r w:rsidR="00535D8E">
              <w:rPr>
                <w:rFonts w:ascii="Times New Roman" w:hAnsi="Times New Roman"/>
                <w:sz w:val="20"/>
                <w:szCs w:val="20"/>
              </w:rPr>
              <w:t>.</w:t>
            </w:r>
          </w:p>
        </w:tc>
      </w:tr>
      <w:tr w:rsidR="00485A38" w:rsidRPr="000B521F" w:rsidTr="00761093">
        <w:trPr>
          <w:trHeight w:val="407"/>
        </w:trPr>
        <w:tc>
          <w:tcPr>
            <w:tcW w:w="1560" w:type="dxa"/>
            <w:shd w:val="clear" w:color="auto" w:fill="8DB3E2" w:themeFill="text2" w:themeFillTint="66"/>
            <w:vAlign w:val="center"/>
          </w:tcPr>
          <w:p w:rsidR="00485A38" w:rsidRPr="000B521F" w:rsidRDefault="00485A38"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Strategie mezinárodní konkurence-schopnosti ČR</w:t>
            </w:r>
          </w:p>
        </w:tc>
        <w:tc>
          <w:tcPr>
            <w:tcW w:w="7618" w:type="dxa"/>
            <w:shd w:val="clear" w:color="auto" w:fill="auto"/>
            <w:vAlign w:val="center"/>
          </w:tcPr>
          <w:p w:rsidR="00485A38" w:rsidRPr="000B521F" w:rsidRDefault="00485A38" w:rsidP="0059011D">
            <w:pPr>
              <w:pStyle w:val="DAVA"/>
              <w:spacing w:before="60" w:after="60"/>
              <w:rPr>
                <w:rFonts w:ascii="Times New Roman" w:hAnsi="Times New Roman"/>
                <w:sz w:val="20"/>
                <w:szCs w:val="20"/>
              </w:rPr>
            </w:pPr>
            <w:r w:rsidRPr="000B521F">
              <w:rPr>
                <w:rFonts w:ascii="Times New Roman" w:hAnsi="Times New Roman"/>
                <w:sz w:val="20"/>
                <w:szCs w:val="20"/>
              </w:rPr>
              <w:t>6 Trh práce, sladění rodinného života a pracovní kariéry, rozvoj trhu práce (podpora specifických skupin trhu práce, zvýšení vnitřní a vnější flexibility trhu práce, zefektivnění realizace aktivní politiky zaměstnanosti), zvýšení dostupnosti nájemního bydlení, zavedení jednotného inkasního místa, chytrá politika migrace, rozvoj systému celoživotního vzdělávání</w:t>
            </w:r>
            <w:r w:rsidR="00535D8E">
              <w:rPr>
                <w:rFonts w:ascii="Times New Roman" w:hAnsi="Times New Roman"/>
                <w:sz w:val="20"/>
                <w:szCs w:val="20"/>
              </w:rPr>
              <w:t>.</w:t>
            </w:r>
          </w:p>
        </w:tc>
      </w:tr>
      <w:tr w:rsidR="00485A38" w:rsidRPr="000B521F" w:rsidTr="00761093">
        <w:tc>
          <w:tcPr>
            <w:tcW w:w="1560" w:type="dxa"/>
            <w:shd w:val="clear" w:color="auto" w:fill="8DB3E2" w:themeFill="text2" w:themeFillTint="66"/>
            <w:vAlign w:val="center"/>
          </w:tcPr>
          <w:p w:rsidR="00485A38" w:rsidRPr="000B521F" w:rsidRDefault="00485A38" w:rsidP="00535D8E">
            <w:pPr>
              <w:pStyle w:val="DAVA"/>
              <w:spacing w:before="60" w:after="60"/>
              <w:jc w:val="left"/>
              <w:rPr>
                <w:rFonts w:ascii="Times New Roman" w:hAnsi="Times New Roman"/>
                <w:b/>
                <w:sz w:val="20"/>
                <w:szCs w:val="20"/>
              </w:rPr>
            </w:pPr>
            <w:r w:rsidRPr="000B521F">
              <w:rPr>
                <w:rFonts w:ascii="Times New Roman" w:hAnsi="Times New Roman"/>
                <w:b/>
                <w:sz w:val="20"/>
                <w:szCs w:val="20"/>
              </w:rPr>
              <w:t>Strategie regionálního rozvoje ČR 2014</w:t>
            </w:r>
            <w:r w:rsidR="00535D8E">
              <w:rPr>
                <w:rFonts w:ascii="Times New Roman" w:hAnsi="Times New Roman"/>
                <w:b/>
                <w:sz w:val="20"/>
                <w:szCs w:val="20"/>
              </w:rPr>
              <w:t>–</w:t>
            </w:r>
            <w:r w:rsidRPr="000B521F">
              <w:rPr>
                <w:rFonts w:ascii="Times New Roman" w:hAnsi="Times New Roman"/>
                <w:b/>
                <w:sz w:val="20"/>
                <w:szCs w:val="20"/>
              </w:rPr>
              <w:t>2020</w:t>
            </w:r>
          </w:p>
        </w:tc>
        <w:tc>
          <w:tcPr>
            <w:tcW w:w="7618" w:type="dxa"/>
            <w:shd w:val="clear" w:color="auto" w:fill="auto"/>
            <w:vAlign w:val="center"/>
          </w:tcPr>
          <w:p w:rsidR="00485A38" w:rsidRPr="000B521F" w:rsidRDefault="00485A38" w:rsidP="0059011D">
            <w:pPr>
              <w:pStyle w:val="DAVA"/>
              <w:spacing w:before="60" w:after="60"/>
              <w:rPr>
                <w:rFonts w:ascii="Times New Roman" w:hAnsi="Times New Roman"/>
                <w:sz w:val="20"/>
                <w:szCs w:val="20"/>
              </w:rPr>
            </w:pPr>
            <w:r w:rsidRPr="000B521F">
              <w:rPr>
                <w:rFonts w:ascii="Times New Roman" w:hAnsi="Times New Roman"/>
                <w:sz w:val="20"/>
                <w:szCs w:val="20"/>
              </w:rPr>
              <w:t xml:space="preserve">Priorita 1 Využití potenciálu rozvojových území (opatření 1.5 Adaptabilita trhu práce). </w:t>
            </w:r>
          </w:p>
          <w:p w:rsidR="00485A38" w:rsidRPr="000B521F" w:rsidRDefault="00485A38" w:rsidP="0059011D">
            <w:pPr>
              <w:pStyle w:val="DAVA"/>
              <w:spacing w:before="60" w:after="60"/>
              <w:rPr>
                <w:rFonts w:ascii="Times New Roman" w:hAnsi="Times New Roman"/>
                <w:sz w:val="20"/>
                <w:szCs w:val="20"/>
              </w:rPr>
            </w:pPr>
            <w:r w:rsidRPr="000B521F">
              <w:rPr>
                <w:rFonts w:ascii="Times New Roman" w:hAnsi="Times New Roman"/>
                <w:sz w:val="20"/>
                <w:szCs w:val="20"/>
              </w:rPr>
              <w:t>Priorita 3 Zkvalitnění sociálního prostředí rozvojových území (opatření 3.X Podpora integrace sociálně vyloučených a sociálním vyloučením ohrožených skupin obyvatelstva).</w:t>
            </w:r>
          </w:p>
          <w:p w:rsidR="00485A38" w:rsidRPr="000B521F" w:rsidRDefault="00485A38" w:rsidP="0059011D">
            <w:pPr>
              <w:pStyle w:val="DAVA"/>
              <w:spacing w:before="60" w:after="60"/>
              <w:rPr>
                <w:rFonts w:ascii="Times New Roman" w:hAnsi="Times New Roman"/>
                <w:sz w:val="20"/>
                <w:szCs w:val="20"/>
              </w:rPr>
            </w:pPr>
            <w:r w:rsidRPr="000B521F">
              <w:rPr>
                <w:rFonts w:ascii="Times New Roman" w:hAnsi="Times New Roman"/>
                <w:sz w:val="20"/>
                <w:szCs w:val="20"/>
              </w:rPr>
              <w:t>Priorita 4 Vyvážený rozvoj stabilizovaných území (opatření 4.1 Zajištění odpovídající kapacity infrastruktury veřejných služeb).</w:t>
            </w:r>
          </w:p>
          <w:p w:rsidR="00485A38" w:rsidRPr="000B521F" w:rsidRDefault="00485A38" w:rsidP="0059011D">
            <w:pPr>
              <w:pStyle w:val="DAVA"/>
              <w:spacing w:before="60" w:after="60"/>
              <w:rPr>
                <w:rFonts w:ascii="Times New Roman" w:hAnsi="Times New Roman"/>
                <w:sz w:val="20"/>
                <w:szCs w:val="20"/>
              </w:rPr>
            </w:pPr>
            <w:r w:rsidRPr="000B521F">
              <w:rPr>
                <w:rFonts w:ascii="Times New Roman" w:hAnsi="Times New Roman"/>
                <w:sz w:val="20"/>
                <w:szCs w:val="20"/>
              </w:rPr>
              <w:t>Priorita 5 Oživení periferních území (opatření 5.2 Podpora zvýšení kvality pracovní síly).</w:t>
            </w:r>
          </w:p>
        </w:tc>
      </w:tr>
      <w:tr w:rsidR="00485A38" w:rsidRPr="000B521F" w:rsidTr="00761093">
        <w:tc>
          <w:tcPr>
            <w:tcW w:w="1560" w:type="dxa"/>
            <w:shd w:val="clear" w:color="auto" w:fill="8DB3E2" w:themeFill="text2" w:themeFillTint="66"/>
            <w:vAlign w:val="center"/>
          </w:tcPr>
          <w:p w:rsidR="00485A38" w:rsidRPr="000B521F" w:rsidRDefault="00485A38"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Strategie politiky zaměstnanosti</w:t>
            </w:r>
          </w:p>
        </w:tc>
        <w:tc>
          <w:tcPr>
            <w:tcW w:w="7618" w:type="dxa"/>
            <w:shd w:val="clear" w:color="auto" w:fill="auto"/>
            <w:vAlign w:val="center"/>
          </w:tcPr>
          <w:p w:rsidR="00485A38" w:rsidRPr="000B521F" w:rsidRDefault="00485A38" w:rsidP="0059011D">
            <w:pPr>
              <w:pStyle w:val="DAVA"/>
              <w:spacing w:before="60" w:after="60"/>
              <w:rPr>
                <w:rFonts w:ascii="Times New Roman" w:hAnsi="Times New Roman"/>
                <w:sz w:val="20"/>
                <w:szCs w:val="20"/>
              </w:rPr>
            </w:pPr>
            <w:r w:rsidRPr="000B521F">
              <w:rPr>
                <w:rFonts w:ascii="Times New Roman" w:hAnsi="Times New Roman"/>
                <w:sz w:val="20"/>
                <w:szCs w:val="20"/>
              </w:rPr>
              <w:t>Dokument v přípravě; bude doplněno v další fázi.</w:t>
            </w:r>
          </w:p>
        </w:tc>
      </w:tr>
    </w:tbl>
    <w:p w:rsidR="002005FE" w:rsidRDefault="002005FE" w:rsidP="0059011D">
      <w:pPr>
        <w:pStyle w:val="Tabulka"/>
        <w:spacing w:before="120" w:after="60"/>
        <w:rPr>
          <w:szCs w:val="20"/>
        </w:rPr>
      </w:pPr>
    </w:p>
    <w:p w:rsidR="00485A38" w:rsidRPr="000B521F" w:rsidRDefault="00485A38" w:rsidP="0059011D">
      <w:pPr>
        <w:pStyle w:val="Tabulka"/>
        <w:spacing w:before="120" w:after="60"/>
        <w:rPr>
          <w:szCs w:val="20"/>
        </w:rPr>
      </w:pPr>
      <w:r w:rsidRPr="000B521F">
        <w:rPr>
          <w:szCs w:val="20"/>
        </w:rPr>
        <w:t>Cíle strategie Evropa 2020 a cíle Národního programu reforem</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2268"/>
        <w:gridCol w:w="1842"/>
        <w:gridCol w:w="1731"/>
      </w:tblGrid>
      <w:tr w:rsidR="00485A38" w:rsidRPr="000B521F" w:rsidTr="00761093">
        <w:tc>
          <w:tcPr>
            <w:tcW w:w="3261" w:type="dxa"/>
            <w:shd w:val="clear" w:color="auto" w:fill="8DB3E2" w:themeFill="text2" w:themeFillTint="66"/>
            <w:vAlign w:val="center"/>
          </w:tcPr>
          <w:p w:rsidR="00485A38" w:rsidRPr="000B521F" w:rsidRDefault="00485A38" w:rsidP="0059011D">
            <w:pPr>
              <w:spacing w:after="120" w:line="240" w:lineRule="auto"/>
              <w:rPr>
                <w:rFonts w:ascii="Times New Roman" w:hAnsi="Times New Roman" w:cs="Times New Roman"/>
                <w:b/>
                <w:sz w:val="20"/>
                <w:szCs w:val="20"/>
              </w:rPr>
            </w:pPr>
            <w:r w:rsidRPr="000B521F">
              <w:rPr>
                <w:rFonts w:ascii="Times New Roman" w:hAnsi="Times New Roman" w:cs="Times New Roman"/>
                <w:b/>
                <w:sz w:val="20"/>
                <w:szCs w:val="20"/>
              </w:rPr>
              <w:t xml:space="preserve">Další cíle na národní úrovni </w:t>
            </w:r>
          </w:p>
        </w:tc>
        <w:tc>
          <w:tcPr>
            <w:tcW w:w="2268" w:type="dxa"/>
            <w:shd w:val="clear" w:color="auto" w:fill="8DB3E2" w:themeFill="text2" w:themeFillTint="66"/>
            <w:vAlign w:val="center"/>
          </w:tcPr>
          <w:p w:rsidR="00485A38" w:rsidRPr="000B521F" w:rsidRDefault="00485A38" w:rsidP="0059011D">
            <w:pPr>
              <w:spacing w:after="120" w:line="240" w:lineRule="auto"/>
              <w:jc w:val="center"/>
              <w:rPr>
                <w:rFonts w:ascii="Times New Roman" w:hAnsi="Times New Roman" w:cs="Times New Roman"/>
                <w:b/>
                <w:sz w:val="20"/>
                <w:szCs w:val="20"/>
              </w:rPr>
            </w:pPr>
            <w:r w:rsidRPr="000B521F">
              <w:rPr>
                <w:rFonts w:ascii="Times New Roman" w:hAnsi="Times New Roman" w:cs="Times New Roman"/>
                <w:b/>
                <w:sz w:val="20"/>
                <w:szCs w:val="20"/>
              </w:rPr>
              <w:t>Cíl ČR k 2020</w:t>
            </w:r>
          </w:p>
        </w:tc>
        <w:tc>
          <w:tcPr>
            <w:tcW w:w="1842" w:type="dxa"/>
            <w:tcBorders>
              <w:right w:val="single" w:sz="6" w:space="0" w:color="auto"/>
            </w:tcBorders>
            <w:shd w:val="clear" w:color="auto" w:fill="8DB3E2" w:themeFill="text2" w:themeFillTint="66"/>
            <w:vAlign w:val="center"/>
          </w:tcPr>
          <w:p w:rsidR="00485A38" w:rsidRPr="000B521F" w:rsidRDefault="00485A38" w:rsidP="0059011D">
            <w:pPr>
              <w:spacing w:after="120" w:line="240" w:lineRule="auto"/>
              <w:jc w:val="center"/>
              <w:rPr>
                <w:rFonts w:ascii="Times New Roman" w:hAnsi="Times New Roman" w:cs="Times New Roman"/>
                <w:b/>
                <w:sz w:val="20"/>
                <w:szCs w:val="20"/>
              </w:rPr>
            </w:pPr>
            <w:r w:rsidRPr="000B521F">
              <w:rPr>
                <w:rFonts w:ascii="Times New Roman" w:hAnsi="Times New Roman" w:cs="Times New Roman"/>
                <w:b/>
                <w:sz w:val="20"/>
                <w:szCs w:val="20"/>
              </w:rPr>
              <w:t>Stav ČR k 2010</w:t>
            </w:r>
          </w:p>
        </w:tc>
        <w:tc>
          <w:tcPr>
            <w:tcW w:w="1731" w:type="dxa"/>
            <w:tcBorders>
              <w:left w:val="single" w:sz="6" w:space="0" w:color="auto"/>
            </w:tcBorders>
            <w:shd w:val="clear" w:color="auto" w:fill="8DB3E2" w:themeFill="text2" w:themeFillTint="66"/>
            <w:vAlign w:val="center"/>
          </w:tcPr>
          <w:p w:rsidR="00485A38" w:rsidRPr="000B521F" w:rsidRDefault="00485A38" w:rsidP="0059011D">
            <w:pPr>
              <w:spacing w:after="120" w:line="240" w:lineRule="auto"/>
              <w:jc w:val="center"/>
              <w:rPr>
                <w:rFonts w:ascii="Times New Roman" w:hAnsi="Times New Roman" w:cs="Times New Roman"/>
                <w:b/>
                <w:sz w:val="20"/>
                <w:szCs w:val="20"/>
              </w:rPr>
            </w:pPr>
            <w:r w:rsidRPr="000B521F">
              <w:rPr>
                <w:rFonts w:ascii="Times New Roman" w:hAnsi="Times New Roman" w:cs="Times New Roman"/>
                <w:b/>
                <w:sz w:val="20"/>
                <w:szCs w:val="20"/>
              </w:rPr>
              <w:t>Stav ČR k 2012</w:t>
            </w:r>
          </w:p>
        </w:tc>
      </w:tr>
      <w:tr w:rsidR="00485A38" w:rsidRPr="000B521F" w:rsidTr="00761093">
        <w:tc>
          <w:tcPr>
            <w:tcW w:w="3261" w:type="dxa"/>
            <w:shd w:val="clear" w:color="auto" w:fill="C6D9F1" w:themeFill="text2" w:themeFillTint="33"/>
            <w:vAlign w:val="center"/>
          </w:tcPr>
          <w:p w:rsidR="00485A38" w:rsidRPr="000B521F" w:rsidRDefault="00485A38" w:rsidP="0019742F">
            <w:pPr>
              <w:spacing w:after="120" w:line="240" w:lineRule="auto"/>
              <w:rPr>
                <w:rFonts w:ascii="Times New Roman" w:hAnsi="Times New Roman" w:cs="Times New Roman"/>
                <w:sz w:val="20"/>
                <w:szCs w:val="20"/>
              </w:rPr>
            </w:pPr>
            <w:r w:rsidRPr="000B521F">
              <w:rPr>
                <w:rFonts w:ascii="Times New Roman" w:hAnsi="Times New Roman" w:cs="Times New Roman"/>
                <w:sz w:val="20"/>
                <w:szCs w:val="20"/>
              </w:rPr>
              <w:t>Míra zaměstnanosti žen (20–64 let)</w:t>
            </w:r>
          </w:p>
        </w:tc>
        <w:tc>
          <w:tcPr>
            <w:tcW w:w="2268" w:type="dxa"/>
            <w:shd w:val="clear" w:color="auto" w:fill="FFFFFF"/>
            <w:vAlign w:val="center"/>
          </w:tcPr>
          <w:p w:rsidR="00485A38" w:rsidRPr="000B521F" w:rsidRDefault="00485A38" w:rsidP="0059011D">
            <w:pPr>
              <w:spacing w:after="120" w:line="240" w:lineRule="auto"/>
              <w:jc w:val="center"/>
              <w:rPr>
                <w:rFonts w:ascii="Times New Roman" w:hAnsi="Times New Roman" w:cs="Times New Roman"/>
                <w:sz w:val="20"/>
                <w:szCs w:val="20"/>
              </w:rPr>
            </w:pPr>
            <w:r w:rsidRPr="000B521F">
              <w:rPr>
                <w:rFonts w:ascii="Times New Roman" w:hAnsi="Times New Roman" w:cs="Times New Roman"/>
                <w:sz w:val="20"/>
                <w:szCs w:val="20"/>
              </w:rPr>
              <w:t>65 %</w:t>
            </w:r>
          </w:p>
        </w:tc>
        <w:tc>
          <w:tcPr>
            <w:tcW w:w="1842" w:type="dxa"/>
            <w:tcBorders>
              <w:right w:val="single" w:sz="6" w:space="0" w:color="auto"/>
            </w:tcBorders>
            <w:shd w:val="clear" w:color="auto" w:fill="FFFFFF"/>
            <w:vAlign w:val="center"/>
          </w:tcPr>
          <w:p w:rsidR="00485A38" w:rsidRPr="000B521F" w:rsidRDefault="00485A38" w:rsidP="0059011D">
            <w:pPr>
              <w:spacing w:after="120" w:line="240" w:lineRule="auto"/>
              <w:jc w:val="center"/>
              <w:rPr>
                <w:rFonts w:ascii="Times New Roman" w:hAnsi="Times New Roman" w:cs="Times New Roman"/>
                <w:sz w:val="20"/>
                <w:szCs w:val="20"/>
              </w:rPr>
            </w:pPr>
            <w:r w:rsidRPr="000B521F">
              <w:rPr>
                <w:rFonts w:ascii="Times New Roman" w:hAnsi="Times New Roman" w:cs="Times New Roman"/>
                <w:sz w:val="20"/>
                <w:szCs w:val="20"/>
              </w:rPr>
              <w:t>6</w:t>
            </w:r>
            <w:r w:rsidR="003A406F" w:rsidRPr="000B521F">
              <w:rPr>
                <w:rFonts w:ascii="Times New Roman" w:hAnsi="Times New Roman" w:cs="Times New Roman"/>
                <w:sz w:val="20"/>
                <w:szCs w:val="20"/>
              </w:rPr>
              <w:t>0,9</w:t>
            </w:r>
            <w:r w:rsidRPr="000B521F">
              <w:rPr>
                <w:rFonts w:ascii="Times New Roman" w:hAnsi="Times New Roman" w:cs="Times New Roman"/>
                <w:sz w:val="20"/>
                <w:szCs w:val="20"/>
              </w:rPr>
              <w:t>%</w:t>
            </w:r>
          </w:p>
        </w:tc>
        <w:tc>
          <w:tcPr>
            <w:tcW w:w="1731" w:type="dxa"/>
            <w:tcBorders>
              <w:left w:val="single" w:sz="6" w:space="0" w:color="auto"/>
            </w:tcBorders>
            <w:shd w:val="clear" w:color="auto" w:fill="FFFFFF"/>
            <w:vAlign w:val="center"/>
          </w:tcPr>
          <w:p w:rsidR="00485A38" w:rsidRPr="000B521F" w:rsidRDefault="00485A38" w:rsidP="0059011D">
            <w:pPr>
              <w:spacing w:after="120" w:line="240" w:lineRule="auto"/>
              <w:jc w:val="center"/>
              <w:rPr>
                <w:rFonts w:ascii="Times New Roman" w:hAnsi="Times New Roman" w:cs="Times New Roman"/>
                <w:sz w:val="20"/>
                <w:szCs w:val="20"/>
              </w:rPr>
            </w:pPr>
            <w:r w:rsidRPr="000B521F">
              <w:rPr>
                <w:rFonts w:ascii="Times New Roman" w:hAnsi="Times New Roman" w:cs="Times New Roman"/>
                <w:sz w:val="20"/>
                <w:szCs w:val="20"/>
              </w:rPr>
              <w:t>62,</w:t>
            </w:r>
            <w:r w:rsidR="003A406F" w:rsidRPr="000B521F">
              <w:rPr>
                <w:rFonts w:ascii="Times New Roman" w:hAnsi="Times New Roman" w:cs="Times New Roman"/>
                <w:sz w:val="20"/>
                <w:szCs w:val="20"/>
              </w:rPr>
              <w:t>5</w:t>
            </w:r>
            <w:r w:rsidRPr="000B521F">
              <w:rPr>
                <w:rFonts w:ascii="Times New Roman" w:hAnsi="Times New Roman" w:cs="Times New Roman"/>
                <w:sz w:val="20"/>
                <w:szCs w:val="20"/>
              </w:rPr>
              <w:t xml:space="preserve"> %</w:t>
            </w:r>
          </w:p>
        </w:tc>
      </w:tr>
      <w:tr w:rsidR="00485A38" w:rsidRPr="000B521F" w:rsidTr="00761093">
        <w:tc>
          <w:tcPr>
            <w:tcW w:w="3261" w:type="dxa"/>
            <w:shd w:val="clear" w:color="auto" w:fill="C6D9F1" w:themeFill="text2" w:themeFillTint="33"/>
            <w:vAlign w:val="center"/>
          </w:tcPr>
          <w:p w:rsidR="00485A38" w:rsidRPr="000B521F" w:rsidRDefault="00485A38" w:rsidP="0019742F">
            <w:pPr>
              <w:spacing w:after="120" w:line="240" w:lineRule="auto"/>
              <w:rPr>
                <w:rFonts w:ascii="Times New Roman" w:hAnsi="Times New Roman" w:cs="Times New Roman"/>
                <w:sz w:val="20"/>
                <w:szCs w:val="20"/>
              </w:rPr>
            </w:pPr>
            <w:r w:rsidRPr="000B521F">
              <w:rPr>
                <w:rFonts w:ascii="Times New Roman" w:hAnsi="Times New Roman" w:cs="Times New Roman"/>
                <w:sz w:val="20"/>
                <w:szCs w:val="20"/>
              </w:rPr>
              <w:t>Míra zaměstnanosti starších osob (55</w:t>
            </w:r>
            <w:r w:rsidR="0019742F">
              <w:rPr>
                <w:rFonts w:ascii="Times New Roman" w:hAnsi="Times New Roman" w:cs="Times New Roman"/>
                <w:sz w:val="20"/>
                <w:szCs w:val="20"/>
              </w:rPr>
              <w:t>–</w:t>
            </w:r>
            <w:r w:rsidRPr="000B521F">
              <w:rPr>
                <w:rFonts w:ascii="Times New Roman" w:hAnsi="Times New Roman" w:cs="Times New Roman"/>
                <w:sz w:val="20"/>
                <w:szCs w:val="20"/>
              </w:rPr>
              <w:t>64 let)</w:t>
            </w:r>
          </w:p>
        </w:tc>
        <w:tc>
          <w:tcPr>
            <w:tcW w:w="2268" w:type="dxa"/>
            <w:shd w:val="clear" w:color="auto" w:fill="FFFFFF"/>
            <w:vAlign w:val="center"/>
          </w:tcPr>
          <w:p w:rsidR="00485A38" w:rsidRPr="000B521F" w:rsidRDefault="00485A38" w:rsidP="0059011D">
            <w:pPr>
              <w:spacing w:after="120" w:line="240" w:lineRule="auto"/>
              <w:jc w:val="center"/>
              <w:rPr>
                <w:rFonts w:ascii="Times New Roman" w:hAnsi="Times New Roman" w:cs="Times New Roman"/>
                <w:sz w:val="20"/>
                <w:szCs w:val="20"/>
              </w:rPr>
            </w:pPr>
            <w:r w:rsidRPr="000B521F">
              <w:rPr>
                <w:rFonts w:ascii="Times New Roman" w:hAnsi="Times New Roman" w:cs="Times New Roman"/>
                <w:sz w:val="20"/>
                <w:szCs w:val="20"/>
              </w:rPr>
              <w:t>55 %</w:t>
            </w:r>
          </w:p>
        </w:tc>
        <w:tc>
          <w:tcPr>
            <w:tcW w:w="1842" w:type="dxa"/>
            <w:tcBorders>
              <w:right w:val="single" w:sz="6" w:space="0" w:color="auto"/>
            </w:tcBorders>
            <w:shd w:val="clear" w:color="auto" w:fill="FFFFFF"/>
            <w:vAlign w:val="center"/>
          </w:tcPr>
          <w:p w:rsidR="00485A38" w:rsidRPr="000B521F" w:rsidRDefault="00485A38" w:rsidP="0059011D">
            <w:pPr>
              <w:spacing w:after="120" w:line="240" w:lineRule="auto"/>
              <w:jc w:val="center"/>
              <w:rPr>
                <w:rFonts w:ascii="Times New Roman" w:hAnsi="Times New Roman" w:cs="Times New Roman"/>
                <w:sz w:val="20"/>
                <w:szCs w:val="20"/>
              </w:rPr>
            </w:pPr>
            <w:r w:rsidRPr="000B521F">
              <w:rPr>
                <w:rFonts w:ascii="Times New Roman" w:hAnsi="Times New Roman" w:cs="Times New Roman"/>
                <w:sz w:val="20"/>
                <w:szCs w:val="20"/>
              </w:rPr>
              <w:t>46,5%</w:t>
            </w:r>
          </w:p>
        </w:tc>
        <w:tc>
          <w:tcPr>
            <w:tcW w:w="1731" w:type="dxa"/>
            <w:tcBorders>
              <w:left w:val="single" w:sz="6" w:space="0" w:color="auto"/>
            </w:tcBorders>
            <w:shd w:val="clear" w:color="auto" w:fill="FFFFFF"/>
            <w:vAlign w:val="center"/>
          </w:tcPr>
          <w:p w:rsidR="00485A38" w:rsidRPr="000B521F" w:rsidRDefault="003A406F" w:rsidP="0059011D">
            <w:pPr>
              <w:spacing w:after="120" w:line="240" w:lineRule="auto"/>
              <w:jc w:val="center"/>
              <w:rPr>
                <w:rFonts w:ascii="Times New Roman" w:hAnsi="Times New Roman" w:cs="Times New Roman"/>
                <w:sz w:val="20"/>
                <w:szCs w:val="20"/>
              </w:rPr>
            </w:pPr>
            <w:r w:rsidRPr="000B521F">
              <w:rPr>
                <w:rFonts w:ascii="Times New Roman" w:hAnsi="Times New Roman" w:cs="Times New Roman"/>
                <w:sz w:val="20"/>
                <w:szCs w:val="20"/>
              </w:rPr>
              <w:t>49,3</w:t>
            </w:r>
            <w:r w:rsidR="00485A38" w:rsidRPr="000B521F">
              <w:rPr>
                <w:rFonts w:ascii="Times New Roman" w:hAnsi="Times New Roman" w:cs="Times New Roman"/>
                <w:sz w:val="20"/>
                <w:szCs w:val="20"/>
              </w:rPr>
              <w:t xml:space="preserve"> %</w:t>
            </w:r>
          </w:p>
        </w:tc>
      </w:tr>
      <w:tr w:rsidR="00485A38" w:rsidRPr="000B521F" w:rsidTr="00761093">
        <w:tc>
          <w:tcPr>
            <w:tcW w:w="3261" w:type="dxa"/>
            <w:shd w:val="clear" w:color="auto" w:fill="C6D9F1" w:themeFill="text2" w:themeFillTint="33"/>
            <w:vAlign w:val="center"/>
          </w:tcPr>
          <w:p w:rsidR="00485A38" w:rsidRPr="000B521F" w:rsidRDefault="00485A38" w:rsidP="0019742F">
            <w:pPr>
              <w:spacing w:after="120" w:line="240" w:lineRule="auto"/>
              <w:rPr>
                <w:rFonts w:ascii="Times New Roman" w:hAnsi="Times New Roman" w:cs="Times New Roman"/>
                <w:sz w:val="20"/>
                <w:szCs w:val="20"/>
              </w:rPr>
            </w:pPr>
            <w:r w:rsidRPr="000B521F">
              <w:rPr>
                <w:rFonts w:ascii="Times New Roman" w:hAnsi="Times New Roman" w:cs="Times New Roman"/>
                <w:sz w:val="20"/>
                <w:szCs w:val="20"/>
              </w:rPr>
              <w:lastRenderedPageBreak/>
              <w:t>Míra n</w:t>
            </w:r>
            <w:r w:rsidR="0019742F">
              <w:rPr>
                <w:rFonts w:ascii="Times New Roman" w:hAnsi="Times New Roman" w:cs="Times New Roman"/>
                <w:sz w:val="20"/>
                <w:szCs w:val="20"/>
              </w:rPr>
              <w:t>ezaměstnanosti mladých osob (15–</w:t>
            </w:r>
            <w:r w:rsidRPr="000B521F">
              <w:rPr>
                <w:rFonts w:ascii="Times New Roman" w:hAnsi="Times New Roman" w:cs="Times New Roman"/>
                <w:sz w:val="20"/>
                <w:szCs w:val="20"/>
              </w:rPr>
              <w:t>24 let)</w:t>
            </w:r>
          </w:p>
        </w:tc>
        <w:tc>
          <w:tcPr>
            <w:tcW w:w="2268" w:type="dxa"/>
            <w:shd w:val="clear" w:color="auto" w:fill="FFFFFF"/>
            <w:vAlign w:val="center"/>
          </w:tcPr>
          <w:p w:rsidR="00485A38" w:rsidRPr="000B521F" w:rsidRDefault="00485A38" w:rsidP="0059011D">
            <w:pPr>
              <w:spacing w:after="120" w:line="240" w:lineRule="auto"/>
              <w:jc w:val="center"/>
              <w:rPr>
                <w:rFonts w:ascii="Times New Roman" w:hAnsi="Times New Roman" w:cs="Times New Roman"/>
                <w:sz w:val="20"/>
                <w:szCs w:val="20"/>
              </w:rPr>
            </w:pPr>
            <w:r w:rsidRPr="000B521F">
              <w:rPr>
                <w:rFonts w:ascii="Times New Roman" w:hAnsi="Times New Roman" w:cs="Times New Roman"/>
                <w:sz w:val="20"/>
                <w:szCs w:val="20"/>
              </w:rPr>
              <w:t>Snížení o třetinu oproti roku 2010 (tj. na 12,3 %)</w:t>
            </w:r>
          </w:p>
        </w:tc>
        <w:tc>
          <w:tcPr>
            <w:tcW w:w="1842" w:type="dxa"/>
            <w:tcBorders>
              <w:right w:val="single" w:sz="6" w:space="0" w:color="auto"/>
            </w:tcBorders>
            <w:shd w:val="clear" w:color="auto" w:fill="FFFFFF"/>
            <w:vAlign w:val="center"/>
          </w:tcPr>
          <w:p w:rsidR="00485A38" w:rsidRPr="000B521F" w:rsidRDefault="00485A38" w:rsidP="0059011D">
            <w:pPr>
              <w:spacing w:after="120" w:line="240" w:lineRule="auto"/>
              <w:jc w:val="center"/>
              <w:rPr>
                <w:rFonts w:ascii="Times New Roman" w:hAnsi="Times New Roman" w:cs="Times New Roman"/>
                <w:sz w:val="20"/>
                <w:szCs w:val="20"/>
              </w:rPr>
            </w:pPr>
            <w:r w:rsidRPr="000B521F">
              <w:rPr>
                <w:rFonts w:ascii="Times New Roman" w:hAnsi="Times New Roman" w:cs="Times New Roman"/>
                <w:sz w:val="20"/>
                <w:szCs w:val="20"/>
              </w:rPr>
              <w:t>18,4%</w:t>
            </w:r>
          </w:p>
        </w:tc>
        <w:tc>
          <w:tcPr>
            <w:tcW w:w="1731" w:type="dxa"/>
            <w:tcBorders>
              <w:left w:val="single" w:sz="6" w:space="0" w:color="auto"/>
            </w:tcBorders>
            <w:shd w:val="clear" w:color="auto" w:fill="FFFFFF"/>
            <w:vAlign w:val="center"/>
          </w:tcPr>
          <w:p w:rsidR="00485A38" w:rsidRPr="000B521F" w:rsidRDefault="00485A38" w:rsidP="0059011D">
            <w:pPr>
              <w:spacing w:after="120" w:line="240" w:lineRule="auto"/>
              <w:jc w:val="center"/>
              <w:rPr>
                <w:rFonts w:ascii="Times New Roman" w:hAnsi="Times New Roman" w:cs="Times New Roman"/>
                <w:sz w:val="20"/>
                <w:szCs w:val="20"/>
              </w:rPr>
            </w:pPr>
            <w:r w:rsidRPr="000B521F">
              <w:rPr>
                <w:rFonts w:ascii="Times New Roman" w:hAnsi="Times New Roman" w:cs="Times New Roman"/>
                <w:sz w:val="20"/>
                <w:szCs w:val="20"/>
              </w:rPr>
              <w:t>19,5 %</w:t>
            </w:r>
          </w:p>
        </w:tc>
      </w:tr>
      <w:tr w:rsidR="00485A38" w:rsidRPr="000B521F" w:rsidTr="00761093">
        <w:tc>
          <w:tcPr>
            <w:tcW w:w="3261" w:type="dxa"/>
            <w:shd w:val="clear" w:color="auto" w:fill="C6D9F1" w:themeFill="text2" w:themeFillTint="33"/>
            <w:vAlign w:val="center"/>
          </w:tcPr>
          <w:p w:rsidR="00485A38" w:rsidRPr="000B521F" w:rsidRDefault="00485A38" w:rsidP="0019742F">
            <w:pPr>
              <w:spacing w:after="120" w:line="240" w:lineRule="auto"/>
              <w:rPr>
                <w:rFonts w:ascii="Times New Roman" w:hAnsi="Times New Roman" w:cs="Times New Roman"/>
                <w:sz w:val="20"/>
                <w:szCs w:val="20"/>
              </w:rPr>
            </w:pPr>
            <w:r w:rsidRPr="000B521F">
              <w:rPr>
                <w:rFonts w:ascii="Times New Roman" w:hAnsi="Times New Roman" w:cs="Times New Roman"/>
                <w:sz w:val="20"/>
                <w:szCs w:val="20"/>
              </w:rPr>
              <w:t>Míra nezaměstnanosti osob s nízkou kvalifikací (stupeň ISCED 0</w:t>
            </w:r>
            <w:r w:rsidR="0019742F">
              <w:rPr>
                <w:rFonts w:ascii="Times New Roman" w:hAnsi="Times New Roman" w:cs="Times New Roman"/>
                <w:sz w:val="20"/>
                <w:szCs w:val="20"/>
              </w:rPr>
              <w:t>–</w:t>
            </w:r>
            <w:r w:rsidRPr="000B521F">
              <w:rPr>
                <w:rFonts w:ascii="Times New Roman" w:hAnsi="Times New Roman" w:cs="Times New Roman"/>
                <w:sz w:val="20"/>
                <w:szCs w:val="20"/>
              </w:rPr>
              <w:t xml:space="preserve">2) </w:t>
            </w:r>
          </w:p>
        </w:tc>
        <w:tc>
          <w:tcPr>
            <w:tcW w:w="2268" w:type="dxa"/>
            <w:shd w:val="clear" w:color="auto" w:fill="FFFFFF"/>
            <w:vAlign w:val="center"/>
          </w:tcPr>
          <w:p w:rsidR="00485A38" w:rsidRPr="000B521F" w:rsidRDefault="00485A38" w:rsidP="0059011D">
            <w:pPr>
              <w:spacing w:after="120" w:line="240" w:lineRule="auto"/>
              <w:jc w:val="center"/>
              <w:rPr>
                <w:rFonts w:ascii="Times New Roman" w:hAnsi="Times New Roman" w:cs="Times New Roman"/>
                <w:sz w:val="20"/>
                <w:szCs w:val="20"/>
              </w:rPr>
            </w:pPr>
            <w:r w:rsidRPr="000B521F">
              <w:rPr>
                <w:rFonts w:ascii="Times New Roman" w:hAnsi="Times New Roman" w:cs="Times New Roman"/>
                <w:sz w:val="20"/>
                <w:szCs w:val="20"/>
              </w:rPr>
              <w:t>Snížení o čtvrtinu oproti roku 2010 (tj. na 18,75 %).</w:t>
            </w:r>
          </w:p>
        </w:tc>
        <w:tc>
          <w:tcPr>
            <w:tcW w:w="1842" w:type="dxa"/>
            <w:tcBorders>
              <w:right w:val="single" w:sz="6" w:space="0" w:color="auto"/>
            </w:tcBorders>
            <w:shd w:val="clear" w:color="auto" w:fill="FFFFFF"/>
            <w:vAlign w:val="center"/>
          </w:tcPr>
          <w:p w:rsidR="00485A38" w:rsidRPr="000B521F" w:rsidRDefault="00485A38" w:rsidP="0059011D">
            <w:pPr>
              <w:spacing w:after="120" w:line="240" w:lineRule="auto"/>
              <w:jc w:val="center"/>
              <w:rPr>
                <w:rFonts w:ascii="Times New Roman" w:hAnsi="Times New Roman" w:cs="Times New Roman"/>
                <w:sz w:val="20"/>
                <w:szCs w:val="20"/>
              </w:rPr>
            </w:pPr>
            <w:r w:rsidRPr="000B521F">
              <w:rPr>
                <w:rFonts w:ascii="Times New Roman" w:hAnsi="Times New Roman" w:cs="Times New Roman"/>
                <w:sz w:val="20"/>
                <w:szCs w:val="20"/>
              </w:rPr>
              <w:t>25 %</w:t>
            </w:r>
          </w:p>
        </w:tc>
        <w:tc>
          <w:tcPr>
            <w:tcW w:w="1731" w:type="dxa"/>
            <w:tcBorders>
              <w:left w:val="single" w:sz="6" w:space="0" w:color="auto"/>
            </w:tcBorders>
            <w:shd w:val="clear" w:color="auto" w:fill="FFFFFF"/>
            <w:vAlign w:val="center"/>
          </w:tcPr>
          <w:p w:rsidR="00485A38" w:rsidRPr="000B521F" w:rsidRDefault="00485A38" w:rsidP="0059011D">
            <w:pPr>
              <w:spacing w:after="120" w:line="240" w:lineRule="auto"/>
              <w:jc w:val="center"/>
              <w:rPr>
                <w:rFonts w:ascii="Times New Roman" w:hAnsi="Times New Roman" w:cs="Times New Roman"/>
                <w:sz w:val="20"/>
                <w:szCs w:val="20"/>
              </w:rPr>
            </w:pPr>
            <w:r w:rsidRPr="000B521F">
              <w:rPr>
                <w:rFonts w:ascii="Times New Roman" w:hAnsi="Times New Roman" w:cs="Times New Roman"/>
                <w:sz w:val="20"/>
                <w:szCs w:val="20"/>
              </w:rPr>
              <w:t>28,3 %</w:t>
            </w:r>
          </w:p>
        </w:tc>
      </w:tr>
      <w:tr w:rsidR="00485A38" w:rsidRPr="000B521F" w:rsidTr="00761093">
        <w:trPr>
          <w:trHeight w:val="77"/>
        </w:trPr>
        <w:tc>
          <w:tcPr>
            <w:tcW w:w="3261" w:type="dxa"/>
            <w:shd w:val="clear" w:color="auto" w:fill="C6D9F1" w:themeFill="text2" w:themeFillTint="33"/>
            <w:vAlign w:val="center"/>
          </w:tcPr>
          <w:p w:rsidR="00485A38" w:rsidRPr="000B521F" w:rsidRDefault="00485A38" w:rsidP="0059011D">
            <w:pPr>
              <w:spacing w:after="120" w:line="240" w:lineRule="auto"/>
              <w:rPr>
                <w:rFonts w:ascii="Times New Roman" w:hAnsi="Times New Roman" w:cs="Times New Roman"/>
                <w:sz w:val="20"/>
                <w:szCs w:val="20"/>
              </w:rPr>
            </w:pPr>
            <w:r w:rsidRPr="000B521F">
              <w:rPr>
                <w:rFonts w:ascii="Times New Roman" w:hAnsi="Times New Roman" w:cs="Times New Roman"/>
                <w:sz w:val="20"/>
                <w:szCs w:val="20"/>
              </w:rPr>
              <w:t>Míra zaměstnanosti celkem</w:t>
            </w:r>
          </w:p>
        </w:tc>
        <w:tc>
          <w:tcPr>
            <w:tcW w:w="2268" w:type="dxa"/>
            <w:shd w:val="clear" w:color="auto" w:fill="FFFFFF"/>
            <w:vAlign w:val="center"/>
          </w:tcPr>
          <w:p w:rsidR="00485A38" w:rsidRPr="000B521F" w:rsidRDefault="00485A38" w:rsidP="0059011D">
            <w:pPr>
              <w:spacing w:after="120" w:line="240" w:lineRule="auto"/>
              <w:jc w:val="center"/>
              <w:rPr>
                <w:rFonts w:ascii="Times New Roman" w:hAnsi="Times New Roman" w:cs="Times New Roman"/>
                <w:sz w:val="20"/>
                <w:szCs w:val="20"/>
                <w:vertAlign w:val="subscript"/>
              </w:rPr>
            </w:pPr>
            <w:r w:rsidRPr="000B521F">
              <w:rPr>
                <w:rFonts w:ascii="Times New Roman" w:hAnsi="Times New Roman" w:cs="Times New Roman"/>
                <w:sz w:val="20"/>
                <w:szCs w:val="20"/>
              </w:rPr>
              <w:t>75%</w:t>
            </w:r>
          </w:p>
        </w:tc>
        <w:tc>
          <w:tcPr>
            <w:tcW w:w="1842" w:type="dxa"/>
            <w:tcBorders>
              <w:right w:val="single" w:sz="6" w:space="0" w:color="auto"/>
            </w:tcBorders>
            <w:shd w:val="clear" w:color="auto" w:fill="FFFFFF"/>
            <w:vAlign w:val="center"/>
          </w:tcPr>
          <w:p w:rsidR="00485A38" w:rsidRPr="000B521F" w:rsidRDefault="00485A38" w:rsidP="0059011D">
            <w:pPr>
              <w:spacing w:after="120" w:line="240" w:lineRule="auto"/>
              <w:jc w:val="center"/>
              <w:rPr>
                <w:rFonts w:ascii="Times New Roman" w:hAnsi="Times New Roman" w:cs="Times New Roman"/>
                <w:sz w:val="20"/>
                <w:szCs w:val="20"/>
              </w:rPr>
            </w:pPr>
            <w:r w:rsidRPr="000B521F">
              <w:rPr>
                <w:rFonts w:ascii="Times New Roman" w:hAnsi="Times New Roman" w:cs="Times New Roman"/>
                <w:sz w:val="20"/>
                <w:szCs w:val="20"/>
              </w:rPr>
              <w:t>70,4%</w:t>
            </w:r>
          </w:p>
        </w:tc>
        <w:tc>
          <w:tcPr>
            <w:tcW w:w="1731" w:type="dxa"/>
            <w:tcBorders>
              <w:left w:val="single" w:sz="6" w:space="0" w:color="auto"/>
            </w:tcBorders>
            <w:shd w:val="clear" w:color="auto" w:fill="FFFFFF"/>
            <w:vAlign w:val="center"/>
          </w:tcPr>
          <w:p w:rsidR="00485A38" w:rsidRPr="000B521F" w:rsidRDefault="00485A38" w:rsidP="0059011D">
            <w:pPr>
              <w:spacing w:after="120" w:line="240" w:lineRule="auto"/>
              <w:jc w:val="center"/>
              <w:rPr>
                <w:rFonts w:ascii="Times New Roman" w:hAnsi="Times New Roman" w:cs="Times New Roman"/>
                <w:sz w:val="20"/>
                <w:szCs w:val="20"/>
              </w:rPr>
            </w:pPr>
            <w:r w:rsidRPr="000B521F">
              <w:rPr>
                <w:rFonts w:ascii="Times New Roman" w:hAnsi="Times New Roman" w:cs="Times New Roman"/>
                <w:sz w:val="20"/>
                <w:szCs w:val="20"/>
              </w:rPr>
              <w:t>7</w:t>
            </w:r>
            <w:r w:rsidR="00E52D9A" w:rsidRPr="000B521F">
              <w:rPr>
                <w:rFonts w:ascii="Times New Roman" w:hAnsi="Times New Roman" w:cs="Times New Roman"/>
                <w:sz w:val="20"/>
                <w:szCs w:val="20"/>
              </w:rPr>
              <w:t>1,5</w:t>
            </w:r>
            <w:r w:rsidRPr="000B521F">
              <w:rPr>
                <w:rFonts w:ascii="Times New Roman" w:hAnsi="Times New Roman" w:cs="Times New Roman"/>
                <w:sz w:val="20"/>
                <w:szCs w:val="20"/>
              </w:rPr>
              <w:t>%</w:t>
            </w:r>
          </w:p>
        </w:tc>
      </w:tr>
    </w:tbl>
    <w:p w:rsidR="00DC5011" w:rsidRPr="000B521F" w:rsidRDefault="00DC5011" w:rsidP="0059011D">
      <w:pPr>
        <w:spacing w:after="120" w:line="240" w:lineRule="auto"/>
        <w:rPr>
          <w:rFonts w:ascii="Times New Roman" w:hAnsi="Times New Roman" w:cs="Times New Roman"/>
          <w:b/>
          <w:sz w:val="24"/>
          <w:szCs w:val="24"/>
        </w:rPr>
      </w:pPr>
    </w:p>
    <w:p w:rsidR="008206A4" w:rsidRPr="000B521F" w:rsidRDefault="00DC5011" w:rsidP="0059011D">
      <w:pPr>
        <w:pStyle w:val="Nadpis4"/>
        <w:numPr>
          <w:ilvl w:val="3"/>
          <w:numId w:val="14"/>
        </w:numPr>
        <w:spacing w:before="120" w:after="120"/>
        <w:rPr>
          <w:rFonts w:ascii="Times New Roman" w:hAnsi="Times New Roman" w:cs="Times New Roman"/>
          <w:sz w:val="24"/>
          <w:szCs w:val="24"/>
        </w:rPr>
      </w:pPr>
      <w:bookmarkStart w:id="24" w:name="_Toc245272144"/>
      <w:bookmarkStart w:id="25" w:name="_Toc374702857"/>
      <w:r w:rsidRPr="000B521F">
        <w:rPr>
          <w:rFonts w:ascii="Times New Roman" w:hAnsi="Times New Roman" w:cs="Times New Roman"/>
          <w:sz w:val="24"/>
          <w:szCs w:val="24"/>
        </w:rPr>
        <w:t>Vzdělávání</w:t>
      </w:r>
      <w:bookmarkEnd w:id="24"/>
      <w:bookmarkEnd w:id="25"/>
    </w:p>
    <w:p w:rsidR="00DC5011" w:rsidRPr="000B521F" w:rsidRDefault="00DC5011" w:rsidP="0059011D">
      <w:pPr>
        <w:spacing w:after="120" w:line="240" w:lineRule="auto"/>
        <w:rPr>
          <w:rFonts w:ascii="Times New Roman" w:hAnsi="Times New Roman" w:cs="Times New Roman"/>
          <w:b/>
          <w:sz w:val="24"/>
          <w:szCs w:val="24"/>
        </w:rPr>
      </w:pPr>
      <w:r w:rsidRPr="000B521F">
        <w:rPr>
          <w:rFonts w:ascii="Times New Roman" w:hAnsi="Times New Roman" w:cs="Times New Roman"/>
          <w:b/>
          <w:sz w:val="24"/>
          <w:szCs w:val="24"/>
        </w:rPr>
        <w:t>Východiska a charakteristika</w:t>
      </w:r>
    </w:p>
    <w:p w:rsidR="00DC5011" w:rsidRPr="000B521F" w:rsidRDefault="00DC5011"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Kvalita lidských zdrojů a jejich dostupnost se stávají klíčovým faktorem úspěšnosti a kvality života jednotlivých zemí. Kvalifikovaná pracovní síla je zdrojem konkurenční výhody firem a přitahuje investice firem nadnárodních, zároveň existují přesvědčivé důkazy o tom, že vzdělání zvyšuje občanskou angažovanost, životní spokojenost a zdraví.</w:t>
      </w:r>
      <w:r w:rsidRPr="000B521F">
        <w:rPr>
          <w:rStyle w:val="Znakapoznpodarou"/>
          <w:rFonts w:ascii="Times New Roman" w:hAnsi="Times New Roman" w:cs="Times New Roman"/>
          <w:sz w:val="24"/>
          <w:szCs w:val="24"/>
        </w:rPr>
        <w:footnoteReference w:id="17"/>
      </w:r>
      <w:r w:rsidRPr="000B521F">
        <w:rPr>
          <w:rFonts w:ascii="Times New Roman" w:hAnsi="Times New Roman" w:cs="Times New Roman"/>
          <w:sz w:val="24"/>
          <w:szCs w:val="24"/>
        </w:rPr>
        <w:t xml:space="preserve"> Společenský a ekonomický rozvoj ČR bude proto ve stále větší míře podmíněn vzdělaností a tedy kvalitou vzdělávacího systému. </w:t>
      </w:r>
    </w:p>
    <w:p w:rsidR="00DC5011" w:rsidRPr="000B521F" w:rsidRDefault="00DC5011"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Vzdělávací výsledky českých žáků se však dlouhodobě zhoršují. </w:t>
      </w:r>
      <w:r w:rsidRPr="000B521F">
        <w:rPr>
          <w:rFonts w:ascii="Times New Roman" w:hAnsi="Times New Roman" w:cs="Times New Roman"/>
          <w:b/>
          <w:sz w:val="24"/>
          <w:szCs w:val="24"/>
        </w:rPr>
        <w:t>Nízká kvalita počátečního vzdělávání</w:t>
      </w:r>
      <w:r w:rsidRPr="000B521F">
        <w:rPr>
          <w:rFonts w:ascii="Times New Roman" w:hAnsi="Times New Roman" w:cs="Times New Roman"/>
          <w:sz w:val="24"/>
          <w:szCs w:val="24"/>
        </w:rPr>
        <w:t xml:space="preserve"> podkopává budoucí ekonomickou konkurenceschopnost ČR. Má-li země uspět v mezinárodní konkurenci, je třeba tento trend obrátit a zajistit schopnost absolventů flexibilně reagovat na změny, iniciovat a zavádět inovace a uplatnit se na trhu práce.</w:t>
      </w:r>
      <w:r w:rsidRPr="000B521F">
        <w:rPr>
          <w:rStyle w:val="Znakapoznpodarou"/>
          <w:rFonts w:ascii="Times New Roman" w:hAnsi="Times New Roman" w:cs="Times New Roman"/>
          <w:sz w:val="24"/>
          <w:szCs w:val="24"/>
        </w:rPr>
        <w:footnoteReference w:id="18"/>
      </w:r>
    </w:p>
    <w:p w:rsidR="00DC5011" w:rsidRPr="000B521F" w:rsidRDefault="00DC5011"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Problém s kvalitou má ČR i v oblasti VŠ, kde byl v posledních letech zaznamenán vysoký nárůst počtu absolventů. Ve srovnání s EU-27 je sice stále podíl lidí s VŠ vzděláním nižší</w:t>
      </w:r>
      <w:r w:rsidR="00686C17" w:rsidRPr="000B521F">
        <w:rPr>
          <w:rFonts w:ascii="Times New Roman" w:hAnsi="Times New Roman" w:cs="Times New Roman"/>
          <w:sz w:val="24"/>
          <w:szCs w:val="24"/>
        </w:rPr>
        <w:t xml:space="preserve"> </w:t>
      </w:r>
      <w:r w:rsidRPr="000B521F">
        <w:rPr>
          <w:rFonts w:ascii="Times New Roman" w:hAnsi="Times New Roman" w:cs="Times New Roman"/>
          <w:sz w:val="24"/>
          <w:szCs w:val="24"/>
        </w:rPr>
        <w:t>(23,8 % opr</w:t>
      </w:r>
      <w:r w:rsidR="0019742F">
        <w:rPr>
          <w:rFonts w:ascii="Times New Roman" w:hAnsi="Times New Roman" w:cs="Times New Roman"/>
          <w:sz w:val="24"/>
          <w:szCs w:val="24"/>
        </w:rPr>
        <w:t>oti 34,6 % ve věkové skupině 30</w:t>
      </w:r>
      <w:r w:rsidRPr="000B521F">
        <w:rPr>
          <w:rFonts w:ascii="Times New Roman" w:hAnsi="Times New Roman" w:cs="Times New Roman"/>
          <w:sz w:val="24"/>
          <w:szCs w:val="24"/>
        </w:rPr>
        <w:t>–34 let)</w:t>
      </w:r>
      <w:r w:rsidRPr="000B521F">
        <w:rPr>
          <w:rStyle w:val="Znakapoznpodarou"/>
          <w:rFonts w:ascii="Times New Roman" w:hAnsi="Times New Roman" w:cs="Times New Roman"/>
          <w:sz w:val="24"/>
          <w:szCs w:val="24"/>
        </w:rPr>
        <w:footnoteReference w:id="19"/>
      </w:r>
      <w:r w:rsidRPr="000B521F">
        <w:rPr>
          <w:rFonts w:ascii="Times New Roman" w:hAnsi="Times New Roman" w:cs="Times New Roman"/>
          <w:sz w:val="24"/>
          <w:szCs w:val="24"/>
        </w:rPr>
        <w:t>, v současné době se však na vysoké školy zapisují téměř tři čtvrtiny dané věkové kohorty.</w:t>
      </w:r>
      <w:r w:rsidR="00686C17" w:rsidRPr="000B521F">
        <w:rPr>
          <w:rFonts w:ascii="Times New Roman" w:hAnsi="Times New Roman" w:cs="Times New Roman"/>
          <w:sz w:val="24"/>
          <w:szCs w:val="24"/>
        </w:rPr>
        <w:t xml:space="preserve"> </w:t>
      </w:r>
      <w:r w:rsidRPr="000B521F">
        <w:rPr>
          <w:rFonts w:ascii="Times New Roman" w:hAnsi="Times New Roman" w:cs="Times New Roman"/>
          <w:sz w:val="24"/>
          <w:szCs w:val="24"/>
        </w:rPr>
        <w:t>Masifikace VŠ ovšem nebyla doprovázena potřebným tlakem na zvýšení či udržení kvality VŠ vzdělávání ani na jeho diferenciaci.</w:t>
      </w:r>
      <w:r w:rsidRPr="000B521F">
        <w:rPr>
          <w:rFonts w:ascii="Times New Roman" w:hAnsi="Times New Roman" w:cs="Times New Roman"/>
          <w:b/>
          <w:sz w:val="24"/>
          <w:szCs w:val="24"/>
        </w:rPr>
        <w:t>Vysokoškolské vzdělávání tak nedosahuje svého potenciálu pro konkurenceschopnost země</w:t>
      </w:r>
      <w:r w:rsidRPr="000B521F">
        <w:rPr>
          <w:rFonts w:ascii="Times New Roman" w:hAnsi="Times New Roman" w:cs="Times New Roman"/>
          <w:sz w:val="24"/>
          <w:szCs w:val="24"/>
        </w:rPr>
        <w:t>, mohlo by se však spolu se systémem VaV stát motorem ekonomického a společenského růstu tak, jako je tomu u vyspělých zemí.</w:t>
      </w:r>
    </w:p>
    <w:p w:rsidR="00DC5011" w:rsidRPr="000B521F" w:rsidRDefault="00DC5011"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Růst založený na lidském kapitálu a zvýšení účasti na trhu práce předpokládá nejen kvalitní vzdělávání odpovídající potřebám trhu práce, ale i</w:t>
      </w:r>
      <w:r w:rsidR="00686C17" w:rsidRPr="000B521F">
        <w:rPr>
          <w:rFonts w:ascii="Times New Roman" w:hAnsi="Times New Roman" w:cs="Times New Roman"/>
          <w:sz w:val="24"/>
          <w:szCs w:val="24"/>
        </w:rPr>
        <w:t xml:space="preserve"> </w:t>
      </w:r>
      <w:r w:rsidRPr="000B521F">
        <w:rPr>
          <w:rFonts w:ascii="Times New Roman" w:hAnsi="Times New Roman" w:cs="Times New Roman"/>
          <w:b/>
          <w:sz w:val="24"/>
          <w:szCs w:val="24"/>
        </w:rPr>
        <w:t>rovný přístup</w:t>
      </w:r>
      <w:r w:rsidRPr="000B521F">
        <w:rPr>
          <w:rFonts w:ascii="Times New Roman" w:hAnsi="Times New Roman" w:cs="Times New Roman"/>
          <w:sz w:val="24"/>
          <w:szCs w:val="24"/>
        </w:rPr>
        <w:t xml:space="preserve"> k tomuto vzdělávání. Ve srovnání EU-27 je sice velmi příznivá pozice ČR v hodnotách míry předčasného ukončování školní docházky, která dosahuje méně než poloviční úrovně oproti EU-27 (5,5 oproti 13,5)</w:t>
      </w:r>
      <w:r w:rsidRPr="000B521F">
        <w:rPr>
          <w:rStyle w:val="Znakapoznpodarou"/>
          <w:rFonts w:ascii="Times New Roman" w:hAnsi="Times New Roman" w:cs="Times New Roman"/>
          <w:sz w:val="24"/>
          <w:szCs w:val="24"/>
        </w:rPr>
        <w:footnoteReference w:id="20"/>
      </w:r>
      <w:r w:rsidRPr="000B521F">
        <w:rPr>
          <w:rFonts w:ascii="Times New Roman" w:hAnsi="Times New Roman" w:cs="Times New Roman"/>
          <w:sz w:val="24"/>
          <w:szCs w:val="24"/>
        </w:rPr>
        <w:t>. Existují však ohrožené skupiny, které jsou znevýhodněné v přístupu ke kvalitnímu vzdělávání. ČR má v mezinárodním srovnání relativně silnou závislost výsledků vzdělání na rodinném zázemí a takto závislost se dále posiluje.</w:t>
      </w:r>
      <w:r w:rsidRPr="000B521F">
        <w:rPr>
          <w:rStyle w:val="Znakapoznpodarou"/>
          <w:rFonts w:ascii="Times New Roman" w:hAnsi="Times New Roman" w:cs="Times New Roman"/>
          <w:sz w:val="24"/>
          <w:szCs w:val="24"/>
        </w:rPr>
        <w:footnoteReference w:id="21"/>
      </w:r>
      <w:r w:rsidR="00686C17" w:rsidRPr="000B521F">
        <w:rPr>
          <w:rFonts w:ascii="Times New Roman" w:hAnsi="Times New Roman" w:cs="Times New Roman"/>
          <w:sz w:val="24"/>
          <w:szCs w:val="24"/>
        </w:rPr>
        <w:t xml:space="preserve"> </w:t>
      </w:r>
      <w:r w:rsidRPr="000B521F">
        <w:rPr>
          <w:rFonts w:ascii="Times New Roman" w:hAnsi="Times New Roman" w:cs="Times New Roman"/>
          <w:sz w:val="24"/>
          <w:szCs w:val="24"/>
        </w:rPr>
        <w:t xml:space="preserve">Zajištění rovného přístupu ke vzdělání napomáhá ke snižování sociálních rozdílů a efektivnímu využití potenciálu všech občanů a představuje efektivní opatření k výraznému snižování nákladů budoucích sociálních politik. </w:t>
      </w:r>
    </w:p>
    <w:p w:rsidR="00764BAE" w:rsidRPr="000B521F" w:rsidRDefault="00764BAE" w:rsidP="0059011D">
      <w:pPr>
        <w:spacing w:after="120" w:line="240" w:lineRule="auto"/>
        <w:jc w:val="both"/>
        <w:rPr>
          <w:rFonts w:ascii="Times New Roman" w:hAnsi="Times New Roman" w:cs="Times New Roman"/>
          <w:b/>
          <w:sz w:val="24"/>
          <w:szCs w:val="24"/>
        </w:rPr>
      </w:pPr>
    </w:p>
    <w:p w:rsidR="00DC5011" w:rsidRPr="000B521F" w:rsidRDefault="00DC5011" w:rsidP="0059011D">
      <w:pPr>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Územní rozdíly</w:t>
      </w:r>
    </w:p>
    <w:p w:rsidR="00DC5011" w:rsidRPr="000B521F" w:rsidRDefault="00DC5011"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V řadě regionů se projevuje a prohlubuje nesoulad mezi oborovou strukturou středního a vysokého školství</w:t>
      </w:r>
      <w:r w:rsidR="00C539EE" w:rsidRPr="000B521F">
        <w:rPr>
          <w:rFonts w:ascii="Times New Roman" w:hAnsi="Times New Roman" w:cs="Times New Roman"/>
          <w:sz w:val="24"/>
          <w:szCs w:val="24"/>
        </w:rPr>
        <w:t xml:space="preserve"> a nesoulad struktury absolventů s požadavky trhu práce. </w:t>
      </w:r>
      <w:r w:rsidRPr="000B521F">
        <w:rPr>
          <w:rFonts w:ascii="Times New Roman" w:hAnsi="Times New Roman" w:cs="Times New Roman"/>
          <w:sz w:val="24"/>
          <w:szCs w:val="24"/>
        </w:rPr>
        <w:t xml:space="preserve"> </w:t>
      </w:r>
      <w:r w:rsidR="00C539EE" w:rsidRPr="000B521F">
        <w:rPr>
          <w:rFonts w:ascii="Times New Roman" w:hAnsi="Times New Roman" w:cs="Times New Roman"/>
          <w:sz w:val="24"/>
          <w:szCs w:val="24"/>
        </w:rPr>
        <w:t>Patrný je také</w:t>
      </w:r>
      <w:r w:rsidRPr="000B521F">
        <w:rPr>
          <w:rFonts w:ascii="Times New Roman" w:hAnsi="Times New Roman" w:cs="Times New Roman"/>
          <w:sz w:val="24"/>
          <w:szCs w:val="24"/>
        </w:rPr>
        <w:t xml:space="preserve"> špatný stav infrastruktury – budov i jejich vybavení. Pro SŠ, vč. odborného, je v posledním </w:t>
      </w:r>
      <w:r w:rsidRPr="000B521F">
        <w:rPr>
          <w:rFonts w:ascii="Times New Roman" w:hAnsi="Times New Roman" w:cs="Times New Roman"/>
          <w:sz w:val="24"/>
          <w:szCs w:val="24"/>
        </w:rPr>
        <w:lastRenderedPageBreak/>
        <w:t>období významným faktorem pokles počtu žáků způsobený demografickým vývojem, který se ve všech krajích shoduje.</w:t>
      </w:r>
      <w:r w:rsidR="00686C17" w:rsidRPr="000B521F">
        <w:rPr>
          <w:rFonts w:ascii="Times New Roman" w:hAnsi="Times New Roman" w:cs="Times New Roman"/>
          <w:sz w:val="24"/>
          <w:szCs w:val="24"/>
        </w:rPr>
        <w:t xml:space="preserve"> </w:t>
      </w:r>
      <w:r w:rsidRPr="000B521F">
        <w:rPr>
          <w:rFonts w:ascii="Times New Roman" w:hAnsi="Times New Roman" w:cs="Times New Roman"/>
          <w:sz w:val="24"/>
          <w:szCs w:val="24"/>
        </w:rPr>
        <w:t xml:space="preserve">Lépe mu ovšem budou čelit kraje, které jsou přirozenými centry migrace v rámci ČR, tedy Praha, některé oblasti Středočeského kraje a kraje Jihomoravského (především Brno a okolí). Naopak kraj Moravskoslezský bude čelit výrazně největšímu propadu v této věkové skupině.V důsledku poklesu počtu žáků a snahy o finanční úspory krajů v současné době kraje řeší optimalizaci SŠ (dochází ke spojování škol a redukci počtu škol). V předškolním, základním a středním školství se očekává v budoucnu tlak na koncentraci škol do větších sídel. Poroste meziregionální diverzita mezi obcemi v periferiích, převážně emigračních, a obcemi v imigračních oblastech. Rovněž se zvýšily nároky na zajištění kapacity předškolního a základního školství a jsou nerovnoměrně rozprostřené po ČR. Především je nutné zajisti dostatečné kapacity v zázemí velkých měst. </w:t>
      </w:r>
    </w:p>
    <w:p w:rsidR="00DC5011" w:rsidRPr="000B521F" w:rsidRDefault="00DC5011"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Na místní úrovni je významným problémem nepřipravenost místních vzdělávacích soustav reagovat adekvátně na potřeby dětí se SVP, zejména děti se sociálním znevýhodněním, specificky romské. Současně s řešením kapacit místní soustavy ZŠ je nezbytné řešit také kapacity předškolní přípravy a návazná opatření kombinované sociálně-vzdělávací intervence v rodinách s dětmi se sociálním znevýhodněním, a to od raných let života dítěte.</w:t>
      </w:r>
    </w:p>
    <w:p w:rsidR="008416D9" w:rsidRPr="000B521F" w:rsidRDefault="00541166" w:rsidP="0059011D">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Nesoulad mezi skladbou oborů a požadavky zaměstnavatelů  spolu s celkovou situací na trhu práce </w:t>
      </w:r>
      <w:r w:rsidR="008416D9" w:rsidRPr="000B521F">
        <w:rPr>
          <w:rFonts w:ascii="Times New Roman" w:hAnsi="Times New Roman" w:cs="Times New Roman"/>
          <w:sz w:val="24"/>
          <w:szCs w:val="24"/>
        </w:rPr>
        <w:t xml:space="preserve">se </w:t>
      </w:r>
      <w:r>
        <w:rPr>
          <w:rFonts w:ascii="Times New Roman" w:hAnsi="Times New Roman" w:cs="Times New Roman"/>
          <w:sz w:val="24"/>
          <w:szCs w:val="24"/>
        </w:rPr>
        <w:t xml:space="preserve"> promítá do míry nezaměstnanosti absolventů. </w:t>
      </w:r>
      <w:r w:rsidR="008416D9" w:rsidRPr="000B521F">
        <w:rPr>
          <w:rFonts w:ascii="Times New Roman" w:hAnsi="Times New Roman" w:cs="Times New Roman"/>
          <w:sz w:val="24"/>
          <w:szCs w:val="24"/>
        </w:rPr>
        <w:t xml:space="preserve"> Z krajského hlediska</w:t>
      </w:r>
      <w:r>
        <w:rPr>
          <w:rFonts w:ascii="Times New Roman" w:hAnsi="Times New Roman" w:cs="Times New Roman"/>
          <w:sz w:val="24"/>
          <w:szCs w:val="24"/>
        </w:rPr>
        <w:t xml:space="preserve"> vykazuje tento ukazatel značné rozdíly. V roce 2013</w:t>
      </w:r>
      <w:r w:rsidR="008416D9" w:rsidRPr="000B521F">
        <w:rPr>
          <w:rFonts w:ascii="Times New Roman" w:hAnsi="Times New Roman" w:cs="Times New Roman"/>
          <w:sz w:val="24"/>
          <w:szCs w:val="24"/>
        </w:rPr>
        <w:t xml:space="preserve"> se míra nezaměstnanosti čerstvých absolventů</w:t>
      </w:r>
      <w:r>
        <w:rPr>
          <w:rFonts w:ascii="Times New Roman" w:hAnsi="Times New Roman" w:cs="Times New Roman"/>
          <w:sz w:val="24"/>
          <w:szCs w:val="24"/>
        </w:rPr>
        <w:t xml:space="preserve"> středních škol</w:t>
      </w:r>
      <w:r w:rsidR="008416D9" w:rsidRPr="000B521F">
        <w:rPr>
          <w:rFonts w:ascii="Times New Roman" w:hAnsi="Times New Roman" w:cs="Times New Roman"/>
          <w:sz w:val="24"/>
          <w:szCs w:val="24"/>
        </w:rPr>
        <w:t xml:space="preserve"> pohybovala v rozmezí od cca 7</w:t>
      </w:r>
      <w:r w:rsidR="00686C17" w:rsidRPr="000B521F">
        <w:rPr>
          <w:rFonts w:ascii="Times New Roman" w:hAnsi="Times New Roman" w:cs="Times New Roman"/>
          <w:sz w:val="24"/>
          <w:szCs w:val="24"/>
        </w:rPr>
        <w:t xml:space="preserve"> </w:t>
      </w:r>
      <w:r w:rsidR="008416D9" w:rsidRPr="000B521F">
        <w:rPr>
          <w:rFonts w:ascii="Times New Roman" w:hAnsi="Times New Roman" w:cs="Times New Roman"/>
          <w:sz w:val="24"/>
          <w:szCs w:val="24"/>
        </w:rPr>
        <w:t>% v</w:t>
      </w:r>
      <w:r w:rsidR="00680CC0">
        <w:rPr>
          <w:rFonts w:ascii="Times New Roman" w:hAnsi="Times New Roman" w:cs="Times New Roman"/>
          <w:sz w:val="24"/>
          <w:szCs w:val="24"/>
        </w:rPr>
        <w:t> </w:t>
      </w:r>
      <w:r w:rsidR="008416D9" w:rsidRPr="000B521F">
        <w:rPr>
          <w:rFonts w:ascii="Times New Roman" w:hAnsi="Times New Roman" w:cs="Times New Roman"/>
          <w:sz w:val="24"/>
          <w:szCs w:val="24"/>
        </w:rPr>
        <w:t>Praze</w:t>
      </w:r>
      <w:r w:rsidR="00680CC0">
        <w:rPr>
          <w:rFonts w:ascii="Times New Roman" w:hAnsi="Times New Roman" w:cs="Times New Roman"/>
          <w:sz w:val="24"/>
          <w:szCs w:val="24"/>
        </w:rPr>
        <w:t xml:space="preserve"> (</w:t>
      </w:r>
      <w:r w:rsidR="00680CC0" w:rsidRPr="00680CC0">
        <w:rPr>
          <w:rFonts w:ascii="Times New Roman" w:hAnsi="Times New Roman" w:cs="Times New Roman"/>
          <w:sz w:val="24"/>
          <w:szCs w:val="24"/>
        </w:rPr>
        <w:t>která zároveň vykazuje nejnižší podíl nezaměstnaných osob ve věku 15</w:t>
      </w:r>
      <w:r w:rsidR="0019742F">
        <w:rPr>
          <w:rFonts w:ascii="Times New Roman" w:hAnsi="Times New Roman" w:cs="Times New Roman"/>
          <w:color w:val="000000"/>
          <w:sz w:val="24"/>
          <w:szCs w:val="24"/>
        </w:rPr>
        <w:t>–</w:t>
      </w:r>
      <w:r w:rsidR="00680CC0" w:rsidRPr="00680CC0">
        <w:rPr>
          <w:rFonts w:ascii="Times New Roman" w:hAnsi="Times New Roman" w:cs="Times New Roman"/>
          <w:sz w:val="24"/>
          <w:szCs w:val="24"/>
        </w:rPr>
        <w:t>64 let</w:t>
      </w:r>
      <w:r w:rsidR="00680CC0">
        <w:rPr>
          <w:rFonts w:ascii="Times New Roman" w:hAnsi="Times New Roman" w:cs="Times New Roman"/>
          <w:sz w:val="24"/>
          <w:szCs w:val="24"/>
        </w:rPr>
        <w:t>)</w:t>
      </w:r>
      <w:r w:rsidR="008416D9" w:rsidRPr="000B521F">
        <w:rPr>
          <w:rFonts w:ascii="Times New Roman" w:hAnsi="Times New Roman" w:cs="Times New Roman"/>
          <w:sz w:val="24"/>
          <w:szCs w:val="24"/>
        </w:rPr>
        <w:t xml:space="preserve"> do více než </w:t>
      </w:r>
      <w:r w:rsidR="00680CC0">
        <w:rPr>
          <w:rFonts w:ascii="Times New Roman" w:hAnsi="Times New Roman" w:cs="Times New Roman"/>
          <w:sz w:val="24"/>
          <w:szCs w:val="24"/>
        </w:rPr>
        <w:t>20</w:t>
      </w:r>
      <w:r w:rsidR="00680CC0" w:rsidRPr="000B521F">
        <w:rPr>
          <w:rFonts w:ascii="Times New Roman" w:hAnsi="Times New Roman" w:cs="Times New Roman"/>
          <w:sz w:val="24"/>
          <w:szCs w:val="24"/>
        </w:rPr>
        <w:t xml:space="preserve"> </w:t>
      </w:r>
      <w:r w:rsidR="008416D9" w:rsidRPr="000B521F">
        <w:rPr>
          <w:rFonts w:ascii="Times New Roman" w:hAnsi="Times New Roman" w:cs="Times New Roman"/>
          <w:sz w:val="24"/>
          <w:szCs w:val="24"/>
        </w:rPr>
        <w:t>% v</w:t>
      </w:r>
      <w:r w:rsidR="00680CC0">
        <w:rPr>
          <w:rFonts w:ascii="Times New Roman" w:hAnsi="Times New Roman" w:cs="Times New Roman"/>
          <w:sz w:val="24"/>
          <w:szCs w:val="24"/>
        </w:rPr>
        <w:t> </w:t>
      </w:r>
      <w:r w:rsidR="008416D9" w:rsidRPr="000B521F">
        <w:rPr>
          <w:rFonts w:ascii="Times New Roman" w:hAnsi="Times New Roman" w:cs="Times New Roman"/>
          <w:sz w:val="24"/>
          <w:szCs w:val="24"/>
        </w:rPr>
        <w:t>Ústeckém</w:t>
      </w:r>
      <w:r w:rsidR="00680CC0">
        <w:rPr>
          <w:rFonts w:ascii="Times New Roman" w:hAnsi="Times New Roman" w:cs="Times New Roman"/>
          <w:sz w:val="24"/>
          <w:szCs w:val="24"/>
        </w:rPr>
        <w:t>, Olomouckém a Karlovarském</w:t>
      </w:r>
      <w:r w:rsidR="008416D9" w:rsidRPr="000B521F">
        <w:rPr>
          <w:rFonts w:ascii="Times New Roman" w:hAnsi="Times New Roman" w:cs="Times New Roman"/>
          <w:sz w:val="24"/>
          <w:szCs w:val="24"/>
        </w:rPr>
        <w:t xml:space="preserve"> kraji</w:t>
      </w:r>
      <w:r w:rsidR="00680CC0">
        <w:rPr>
          <w:rFonts w:ascii="Times New Roman" w:hAnsi="Times New Roman" w:cs="Times New Roman"/>
          <w:sz w:val="24"/>
          <w:szCs w:val="24"/>
        </w:rPr>
        <w:t xml:space="preserve">, </w:t>
      </w:r>
      <w:r>
        <w:rPr>
          <w:rFonts w:ascii="Times New Roman" w:hAnsi="Times New Roman" w:cs="Times New Roman"/>
          <w:sz w:val="24"/>
          <w:szCs w:val="24"/>
        </w:rPr>
        <w:t>Plošně je situace horší u profesně zaměřených oborů.</w:t>
      </w:r>
    </w:p>
    <w:p w:rsidR="00764BAE" w:rsidRPr="000B521F" w:rsidRDefault="00764BAE" w:rsidP="0059011D">
      <w:pPr>
        <w:spacing w:after="120" w:line="240" w:lineRule="auto"/>
        <w:rPr>
          <w:rFonts w:ascii="Times New Roman" w:hAnsi="Times New Roman" w:cs="Times New Roman"/>
          <w:b/>
          <w:sz w:val="24"/>
          <w:szCs w:val="24"/>
        </w:rPr>
      </w:pPr>
    </w:p>
    <w:p w:rsidR="00DC5011" w:rsidRPr="000B521F" w:rsidRDefault="00DC5011" w:rsidP="0059011D">
      <w:pPr>
        <w:spacing w:after="120" w:line="240" w:lineRule="auto"/>
        <w:rPr>
          <w:rFonts w:ascii="Times New Roman" w:hAnsi="Times New Roman" w:cs="Times New Roman"/>
          <w:b/>
          <w:sz w:val="24"/>
          <w:szCs w:val="24"/>
        </w:rPr>
      </w:pPr>
      <w:r w:rsidRPr="000B521F">
        <w:rPr>
          <w:rFonts w:ascii="Times New Roman" w:hAnsi="Times New Roman" w:cs="Times New Roman"/>
          <w:b/>
          <w:sz w:val="24"/>
          <w:szCs w:val="24"/>
        </w:rPr>
        <w:t xml:space="preserve">Zkušenosti </w:t>
      </w:r>
      <w:r w:rsidR="00535D8E">
        <w:rPr>
          <w:rFonts w:ascii="Times New Roman" w:hAnsi="Times New Roman" w:cs="Times New Roman"/>
          <w:b/>
          <w:sz w:val="24"/>
          <w:szCs w:val="24"/>
        </w:rPr>
        <w:t>z programového období 2007</w:t>
      </w:r>
      <w:r w:rsidRPr="000B521F">
        <w:rPr>
          <w:rFonts w:ascii="Times New Roman" w:hAnsi="Times New Roman" w:cs="Times New Roman"/>
          <w:b/>
          <w:sz w:val="24"/>
          <w:szCs w:val="24"/>
        </w:rPr>
        <w:t>–2013 a stav dosažení současných cílů</w:t>
      </w:r>
    </w:p>
    <w:p w:rsidR="003E3FC5" w:rsidRPr="000B521F" w:rsidRDefault="00DC5011" w:rsidP="0059011D">
      <w:pPr>
        <w:spacing w:after="120" w:line="240" w:lineRule="auto"/>
        <w:jc w:val="both"/>
        <w:rPr>
          <w:rFonts w:ascii="Times New Roman" w:hAnsi="Times New Roman" w:cs="Times New Roman"/>
          <w:sz w:val="24"/>
          <w:szCs w:val="24"/>
          <w:highlight w:val="red"/>
        </w:rPr>
      </w:pPr>
      <w:r w:rsidRPr="000B521F">
        <w:rPr>
          <w:rFonts w:ascii="Times New Roman" w:hAnsi="Times New Roman" w:cs="Times New Roman"/>
          <w:sz w:val="24"/>
          <w:szCs w:val="24"/>
        </w:rPr>
        <w:t>Cílem podpory v programovém období 2007–2013 v oblasti vzdělávání byla zejména modernizace systémů počátečního, terciárního a dalšího vzdělávání a jejich propojení do komplexního systému celoživotního učení. Informace uvedené na jiných místech subkapitoly k problémové oblasti Vzdělávání ukazují, že těchto cílů bylo dosaženo pouze částečně. Hlavní zkušenosti, ze kterých je nutné se poučit, lze shrnout následovně:</w:t>
      </w:r>
    </w:p>
    <w:p w:rsidR="008206A4" w:rsidRPr="000B521F" w:rsidRDefault="00DC5011" w:rsidP="0059011D">
      <w:pPr>
        <w:pStyle w:val="Odstavecseseznamem"/>
        <w:numPr>
          <w:ilvl w:val="0"/>
          <w:numId w:val="27"/>
        </w:numPr>
        <w:autoSpaceDE w:val="0"/>
        <w:autoSpaceDN w:val="0"/>
        <w:adjustRightInd w:val="0"/>
        <w:spacing w:after="0" w:line="240" w:lineRule="auto"/>
        <w:ind w:left="284" w:hanging="284"/>
        <w:jc w:val="both"/>
        <w:rPr>
          <w:rFonts w:ascii="Times New Roman" w:hAnsi="Times New Roman" w:cs="Times New Roman"/>
          <w:sz w:val="24"/>
          <w:szCs w:val="24"/>
        </w:rPr>
      </w:pPr>
      <w:r w:rsidRPr="000B521F">
        <w:rPr>
          <w:rFonts w:ascii="Times New Roman" w:hAnsi="Times New Roman" w:cs="Times New Roman"/>
          <w:b/>
          <w:sz w:val="24"/>
          <w:szCs w:val="24"/>
        </w:rPr>
        <w:t>Fragmentovanost podpory</w:t>
      </w:r>
      <w:r w:rsidRPr="000B521F">
        <w:rPr>
          <w:rFonts w:ascii="Times New Roman" w:hAnsi="Times New Roman" w:cs="Times New Roman"/>
          <w:sz w:val="24"/>
          <w:szCs w:val="24"/>
        </w:rPr>
        <w:t xml:space="preserve"> – vzniklo mnoho malých projektů, které měly zajisté pozitivní dopad, nicméně celkově se nepodařilo dosáhnout systémové změny. V období 2014</w:t>
      </w:r>
      <w:r w:rsidR="0019742F">
        <w:rPr>
          <w:rFonts w:ascii="Times New Roman" w:hAnsi="Times New Roman" w:cs="Times New Roman"/>
          <w:color w:val="000000"/>
          <w:sz w:val="24"/>
          <w:szCs w:val="24"/>
        </w:rPr>
        <w:t>–</w:t>
      </w:r>
      <w:r w:rsidRPr="000B521F">
        <w:rPr>
          <w:rFonts w:ascii="Times New Roman" w:hAnsi="Times New Roman" w:cs="Times New Roman"/>
          <w:sz w:val="24"/>
          <w:szCs w:val="24"/>
        </w:rPr>
        <w:t xml:space="preserve">2020 je nutné soustředit se na projekty větších celků s jasným zacílením a koordinovaným prosazováním </w:t>
      </w:r>
      <w:r w:rsidR="003E3FC5" w:rsidRPr="000B521F">
        <w:rPr>
          <w:rFonts w:ascii="Times New Roman" w:hAnsi="Times New Roman" w:cs="Times New Roman"/>
          <w:sz w:val="24"/>
          <w:szCs w:val="24"/>
        </w:rPr>
        <w:t xml:space="preserve"> </w:t>
      </w:r>
      <w:r w:rsidRPr="000B521F">
        <w:rPr>
          <w:rFonts w:ascii="Times New Roman" w:hAnsi="Times New Roman" w:cs="Times New Roman"/>
          <w:sz w:val="24"/>
          <w:szCs w:val="24"/>
        </w:rPr>
        <w:t xml:space="preserve">změn (např. projekty jednotlivých kateder vs. strategické projekty celých univerzit). </w:t>
      </w:r>
    </w:p>
    <w:p w:rsidR="008206A4" w:rsidRPr="000B521F" w:rsidRDefault="00DC5011" w:rsidP="0059011D">
      <w:pPr>
        <w:pStyle w:val="Odstavecseseznamem"/>
        <w:numPr>
          <w:ilvl w:val="0"/>
          <w:numId w:val="27"/>
        </w:numPr>
        <w:autoSpaceDE w:val="0"/>
        <w:autoSpaceDN w:val="0"/>
        <w:adjustRightInd w:val="0"/>
        <w:spacing w:after="0" w:line="240" w:lineRule="auto"/>
        <w:ind w:left="284" w:hanging="284"/>
        <w:jc w:val="both"/>
        <w:rPr>
          <w:rFonts w:ascii="Times New Roman" w:hAnsi="Times New Roman" w:cs="Times New Roman"/>
          <w:sz w:val="24"/>
          <w:szCs w:val="24"/>
        </w:rPr>
      </w:pPr>
      <w:r w:rsidRPr="000B521F">
        <w:rPr>
          <w:rFonts w:ascii="Times New Roman" w:hAnsi="Times New Roman" w:cs="Times New Roman"/>
          <w:sz w:val="24"/>
          <w:szCs w:val="24"/>
        </w:rPr>
        <w:t xml:space="preserve">Pozitivně jsou hodnoceny projekty realizované prostřednictvím </w:t>
      </w:r>
      <w:r w:rsidRPr="000B521F">
        <w:rPr>
          <w:rFonts w:ascii="Times New Roman" w:hAnsi="Times New Roman" w:cs="Times New Roman"/>
          <w:b/>
          <w:sz w:val="24"/>
          <w:szCs w:val="24"/>
        </w:rPr>
        <w:t>zjednodušené formy vykazování</w:t>
      </w:r>
      <w:r w:rsidRPr="000B521F">
        <w:rPr>
          <w:rFonts w:ascii="Times New Roman" w:hAnsi="Times New Roman" w:cs="Times New Roman"/>
          <w:sz w:val="24"/>
          <w:szCs w:val="24"/>
        </w:rPr>
        <w:t xml:space="preserve"> výdajů – na tuto formu podpory je potřeba navázat a rozšířit ji.</w:t>
      </w:r>
    </w:p>
    <w:p w:rsidR="008206A4" w:rsidRPr="000B521F" w:rsidRDefault="00DC5011" w:rsidP="0059011D">
      <w:pPr>
        <w:pStyle w:val="Odstavecseseznamem"/>
        <w:numPr>
          <w:ilvl w:val="0"/>
          <w:numId w:val="27"/>
        </w:numPr>
        <w:autoSpaceDE w:val="0"/>
        <w:autoSpaceDN w:val="0"/>
        <w:adjustRightInd w:val="0"/>
        <w:spacing w:after="0" w:line="240" w:lineRule="auto"/>
        <w:ind w:left="284" w:hanging="284"/>
        <w:jc w:val="both"/>
        <w:rPr>
          <w:rFonts w:ascii="Times New Roman" w:hAnsi="Times New Roman" w:cs="Times New Roman"/>
          <w:sz w:val="24"/>
          <w:szCs w:val="24"/>
        </w:rPr>
      </w:pPr>
      <w:r w:rsidRPr="000B521F">
        <w:rPr>
          <w:rFonts w:ascii="Times New Roman" w:hAnsi="Times New Roman" w:cs="Times New Roman"/>
          <w:b/>
          <w:sz w:val="24"/>
          <w:szCs w:val="24"/>
        </w:rPr>
        <w:t>Příliš mnoho národních projektů</w:t>
      </w:r>
      <w:r w:rsidRPr="000B521F">
        <w:rPr>
          <w:rFonts w:ascii="Times New Roman" w:hAnsi="Times New Roman" w:cs="Times New Roman"/>
          <w:sz w:val="24"/>
          <w:szCs w:val="24"/>
        </w:rPr>
        <w:t xml:space="preserve"> – nastavený systém neumožňoval efektivní supervizi kvality, byl těžkopádný a nezajišťoval akceptaci a rozšíření vytvořených výsledků na národní úrovni.  </w:t>
      </w:r>
    </w:p>
    <w:p w:rsidR="00DC5011" w:rsidRPr="000B521F" w:rsidRDefault="0019742F" w:rsidP="0059011D">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Intervence v období 2014</w:t>
      </w:r>
      <w:r w:rsidR="00DC5011" w:rsidRPr="000B521F">
        <w:rPr>
          <w:rFonts w:ascii="Times New Roman" w:hAnsi="Times New Roman" w:cs="Times New Roman"/>
          <w:sz w:val="24"/>
          <w:szCs w:val="24"/>
        </w:rPr>
        <w:t>–2020 samozřejmě budou úzce navazovat na výstupy projektů financovaných z OP Vzdělávání pro konkurenceschopnost. Půjde např. o využití mnoha kvalitních metodik a pilotně ověřených kurzů dalšího vzdělávání pedagogických pracovníků a jejich cílené šíření do praxe přímo ve školách, zejména v oblastech rozvoje klíčových kompetencí žáků a inkluzívního vzdělávání. Bude navázáno na vytvoření nástrojů externího hodnocení kvality počátečního vzdělávání a na pilotně ověřené mechanismy projektového a strategického říz</w:t>
      </w:r>
      <w:r w:rsidR="00535D8E">
        <w:rPr>
          <w:rFonts w:ascii="Times New Roman" w:hAnsi="Times New Roman" w:cs="Times New Roman"/>
          <w:sz w:val="24"/>
          <w:szCs w:val="24"/>
        </w:rPr>
        <w:t>ení na krajské a místní úrovni.</w:t>
      </w:r>
    </w:p>
    <w:p w:rsidR="00DC5011" w:rsidRPr="000B521F" w:rsidRDefault="00DC5011"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lastRenderedPageBreak/>
        <w:t>V oblasti vysokých škol bude též navázáno na infrastrukturní investice z OP Výzkum a vývoj pro inovace, které významným způsobem napomohly zkvalitnit infrastrukturu VŠ pro výzkumné účely. V oblasti posílení zájmu žáků o technické a přírodovědné obory je možné široce kapitalizovat investice do vybudovaných center popularizace výzkumu. V oblasti vzdělávací infrastruktury je nutné též zohlednit intervence z Regionálních operačních programů. Intervence infrastrukturního charakteru je však nutné lépe provázat s intervencemi z ESF.</w:t>
      </w:r>
    </w:p>
    <w:p w:rsidR="00DC5011" w:rsidRPr="000B521F" w:rsidRDefault="00DC5011" w:rsidP="0059011D">
      <w:pPr>
        <w:spacing w:after="120" w:line="240" w:lineRule="auto"/>
        <w:jc w:val="both"/>
        <w:rPr>
          <w:rFonts w:ascii="Times New Roman" w:eastAsia="Times New Roman" w:hAnsi="Times New Roman" w:cs="Times New Roman"/>
          <w:sz w:val="24"/>
          <w:szCs w:val="24"/>
          <w:lang w:eastAsia="cs-CZ"/>
        </w:rPr>
      </w:pPr>
      <w:r w:rsidRPr="000B521F">
        <w:rPr>
          <w:rFonts w:ascii="Times New Roman" w:hAnsi="Times New Roman" w:cs="Times New Roman"/>
          <w:sz w:val="24"/>
          <w:szCs w:val="24"/>
        </w:rPr>
        <w:t>V  období 2007</w:t>
      </w:r>
      <w:r w:rsidR="0019742F">
        <w:rPr>
          <w:rFonts w:ascii="Times New Roman" w:hAnsi="Times New Roman" w:cs="Times New Roman"/>
          <w:color w:val="000000"/>
          <w:sz w:val="24"/>
          <w:szCs w:val="24"/>
        </w:rPr>
        <w:t>–</w:t>
      </w:r>
      <w:r w:rsidRPr="000B521F">
        <w:rPr>
          <w:rFonts w:ascii="Times New Roman" w:hAnsi="Times New Roman" w:cs="Times New Roman"/>
          <w:sz w:val="24"/>
          <w:szCs w:val="24"/>
        </w:rPr>
        <w:t xml:space="preserve">2013 bylo v rámci PRV podporováno vzdělávání zemědělců i nezemědělských podnikatelů v podobě informačních akcí či v rámci poradenského systému pro zemědělce a lesníky. Přestože se podařilo dosáhnout stanovených cílů v počtu účastníků vzdělávacích akcí (zejména pro zemědělce), zpětná vazba o použití dosažených vědomostí v praxi není dostatečná. </w:t>
      </w:r>
      <w:r w:rsidRPr="000B521F">
        <w:rPr>
          <w:rFonts w:ascii="Times New Roman" w:eastAsia="Times New Roman" w:hAnsi="Times New Roman" w:cs="Times New Roman"/>
          <w:sz w:val="24"/>
          <w:szCs w:val="24"/>
          <w:lang w:eastAsia="cs-CZ"/>
        </w:rPr>
        <w:t>Vzdělávacích akcí je dostatečné množství, ovšem chybí větší systematičnost a cílenost.</w:t>
      </w:r>
    </w:p>
    <w:p w:rsidR="00764BAE" w:rsidRPr="000B521F" w:rsidRDefault="00764BAE" w:rsidP="0059011D">
      <w:pPr>
        <w:spacing w:after="120" w:line="240" w:lineRule="auto"/>
        <w:jc w:val="both"/>
        <w:rPr>
          <w:rFonts w:ascii="Times New Roman" w:eastAsia="Times New Roman" w:hAnsi="Times New Roman" w:cs="Times New Roman"/>
          <w:sz w:val="24"/>
          <w:szCs w:val="24"/>
          <w:lang w:eastAsia="cs-CZ"/>
        </w:rPr>
      </w:pPr>
    </w:p>
    <w:p w:rsidR="00DC5011" w:rsidRPr="000B521F" w:rsidRDefault="00DC5011" w:rsidP="0059011D">
      <w:pPr>
        <w:spacing w:after="120" w:line="240" w:lineRule="auto"/>
        <w:rPr>
          <w:rFonts w:ascii="Times New Roman" w:hAnsi="Times New Roman" w:cs="Times New Roman"/>
          <w:b/>
          <w:sz w:val="24"/>
          <w:szCs w:val="24"/>
        </w:rPr>
      </w:pPr>
      <w:r w:rsidRPr="000B521F">
        <w:rPr>
          <w:rFonts w:ascii="Times New Roman" w:hAnsi="Times New Roman" w:cs="Times New Roman"/>
          <w:b/>
          <w:sz w:val="24"/>
          <w:szCs w:val="24"/>
        </w:rPr>
        <w:t>Hlavní identifikované problémy a potřeby rozvoje</w:t>
      </w:r>
    </w:p>
    <w:p w:rsidR="00DC5011" w:rsidRPr="000B521F" w:rsidRDefault="00DC5011" w:rsidP="0059011D">
      <w:pPr>
        <w:spacing w:after="120" w:line="240" w:lineRule="auto"/>
        <w:rPr>
          <w:rFonts w:ascii="Times New Roman" w:hAnsi="Times New Roman" w:cs="Times New Roman"/>
          <w:b/>
          <w:i/>
          <w:sz w:val="24"/>
          <w:szCs w:val="24"/>
        </w:rPr>
      </w:pPr>
      <w:r w:rsidRPr="000B521F">
        <w:rPr>
          <w:rFonts w:ascii="Times New Roman" w:hAnsi="Times New Roman" w:cs="Times New Roman"/>
          <w:b/>
          <w:i/>
          <w:sz w:val="24"/>
          <w:szCs w:val="24"/>
        </w:rPr>
        <w:t xml:space="preserve">1. Nedostatečná úroveň kvality počátečního vzdělávání </w:t>
      </w:r>
    </w:p>
    <w:p w:rsidR="00DC5011" w:rsidRPr="000B521F" w:rsidRDefault="00DC5011"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Výsledky žáků a studentů na úrovni ZŠ a SŠ se zhoršují prakticky ve všech sledovaných oblastech. Žáci nedosahují výsledků svých vrstevníků před deseti až patnácti lety.</w:t>
      </w:r>
      <w:r w:rsidRPr="000B521F">
        <w:rPr>
          <w:rStyle w:val="Znakapoznpodarou"/>
          <w:rFonts w:ascii="Times New Roman" w:hAnsi="Times New Roman" w:cs="Times New Roman"/>
          <w:sz w:val="24"/>
          <w:szCs w:val="24"/>
        </w:rPr>
        <w:footnoteReference w:id="22"/>
      </w:r>
      <w:r w:rsidRPr="000B521F">
        <w:rPr>
          <w:rFonts w:ascii="Times New Roman" w:hAnsi="Times New Roman" w:cs="Times New Roman"/>
          <w:sz w:val="24"/>
          <w:szCs w:val="24"/>
        </w:rPr>
        <w:t>Některé průzkumy</w:t>
      </w:r>
      <w:r w:rsidRPr="000B521F">
        <w:rPr>
          <w:rStyle w:val="Znakapoznpodarou"/>
          <w:rFonts w:ascii="Times New Roman" w:hAnsi="Times New Roman" w:cs="Times New Roman"/>
          <w:sz w:val="24"/>
          <w:szCs w:val="24"/>
        </w:rPr>
        <w:footnoteReference w:id="23"/>
      </w:r>
      <w:r w:rsidRPr="000B521F">
        <w:rPr>
          <w:rFonts w:ascii="Times New Roman" w:hAnsi="Times New Roman" w:cs="Times New Roman"/>
          <w:sz w:val="24"/>
          <w:szCs w:val="24"/>
        </w:rPr>
        <w:t xml:space="preserve"> sice naznačují, že by se zhoršující trend mohl zastavit, ale i přesto úroveň základních znalostí českých žáků není uspokojivá. Současný nepříznivý stav je výsledkem několika faktorů, jejichž systematické řešení je nutné ke změně tohoto trendu.</w:t>
      </w:r>
    </w:p>
    <w:p w:rsidR="008206A4" w:rsidRPr="000B521F" w:rsidRDefault="00DC5011" w:rsidP="0059011D">
      <w:pPr>
        <w:pStyle w:val="Odstavecseseznamem"/>
        <w:numPr>
          <w:ilvl w:val="0"/>
          <w:numId w:val="27"/>
        </w:numPr>
        <w:autoSpaceDE w:val="0"/>
        <w:autoSpaceDN w:val="0"/>
        <w:adjustRightInd w:val="0"/>
        <w:spacing w:after="0" w:line="240" w:lineRule="auto"/>
        <w:ind w:left="284" w:hanging="284"/>
        <w:jc w:val="both"/>
        <w:rPr>
          <w:rFonts w:ascii="Times New Roman" w:hAnsi="Times New Roman" w:cs="Times New Roman"/>
          <w:sz w:val="24"/>
          <w:szCs w:val="24"/>
        </w:rPr>
      </w:pPr>
      <w:r w:rsidRPr="000B521F">
        <w:rPr>
          <w:rFonts w:ascii="Times New Roman" w:hAnsi="Times New Roman" w:cs="Times New Roman"/>
          <w:b/>
          <w:sz w:val="24"/>
          <w:szCs w:val="24"/>
        </w:rPr>
        <w:t>Kvalita ředitelů a pedagogických pracovníků</w:t>
      </w:r>
      <w:r w:rsidRPr="000B521F">
        <w:rPr>
          <w:rFonts w:ascii="Times New Roman" w:hAnsi="Times New Roman" w:cs="Times New Roman"/>
          <w:sz w:val="24"/>
          <w:szCs w:val="24"/>
        </w:rPr>
        <w:t xml:space="preserve"> - současné postavení a role pedagogů nemá odpovídající ohodnocení a společenskou prestiž. Věkový průměr pedagogů je v ČR (v mezinárodním srovnání) vysoký. Úroveň pre-graduální přípravy pedagogů je nízká, s nedostatečným podílem praxe a nepřizpůsobuje se změnám v oblastech, které přináší společenský a technologický rozvoj. Pro odborníky neexistují stimulační nástroje pro vstup do škol. Management škol je výkonný, ale nezaměřuje se na výsledky ve vzdělávání žáků, je spíše ekonomicko-finančním řízením. Také zřizovatelé škol neumějí pracovat s informacemi o kvalitě školy.</w:t>
      </w:r>
    </w:p>
    <w:p w:rsidR="008206A4" w:rsidRPr="000B521F" w:rsidRDefault="00DC5011" w:rsidP="0059011D">
      <w:pPr>
        <w:pStyle w:val="Odstavecseseznamem"/>
        <w:numPr>
          <w:ilvl w:val="0"/>
          <w:numId w:val="27"/>
        </w:numPr>
        <w:autoSpaceDE w:val="0"/>
        <w:autoSpaceDN w:val="0"/>
        <w:adjustRightInd w:val="0"/>
        <w:spacing w:after="0" w:line="240" w:lineRule="auto"/>
        <w:ind w:left="284" w:hanging="284"/>
        <w:jc w:val="both"/>
        <w:rPr>
          <w:rFonts w:ascii="Times New Roman" w:hAnsi="Times New Roman" w:cs="Times New Roman"/>
          <w:sz w:val="24"/>
          <w:szCs w:val="24"/>
        </w:rPr>
      </w:pPr>
      <w:r w:rsidRPr="000B521F">
        <w:rPr>
          <w:rFonts w:ascii="Times New Roman" w:hAnsi="Times New Roman" w:cs="Times New Roman"/>
          <w:b/>
          <w:sz w:val="24"/>
          <w:szCs w:val="24"/>
        </w:rPr>
        <w:t>Podinvestovaná infrastruktura</w:t>
      </w:r>
      <w:r w:rsidRPr="000B521F">
        <w:rPr>
          <w:rFonts w:ascii="Times New Roman" w:hAnsi="Times New Roman" w:cs="Times New Roman"/>
          <w:sz w:val="24"/>
          <w:szCs w:val="24"/>
        </w:rPr>
        <w:t xml:space="preserve"> ZŠ a SŠ, která neodpovídá demografickým trendům na místní úrovni. Rozdíly v materiálně-technickém vybavení jednotlivých škol a školských zařízení. Digitální a otevřené vzdělávací zdroje a software pro individualizaci výuky jsou využívány neefektivně, což je dáno jak nízkými kompetencemi</w:t>
      </w:r>
      <w:r w:rsidR="003431EF" w:rsidRPr="000B521F">
        <w:rPr>
          <w:rFonts w:ascii="Times New Roman" w:hAnsi="Times New Roman" w:cs="Times New Roman"/>
          <w:sz w:val="24"/>
          <w:szCs w:val="24"/>
        </w:rPr>
        <w:t xml:space="preserve"> učitelů,</w:t>
      </w:r>
      <w:r w:rsidRPr="000B521F">
        <w:rPr>
          <w:rFonts w:ascii="Times New Roman" w:hAnsi="Times New Roman" w:cs="Times New Roman"/>
          <w:sz w:val="24"/>
          <w:szCs w:val="24"/>
        </w:rPr>
        <w:t xml:space="preserve"> tak nízkým technickým vybavením, a dále nedostatečnou vnitřní konektivitou škol a špatným připojením k internetu v</w:t>
      </w:r>
      <w:r w:rsidR="00077A55" w:rsidRPr="000B521F">
        <w:rPr>
          <w:rFonts w:ascii="Times New Roman" w:hAnsi="Times New Roman" w:cs="Times New Roman"/>
          <w:sz w:val="24"/>
          <w:szCs w:val="24"/>
        </w:rPr>
        <w:t>e venkovských oblastech obecně.</w:t>
      </w:r>
    </w:p>
    <w:p w:rsidR="008206A4" w:rsidRPr="002005FE" w:rsidRDefault="00DC5011" w:rsidP="0059011D">
      <w:pPr>
        <w:pStyle w:val="Odstavecseseznamem"/>
        <w:numPr>
          <w:ilvl w:val="0"/>
          <w:numId w:val="27"/>
        </w:numPr>
        <w:autoSpaceDE w:val="0"/>
        <w:autoSpaceDN w:val="0"/>
        <w:adjustRightInd w:val="0"/>
        <w:spacing w:after="0" w:line="240" w:lineRule="auto"/>
        <w:ind w:left="284" w:hanging="284"/>
        <w:jc w:val="both"/>
        <w:rPr>
          <w:rFonts w:ascii="Times New Roman" w:hAnsi="Times New Roman" w:cs="Times New Roman"/>
          <w:b/>
          <w:sz w:val="24"/>
          <w:szCs w:val="24"/>
        </w:rPr>
      </w:pPr>
      <w:r w:rsidRPr="000B521F">
        <w:rPr>
          <w:rFonts w:ascii="Times New Roman" w:hAnsi="Times New Roman" w:cs="Times New Roman"/>
          <w:b/>
          <w:sz w:val="24"/>
          <w:szCs w:val="24"/>
        </w:rPr>
        <w:t xml:space="preserve">Nerozvinutý rámec evaluace a hodnocení ve vzdělávacím systému - </w:t>
      </w:r>
      <w:r w:rsidRPr="000B521F">
        <w:rPr>
          <w:rFonts w:ascii="Times New Roman" w:hAnsi="Times New Roman" w:cs="Times New Roman"/>
          <w:sz w:val="24"/>
          <w:szCs w:val="24"/>
        </w:rPr>
        <w:t>ČR nemá zaveden monitoring kvality výsledků vzdělávací činnosti na žádné úrovni vzdělávací soustavy.</w:t>
      </w:r>
      <w:r w:rsidRPr="000B521F">
        <w:rPr>
          <w:rStyle w:val="Znakapoznpodarou"/>
          <w:rFonts w:ascii="Times New Roman" w:hAnsi="Times New Roman" w:cs="Times New Roman"/>
          <w:sz w:val="24"/>
          <w:szCs w:val="24"/>
        </w:rPr>
        <w:footnoteReference w:id="24"/>
      </w:r>
      <w:r w:rsidR="00260A6A" w:rsidRPr="000B521F">
        <w:rPr>
          <w:rFonts w:ascii="Times New Roman" w:hAnsi="Times New Roman" w:cs="Times New Roman"/>
          <w:sz w:val="24"/>
          <w:szCs w:val="24"/>
        </w:rPr>
        <w:t xml:space="preserve"> </w:t>
      </w:r>
      <w:r w:rsidRPr="000B521F">
        <w:rPr>
          <w:rFonts w:ascii="Times New Roman" w:hAnsi="Times New Roman" w:cs="Times New Roman"/>
          <w:sz w:val="24"/>
          <w:szCs w:val="24"/>
        </w:rPr>
        <w:t xml:space="preserve">Chybí vymezení kvality práce učitele i ředitele i kvality práce školy a pravidelné poskytování zpětné vazby všem zmiňovaným subjektům ve vztahu ke stanoveným kritériím kvality. Žákovské cíle vzdělávání jsou vymezeny příliš obecně a nejsou prioritizovány, učitelé nemají povinnost sledovat individuální pokrok každého žáka vzhledem ke stanoveným cílům a nemají k tomu potřebnou metodickou podporu ani podmínky. </w:t>
      </w:r>
    </w:p>
    <w:p w:rsidR="002005FE" w:rsidRPr="000B521F" w:rsidRDefault="002005FE" w:rsidP="002005FE">
      <w:pPr>
        <w:pStyle w:val="Odstavecseseznamem"/>
        <w:autoSpaceDE w:val="0"/>
        <w:autoSpaceDN w:val="0"/>
        <w:adjustRightInd w:val="0"/>
        <w:spacing w:after="0" w:line="240" w:lineRule="auto"/>
        <w:ind w:left="284"/>
        <w:jc w:val="both"/>
        <w:rPr>
          <w:rFonts w:ascii="Times New Roman" w:hAnsi="Times New Roman" w:cs="Times New Roman"/>
          <w:b/>
          <w:sz w:val="24"/>
          <w:szCs w:val="24"/>
        </w:rPr>
      </w:pPr>
    </w:p>
    <w:p w:rsidR="00DC5011" w:rsidRPr="000B521F" w:rsidRDefault="00DC5011" w:rsidP="0059011D">
      <w:pPr>
        <w:spacing w:after="120" w:line="240" w:lineRule="auto"/>
        <w:jc w:val="both"/>
        <w:rPr>
          <w:rFonts w:ascii="Times New Roman" w:hAnsi="Times New Roman" w:cs="Times New Roman"/>
          <w:i/>
          <w:sz w:val="24"/>
          <w:szCs w:val="24"/>
        </w:rPr>
      </w:pPr>
      <w:r w:rsidRPr="000B521F">
        <w:rPr>
          <w:rFonts w:ascii="Times New Roman" w:hAnsi="Times New Roman" w:cs="Times New Roman"/>
          <w:i/>
          <w:sz w:val="24"/>
          <w:szCs w:val="24"/>
        </w:rPr>
        <w:lastRenderedPageBreak/>
        <w:t>Potřeby rozvoje:</w:t>
      </w:r>
    </w:p>
    <w:p w:rsidR="008206A4" w:rsidRPr="000B521F" w:rsidRDefault="00DC5011" w:rsidP="0059011D">
      <w:pPr>
        <w:pStyle w:val="Odstavecseseznamem"/>
        <w:numPr>
          <w:ilvl w:val="0"/>
          <w:numId w:val="28"/>
        </w:numPr>
        <w:autoSpaceDE w:val="0"/>
        <w:autoSpaceDN w:val="0"/>
        <w:adjustRightInd w:val="0"/>
        <w:spacing w:after="0" w:line="240" w:lineRule="auto"/>
        <w:jc w:val="both"/>
        <w:rPr>
          <w:rFonts w:ascii="Times New Roman" w:hAnsi="Times New Roman" w:cs="Times New Roman"/>
          <w:sz w:val="24"/>
          <w:szCs w:val="24"/>
        </w:rPr>
      </w:pPr>
      <w:r w:rsidRPr="000B521F">
        <w:rPr>
          <w:rFonts w:ascii="Times New Roman" w:hAnsi="Times New Roman" w:cs="Times New Roman"/>
          <w:b/>
          <w:sz w:val="24"/>
          <w:szCs w:val="24"/>
        </w:rPr>
        <w:t>Klíčové kompetence</w:t>
      </w:r>
      <w:r w:rsidRPr="000B521F">
        <w:rPr>
          <w:rStyle w:val="Znakapoznpodarou"/>
          <w:rFonts w:ascii="Times New Roman" w:hAnsi="Times New Roman" w:cs="Times New Roman"/>
          <w:sz w:val="24"/>
          <w:szCs w:val="24"/>
        </w:rPr>
        <w:footnoteReference w:id="25"/>
      </w:r>
      <w:r w:rsidRPr="000B521F">
        <w:rPr>
          <w:rFonts w:ascii="Times New Roman" w:hAnsi="Times New Roman" w:cs="Times New Roman"/>
          <w:sz w:val="24"/>
          <w:szCs w:val="24"/>
        </w:rPr>
        <w:t xml:space="preserve"> jsou nejdůležitějším požadavkem ze strany zaměstnavatelů a rovněž základem pro celoživotní učení, inovace a rozvoj nových technologií. V oblasti ZŠ a SŠ je v souladu s NPR proto potřeba více zaměřit výuku na širší možnosti uplatnění a zlepšit schopnosti žáků v těchto kompetencích. Tím se zlepší schopnost absolventů flexibilně reagovat na změny a tudíž i jejich uplatnitelnost na trhu práce.</w:t>
      </w:r>
    </w:p>
    <w:p w:rsidR="008206A4" w:rsidRPr="000B521F" w:rsidRDefault="00DC5011" w:rsidP="0059011D">
      <w:pPr>
        <w:pStyle w:val="Odstavecseseznamem"/>
        <w:numPr>
          <w:ilvl w:val="0"/>
          <w:numId w:val="28"/>
        </w:numPr>
        <w:autoSpaceDE w:val="0"/>
        <w:autoSpaceDN w:val="0"/>
        <w:adjustRightInd w:val="0"/>
        <w:spacing w:after="0" w:line="240" w:lineRule="auto"/>
        <w:jc w:val="both"/>
        <w:rPr>
          <w:rFonts w:ascii="Times New Roman" w:hAnsi="Times New Roman" w:cs="Times New Roman"/>
          <w:sz w:val="24"/>
          <w:szCs w:val="24"/>
        </w:rPr>
      </w:pPr>
      <w:r w:rsidRPr="000B521F">
        <w:rPr>
          <w:rFonts w:ascii="Times New Roman" w:hAnsi="Times New Roman" w:cs="Times New Roman"/>
          <w:b/>
          <w:sz w:val="24"/>
          <w:szCs w:val="24"/>
        </w:rPr>
        <w:t>Rozvoj lidských zdrojů pro oblast počátečního vzdělávání</w:t>
      </w:r>
      <w:r w:rsidRPr="000B521F">
        <w:rPr>
          <w:rFonts w:ascii="Times New Roman" w:hAnsi="Times New Roman" w:cs="Times New Roman"/>
          <w:sz w:val="24"/>
          <w:szCs w:val="24"/>
        </w:rPr>
        <w:t>. Jde především o zlepšení pre-graduální přípravy a další profesní rozvoj pedagogických pracovníku a vedení škol a vzdělávání zřizovatelů.</w:t>
      </w:r>
    </w:p>
    <w:p w:rsidR="008206A4" w:rsidRPr="000B521F" w:rsidRDefault="00DC5011" w:rsidP="0059011D">
      <w:pPr>
        <w:pStyle w:val="Odstavecseseznamem"/>
        <w:numPr>
          <w:ilvl w:val="0"/>
          <w:numId w:val="28"/>
        </w:numPr>
        <w:autoSpaceDE w:val="0"/>
        <w:autoSpaceDN w:val="0"/>
        <w:adjustRightInd w:val="0"/>
        <w:spacing w:after="0" w:line="240" w:lineRule="auto"/>
        <w:jc w:val="both"/>
        <w:rPr>
          <w:rFonts w:ascii="Times New Roman" w:hAnsi="Times New Roman" w:cs="Times New Roman"/>
          <w:sz w:val="24"/>
          <w:szCs w:val="24"/>
        </w:rPr>
      </w:pPr>
      <w:r w:rsidRPr="000B521F">
        <w:rPr>
          <w:rFonts w:ascii="Times New Roman" w:hAnsi="Times New Roman" w:cs="Times New Roman"/>
          <w:b/>
          <w:sz w:val="24"/>
          <w:szCs w:val="24"/>
        </w:rPr>
        <w:t>Zkvalitnění vzdělávací infrastruktury</w:t>
      </w:r>
      <w:r w:rsidRPr="000B521F">
        <w:rPr>
          <w:rFonts w:ascii="Times New Roman" w:hAnsi="Times New Roman" w:cs="Times New Roman"/>
          <w:sz w:val="24"/>
          <w:szCs w:val="24"/>
        </w:rPr>
        <w:t xml:space="preserve"> a zvýšení efektivity jejího využívání.</w:t>
      </w:r>
    </w:p>
    <w:p w:rsidR="008206A4" w:rsidRPr="000B521F" w:rsidRDefault="00DC5011" w:rsidP="0059011D">
      <w:pPr>
        <w:pStyle w:val="Odstavecseseznamem"/>
        <w:numPr>
          <w:ilvl w:val="0"/>
          <w:numId w:val="28"/>
        </w:numPr>
        <w:autoSpaceDE w:val="0"/>
        <w:autoSpaceDN w:val="0"/>
        <w:adjustRightInd w:val="0"/>
        <w:spacing w:after="0" w:line="240" w:lineRule="auto"/>
        <w:jc w:val="both"/>
        <w:rPr>
          <w:rFonts w:ascii="Times New Roman" w:hAnsi="Times New Roman" w:cs="Times New Roman"/>
          <w:sz w:val="24"/>
          <w:szCs w:val="24"/>
        </w:rPr>
      </w:pPr>
      <w:r w:rsidRPr="000B521F">
        <w:rPr>
          <w:rFonts w:ascii="Times New Roman" w:hAnsi="Times New Roman" w:cs="Times New Roman"/>
          <w:b/>
          <w:sz w:val="24"/>
          <w:szCs w:val="24"/>
        </w:rPr>
        <w:t>Vytvoření uceleného systému národního monitoringu kvality výsledků vzdělávací činnosti</w:t>
      </w:r>
      <w:r w:rsidRPr="000B521F">
        <w:rPr>
          <w:rFonts w:ascii="Times New Roman" w:hAnsi="Times New Roman" w:cs="Times New Roman"/>
          <w:sz w:val="24"/>
          <w:szCs w:val="24"/>
        </w:rPr>
        <w:t xml:space="preserve"> dle doporučení OECD na všech úrovních vzdělávacího systému, aby poskytoval potřebné informace pro systémové řízení na úrovni státu, regionů, škol a učitelů, rodičů a žáků a pro kontinuální zlepšování práce všech aktérů.</w:t>
      </w:r>
    </w:p>
    <w:p w:rsidR="00DC5011" w:rsidRPr="000B521F" w:rsidRDefault="00DC5011" w:rsidP="0059011D">
      <w:pPr>
        <w:pStyle w:val="Odstavecseseznamem"/>
        <w:spacing w:line="240" w:lineRule="auto"/>
        <w:ind w:left="0"/>
        <w:rPr>
          <w:rFonts w:ascii="Times New Roman" w:hAnsi="Times New Roman" w:cs="Times New Roman"/>
          <w:b/>
          <w:i/>
          <w:sz w:val="24"/>
          <w:szCs w:val="24"/>
        </w:rPr>
      </w:pPr>
    </w:p>
    <w:p w:rsidR="00DC5011" w:rsidRPr="000B521F" w:rsidRDefault="00DC5011" w:rsidP="0059011D">
      <w:pPr>
        <w:spacing w:after="120" w:line="240" w:lineRule="auto"/>
        <w:rPr>
          <w:rFonts w:ascii="Times New Roman" w:hAnsi="Times New Roman" w:cs="Times New Roman"/>
          <w:b/>
          <w:i/>
          <w:sz w:val="24"/>
          <w:szCs w:val="24"/>
        </w:rPr>
      </w:pPr>
      <w:r w:rsidRPr="000B521F">
        <w:rPr>
          <w:rFonts w:ascii="Times New Roman" w:hAnsi="Times New Roman" w:cs="Times New Roman"/>
          <w:b/>
          <w:i/>
          <w:sz w:val="24"/>
          <w:szCs w:val="24"/>
        </w:rPr>
        <w:t>2. Nedostatečná dostupnost a kvalita předškolního vzdělávání</w:t>
      </w:r>
    </w:p>
    <w:p w:rsidR="00DC5011" w:rsidRPr="000B521F" w:rsidRDefault="00DC5011"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V mnoha lokalitách je problémem nedostatečná dostupnost předškolního vzdělávání. Situace spojená s nárůstem počtu dětí ve věku 3–5 let v současné době kulminuje a mělo by začít docházet k postupnému snižování jejich počtů, které však bude velmi pozvolné (a problém se přesune na ZŠ). Nejhorší je situace v některých velkých městech a na jejich periferiích. Nízká je účast dětí se sociálním znevýhodněním, což má negativní vliv na jejich sociální začlenění a úspěšnost v dalších stupních vzdělávání. </w:t>
      </w:r>
    </w:p>
    <w:p w:rsidR="00DC5011" w:rsidRPr="000B521F" w:rsidRDefault="00DC5011" w:rsidP="0059011D">
      <w:pPr>
        <w:spacing w:after="120" w:line="240" w:lineRule="auto"/>
        <w:jc w:val="both"/>
        <w:rPr>
          <w:rFonts w:ascii="Times New Roman" w:hAnsi="Times New Roman" w:cs="Times New Roman"/>
          <w:i/>
          <w:sz w:val="24"/>
          <w:szCs w:val="24"/>
        </w:rPr>
      </w:pPr>
      <w:r w:rsidRPr="000B521F">
        <w:rPr>
          <w:rFonts w:ascii="Times New Roman" w:hAnsi="Times New Roman" w:cs="Times New Roman"/>
          <w:i/>
          <w:sz w:val="24"/>
          <w:szCs w:val="24"/>
        </w:rPr>
        <w:t>Potřeby rozvoje:</w:t>
      </w:r>
    </w:p>
    <w:p w:rsidR="00DC5011" w:rsidRPr="000B521F" w:rsidRDefault="00DC5011" w:rsidP="0059011D">
      <w:pPr>
        <w:pStyle w:val="Odstavecseseznamem"/>
        <w:numPr>
          <w:ilvl w:val="0"/>
          <w:numId w:val="29"/>
        </w:numPr>
        <w:autoSpaceDE w:val="0"/>
        <w:autoSpaceDN w:val="0"/>
        <w:adjustRightInd w:val="0"/>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Rozvoj a zkvalitnění kapacit pro předškolní vzdělávání, ať se jedná o kapacity infrastrukturní, vybavení škol či nedostatek kvalifikovaných učitelů.</w:t>
      </w:r>
    </w:p>
    <w:p w:rsidR="0015622A" w:rsidRPr="000B521F" w:rsidRDefault="0015622A" w:rsidP="0059011D">
      <w:pPr>
        <w:pStyle w:val="Odstavecseseznamem"/>
        <w:autoSpaceDE w:val="0"/>
        <w:autoSpaceDN w:val="0"/>
        <w:adjustRightInd w:val="0"/>
        <w:spacing w:after="0" w:line="240" w:lineRule="auto"/>
        <w:ind w:left="0"/>
        <w:jc w:val="both"/>
        <w:rPr>
          <w:rFonts w:ascii="Times New Roman" w:hAnsi="Times New Roman" w:cs="Times New Roman"/>
          <w:sz w:val="24"/>
          <w:szCs w:val="24"/>
        </w:rPr>
      </w:pPr>
    </w:p>
    <w:p w:rsidR="00DC5011" w:rsidRPr="000B521F" w:rsidRDefault="00DC5011" w:rsidP="0059011D">
      <w:pPr>
        <w:spacing w:after="120" w:line="240" w:lineRule="auto"/>
        <w:rPr>
          <w:rFonts w:ascii="Times New Roman" w:hAnsi="Times New Roman" w:cs="Times New Roman"/>
          <w:b/>
          <w:i/>
          <w:sz w:val="24"/>
          <w:szCs w:val="24"/>
        </w:rPr>
      </w:pPr>
      <w:r w:rsidRPr="000B521F">
        <w:rPr>
          <w:rFonts w:ascii="Times New Roman" w:hAnsi="Times New Roman" w:cs="Times New Roman"/>
          <w:b/>
          <w:i/>
          <w:sz w:val="24"/>
          <w:szCs w:val="24"/>
        </w:rPr>
        <w:t>3. Nerovný přístup a nízká schopnost rozvíjet individuální potenciál žáků a studentů</w:t>
      </w:r>
    </w:p>
    <w:p w:rsidR="00DC5011" w:rsidRPr="000B521F" w:rsidRDefault="00DC5011"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Vzdělávací systém v ČR není dostatečně schopen vyrovnávat handicapy znevýhodněných žáků a studentů a rozvíjet individuální potenciál každého člověka, což je zřejmé zejména z následujících aspektů:</w:t>
      </w:r>
    </w:p>
    <w:p w:rsidR="008206A4" w:rsidRPr="000B521F" w:rsidRDefault="00DC5011" w:rsidP="0059011D">
      <w:pPr>
        <w:pStyle w:val="Odstavecseseznamem"/>
        <w:numPr>
          <w:ilvl w:val="0"/>
          <w:numId w:val="30"/>
        </w:numPr>
        <w:autoSpaceDE w:val="0"/>
        <w:autoSpaceDN w:val="0"/>
        <w:adjustRightInd w:val="0"/>
        <w:spacing w:after="0" w:line="240" w:lineRule="auto"/>
        <w:ind w:left="284" w:hanging="284"/>
        <w:jc w:val="both"/>
        <w:rPr>
          <w:rFonts w:ascii="Times New Roman" w:hAnsi="Times New Roman" w:cs="Times New Roman"/>
          <w:sz w:val="24"/>
          <w:szCs w:val="24"/>
        </w:rPr>
      </w:pPr>
      <w:r w:rsidRPr="000B521F">
        <w:rPr>
          <w:rFonts w:ascii="Times New Roman" w:hAnsi="Times New Roman" w:cs="Times New Roman"/>
          <w:sz w:val="24"/>
          <w:szCs w:val="24"/>
        </w:rPr>
        <w:t>Školy nejsou schopny uzpůsobit vzdělávání specifickým potřebám jednotlivých žáků. To se projevuje mimo jiné také na stabilně vysokém podílu odkladů školní docházky.</w:t>
      </w:r>
      <w:r w:rsidRPr="000B521F">
        <w:rPr>
          <w:rStyle w:val="Znakapoznpodarou"/>
          <w:rFonts w:ascii="Times New Roman" w:hAnsi="Times New Roman" w:cs="Times New Roman"/>
          <w:sz w:val="24"/>
          <w:szCs w:val="24"/>
        </w:rPr>
        <w:footnoteReference w:id="26"/>
      </w:r>
    </w:p>
    <w:p w:rsidR="008206A4" w:rsidRPr="000B521F" w:rsidRDefault="00DC5011" w:rsidP="0059011D">
      <w:pPr>
        <w:pStyle w:val="Odstavecseseznamem"/>
        <w:numPr>
          <w:ilvl w:val="0"/>
          <w:numId w:val="30"/>
        </w:numPr>
        <w:autoSpaceDE w:val="0"/>
        <w:autoSpaceDN w:val="0"/>
        <w:adjustRightInd w:val="0"/>
        <w:spacing w:after="0" w:line="240" w:lineRule="auto"/>
        <w:ind w:left="284" w:hanging="284"/>
        <w:jc w:val="both"/>
        <w:rPr>
          <w:rFonts w:ascii="Times New Roman" w:hAnsi="Times New Roman" w:cs="Times New Roman"/>
          <w:sz w:val="24"/>
          <w:szCs w:val="24"/>
        </w:rPr>
      </w:pPr>
      <w:r w:rsidRPr="000B521F">
        <w:rPr>
          <w:rFonts w:ascii="Times New Roman" w:hAnsi="Times New Roman" w:cs="Times New Roman"/>
          <w:b/>
          <w:sz w:val="24"/>
          <w:szCs w:val="24"/>
        </w:rPr>
        <w:t>Regionální školství není dostatečně připraveno na vzdělávání žáků se specifickými vzdělávacími potřebami</w:t>
      </w:r>
      <w:r w:rsidRPr="000B521F">
        <w:rPr>
          <w:rFonts w:ascii="Times New Roman" w:hAnsi="Times New Roman" w:cs="Times New Roman"/>
          <w:sz w:val="24"/>
          <w:szCs w:val="24"/>
        </w:rPr>
        <w:t xml:space="preserve"> (tj. jak zdravotně znevýhodněných, tak těch, kteří pocházejí z handicapujícího socioekonomického prostředí). Na školách nejsou vytvořeny podmínky pro jejich integrované vzdělávání.Nedostatečná je i kvalita a kapacita systému pedagogicko-psychologického poradenství.</w:t>
      </w:r>
    </w:p>
    <w:p w:rsidR="008206A4" w:rsidRPr="000B521F" w:rsidRDefault="00DC5011" w:rsidP="0059011D">
      <w:pPr>
        <w:pStyle w:val="Odstavecseseznamem"/>
        <w:numPr>
          <w:ilvl w:val="0"/>
          <w:numId w:val="30"/>
        </w:numPr>
        <w:autoSpaceDE w:val="0"/>
        <w:autoSpaceDN w:val="0"/>
        <w:adjustRightInd w:val="0"/>
        <w:spacing w:after="0" w:line="240" w:lineRule="auto"/>
        <w:ind w:left="284" w:hanging="284"/>
        <w:jc w:val="both"/>
        <w:rPr>
          <w:rFonts w:ascii="Times New Roman" w:hAnsi="Times New Roman" w:cs="Times New Roman"/>
          <w:sz w:val="24"/>
          <w:szCs w:val="24"/>
        </w:rPr>
      </w:pPr>
      <w:r w:rsidRPr="000B521F">
        <w:rPr>
          <w:rFonts w:ascii="Times New Roman" w:hAnsi="Times New Roman" w:cs="Times New Roman"/>
          <w:b/>
          <w:sz w:val="24"/>
          <w:szCs w:val="24"/>
        </w:rPr>
        <w:t>Na VŠ je podíl studentů se specifickými potřebami nízký.</w:t>
      </w:r>
      <w:r w:rsidRPr="000B521F">
        <w:rPr>
          <w:rFonts w:ascii="Times New Roman" w:hAnsi="Times New Roman" w:cs="Times New Roman"/>
          <w:sz w:val="24"/>
          <w:szCs w:val="24"/>
        </w:rPr>
        <w:t>.</w:t>
      </w:r>
    </w:p>
    <w:p w:rsidR="008206A4" w:rsidRPr="000B521F" w:rsidRDefault="00DC5011" w:rsidP="0059011D">
      <w:pPr>
        <w:pStyle w:val="Odstavecseseznamem"/>
        <w:numPr>
          <w:ilvl w:val="0"/>
          <w:numId w:val="30"/>
        </w:numPr>
        <w:autoSpaceDE w:val="0"/>
        <w:autoSpaceDN w:val="0"/>
        <w:adjustRightInd w:val="0"/>
        <w:spacing w:after="0" w:line="240" w:lineRule="auto"/>
        <w:ind w:left="284" w:hanging="284"/>
        <w:jc w:val="both"/>
        <w:rPr>
          <w:rFonts w:ascii="Times New Roman" w:hAnsi="Times New Roman" w:cs="Times New Roman"/>
          <w:sz w:val="24"/>
          <w:szCs w:val="24"/>
        </w:rPr>
      </w:pPr>
      <w:r w:rsidRPr="000B521F">
        <w:rPr>
          <w:rFonts w:ascii="Times New Roman" w:hAnsi="Times New Roman" w:cs="Times New Roman"/>
          <w:sz w:val="24"/>
          <w:szCs w:val="24"/>
        </w:rPr>
        <w:lastRenderedPageBreak/>
        <w:t>Na vzdělávací (a návazně i profesní) dráhu žáka má vliv rodina a sociální původ. Problémy přetrvávají především v případě dětí z vyloučených či ohrožených skupin obyvatel.</w:t>
      </w:r>
    </w:p>
    <w:p w:rsidR="008206A4" w:rsidRPr="000B521F" w:rsidRDefault="00DC5011" w:rsidP="0059011D">
      <w:pPr>
        <w:pStyle w:val="Odstavecseseznamem"/>
        <w:numPr>
          <w:ilvl w:val="0"/>
          <w:numId w:val="30"/>
        </w:numPr>
        <w:autoSpaceDE w:val="0"/>
        <w:autoSpaceDN w:val="0"/>
        <w:adjustRightInd w:val="0"/>
        <w:spacing w:after="0" w:line="240" w:lineRule="auto"/>
        <w:ind w:left="284" w:hanging="284"/>
        <w:jc w:val="both"/>
        <w:rPr>
          <w:rFonts w:ascii="Times New Roman" w:hAnsi="Times New Roman" w:cs="Times New Roman"/>
          <w:sz w:val="24"/>
          <w:szCs w:val="24"/>
        </w:rPr>
      </w:pPr>
      <w:r w:rsidRPr="000B521F">
        <w:rPr>
          <w:rFonts w:ascii="Times New Roman" w:hAnsi="Times New Roman" w:cs="Times New Roman"/>
          <w:b/>
          <w:sz w:val="24"/>
          <w:szCs w:val="24"/>
        </w:rPr>
        <w:t>Vzdělávací systém neumí dostatečně vyhledávat talentované děti a studenty a rozvíjet jejich potenciál</w:t>
      </w:r>
      <w:r w:rsidRPr="000B521F">
        <w:rPr>
          <w:rFonts w:ascii="Times New Roman" w:hAnsi="Times New Roman" w:cs="Times New Roman"/>
          <w:sz w:val="24"/>
          <w:szCs w:val="24"/>
        </w:rPr>
        <w:t>. Existuje tak reálná hrozba, že ČR přichází a bude přicházet o lidské zdroje s výjimečným potenciálem pro růst ekonomiky a společnosti.</w:t>
      </w:r>
    </w:p>
    <w:p w:rsidR="00DC5011" w:rsidRPr="000B521F" w:rsidRDefault="00DC5011" w:rsidP="0059011D">
      <w:pPr>
        <w:spacing w:after="120" w:line="240" w:lineRule="auto"/>
        <w:jc w:val="both"/>
        <w:rPr>
          <w:rFonts w:ascii="Times New Roman" w:hAnsi="Times New Roman" w:cs="Times New Roman"/>
          <w:i/>
          <w:sz w:val="24"/>
          <w:szCs w:val="24"/>
        </w:rPr>
      </w:pPr>
      <w:r w:rsidRPr="000B521F">
        <w:rPr>
          <w:rFonts w:ascii="Times New Roman" w:hAnsi="Times New Roman" w:cs="Times New Roman"/>
          <w:i/>
          <w:sz w:val="24"/>
          <w:szCs w:val="24"/>
        </w:rPr>
        <w:t>Potřeby rozvoje:</w:t>
      </w:r>
    </w:p>
    <w:p w:rsidR="008206A4" w:rsidRPr="000B521F" w:rsidRDefault="00DC5011" w:rsidP="0059011D">
      <w:pPr>
        <w:pStyle w:val="Odstavecseseznamem"/>
        <w:numPr>
          <w:ilvl w:val="0"/>
          <w:numId w:val="31"/>
        </w:numPr>
        <w:autoSpaceDE w:val="0"/>
        <w:autoSpaceDN w:val="0"/>
        <w:adjustRightInd w:val="0"/>
        <w:spacing w:after="0" w:line="240" w:lineRule="auto"/>
        <w:jc w:val="both"/>
        <w:rPr>
          <w:rFonts w:ascii="Times New Roman" w:hAnsi="Times New Roman" w:cs="Times New Roman"/>
          <w:sz w:val="24"/>
          <w:szCs w:val="24"/>
        </w:rPr>
      </w:pPr>
      <w:r w:rsidRPr="000B521F">
        <w:rPr>
          <w:rFonts w:ascii="Times New Roman" w:hAnsi="Times New Roman" w:cs="Times New Roman"/>
          <w:b/>
          <w:sz w:val="24"/>
          <w:szCs w:val="24"/>
        </w:rPr>
        <w:t xml:space="preserve">Podpora inkluzivního vzdělávání v regionálním školství a podpora individuálního přístupu </w:t>
      </w:r>
      <w:r w:rsidRPr="000B521F">
        <w:rPr>
          <w:rFonts w:ascii="Times New Roman" w:hAnsi="Times New Roman" w:cs="Times New Roman"/>
          <w:sz w:val="24"/>
          <w:szCs w:val="24"/>
        </w:rPr>
        <w:t xml:space="preserve">na všech stupních vzdělávání včetně podpory infrastruktury pro tyto účely. </w:t>
      </w:r>
    </w:p>
    <w:p w:rsidR="008206A4" w:rsidRPr="000B521F" w:rsidRDefault="00DC5011" w:rsidP="0059011D">
      <w:pPr>
        <w:pStyle w:val="Odstavecseseznamem"/>
        <w:numPr>
          <w:ilvl w:val="0"/>
          <w:numId w:val="31"/>
        </w:numPr>
        <w:autoSpaceDE w:val="0"/>
        <w:autoSpaceDN w:val="0"/>
        <w:adjustRightInd w:val="0"/>
        <w:spacing w:after="0" w:line="240" w:lineRule="auto"/>
        <w:jc w:val="both"/>
        <w:rPr>
          <w:rFonts w:ascii="Times New Roman" w:hAnsi="Times New Roman" w:cs="Times New Roman"/>
          <w:sz w:val="24"/>
          <w:szCs w:val="24"/>
        </w:rPr>
      </w:pPr>
      <w:r w:rsidRPr="000B521F">
        <w:rPr>
          <w:rFonts w:ascii="Times New Roman" w:hAnsi="Times New Roman" w:cs="Times New Roman"/>
          <w:b/>
          <w:sz w:val="24"/>
          <w:szCs w:val="24"/>
        </w:rPr>
        <w:t>Komplexní řešení situace dětí z vyloučených či ohrožených skupin obyvatel zejména v sociálně vyloučených lokalitách</w:t>
      </w:r>
      <w:r w:rsidRPr="000B521F">
        <w:rPr>
          <w:rFonts w:ascii="Times New Roman" w:hAnsi="Times New Roman" w:cs="Times New Roman"/>
          <w:sz w:val="24"/>
          <w:szCs w:val="24"/>
        </w:rPr>
        <w:t xml:space="preserve"> – </w:t>
      </w:r>
      <w:r w:rsidRPr="000B521F">
        <w:rPr>
          <w:rFonts w:ascii="Times New Roman" w:eastAsia="Times New Roman" w:hAnsi="Times New Roman" w:cs="Times New Roman"/>
          <w:sz w:val="24"/>
          <w:szCs w:val="24"/>
          <w:lang w:eastAsia="cs-CZ"/>
        </w:rPr>
        <w:t>místní vzdělávací soustava musí reagovat na potřeby dětí se sociálním znevýhodněním komplexním způsobem a v celé délce vzdělávací dráhy, resp. nejméně od předškolní přípravy k u</w:t>
      </w:r>
      <w:r w:rsidR="00636D29" w:rsidRPr="000B521F">
        <w:rPr>
          <w:rFonts w:ascii="Times New Roman" w:eastAsia="Times New Roman" w:hAnsi="Times New Roman" w:cs="Times New Roman"/>
          <w:sz w:val="24"/>
          <w:szCs w:val="24"/>
          <w:lang w:eastAsia="cs-CZ"/>
        </w:rPr>
        <w:t>končení sekundárního vzdělávání a podporovat jejich vzdělávání v hlavním vzdělávacím proudu.</w:t>
      </w:r>
      <w:r w:rsidRPr="000B521F">
        <w:rPr>
          <w:rFonts w:ascii="Times New Roman" w:hAnsi="Times New Roman" w:cs="Times New Roman"/>
          <w:sz w:val="24"/>
          <w:szCs w:val="24"/>
        </w:rPr>
        <w:t xml:space="preserve"> </w:t>
      </w:r>
      <w:r w:rsidR="00636D29" w:rsidRPr="000B521F">
        <w:rPr>
          <w:rFonts w:ascii="Times New Roman" w:hAnsi="Times New Roman" w:cs="Times New Roman"/>
          <w:sz w:val="24"/>
          <w:szCs w:val="24"/>
        </w:rPr>
        <w:t>Nezbytné je p</w:t>
      </w:r>
      <w:r w:rsidRPr="000B521F">
        <w:rPr>
          <w:rFonts w:ascii="Times New Roman" w:hAnsi="Times New Roman" w:cs="Times New Roman"/>
          <w:sz w:val="24"/>
          <w:szCs w:val="24"/>
        </w:rPr>
        <w:t xml:space="preserve">ropojení podpory v oblasti vzdělávání, sociálního začleňování a zaměstnanosti. </w:t>
      </w:r>
    </w:p>
    <w:p w:rsidR="008206A4" w:rsidRPr="000B521F" w:rsidRDefault="00DC5011" w:rsidP="0059011D">
      <w:pPr>
        <w:pStyle w:val="Odstavecseseznamem"/>
        <w:numPr>
          <w:ilvl w:val="0"/>
          <w:numId w:val="31"/>
        </w:numPr>
        <w:autoSpaceDE w:val="0"/>
        <w:autoSpaceDN w:val="0"/>
        <w:adjustRightInd w:val="0"/>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Využití </w:t>
      </w:r>
      <w:r w:rsidRPr="000B521F">
        <w:rPr>
          <w:rFonts w:ascii="Times New Roman" w:hAnsi="Times New Roman" w:cs="Times New Roman"/>
          <w:b/>
          <w:sz w:val="24"/>
          <w:szCs w:val="24"/>
        </w:rPr>
        <w:t>příležitosti rozvíjet potenciál mimořádně nadaných žáků</w:t>
      </w:r>
      <w:r w:rsidRPr="000B521F">
        <w:rPr>
          <w:rFonts w:ascii="Times New Roman" w:hAnsi="Times New Roman" w:cs="Times New Roman"/>
          <w:sz w:val="24"/>
          <w:szCs w:val="24"/>
        </w:rPr>
        <w:t xml:space="preserve"> a zúročit tak růstový potenciál těchto výjimečných lidských zdrojů pro ekonomiku. </w:t>
      </w:r>
    </w:p>
    <w:p w:rsidR="00DC5011" w:rsidRPr="000B521F" w:rsidRDefault="00DC5011" w:rsidP="0059011D">
      <w:pPr>
        <w:pStyle w:val="Odstavecseseznamem"/>
        <w:spacing w:line="240" w:lineRule="auto"/>
        <w:ind w:left="0"/>
        <w:rPr>
          <w:rFonts w:ascii="Times New Roman" w:hAnsi="Times New Roman" w:cs="Times New Roman"/>
          <w:b/>
          <w:i/>
          <w:sz w:val="24"/>
          <w:szCs w:val="24"/>
        </w:rPr>
      </w:pPr>
    </w:p>
    <w:p w:rsidR="00DC5011" w:rsidRPr="000B521F" w:rsidRDefault="00DC5011" w:rsidP="0059011D">
      <w:pPr>
        <w:spacing w:after="120" w:line="240" w:lineRule="auto"/>
        <w:rPr>
          <w:rFonts w:ascii="Times New Roman" w:hAnsi="Times New Roman" w:cs="Times New Roman"/>
          <w:b/>
          <w:i/>
          <w:sz w:val="24"/>
          <w:szCs w:val="24"/>
        </w:rPr>
      </w:pPr>
      <w:r w:rsidRPr="000B521F">
        <w:rPr>
          <w:rFonts w:ascii="Times New Roman" w:hAnsi="Times New Roman" w:cs="Times New Roman"/>
          <w:b/>
          <w:i/>
          <w:sz w:val="24"/>
          <w:szCs w:val="24"/>
        </w:rPr>
        <w:t>4. Nesoulad vzdělávání s požadavky trhu práce</w:t>
      </w:r>
    </w:p>
    <w:p w:rsidR="00DC5011" w:rsidRPr="000B521F" w:rsidRDefault="00DC5011"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Především střední odborné vzdělávání a mnohdy i VŠ vzdělávání často neodpovídá potřebám zaměstnavatelů. Dochází tak k paradoxnímu jevu, kdy stoupá míra nezaměstnanosti a firmy přitom mají problémy při obsazování řady pracovních míst. Problémy lze shrnout následovně:</w:t>
      </w:r>
    </w:p>
    <w:p w:rsidR="008206A4" w:rsidRPr="000B521F" w:rsidRDefault="00DC5011" w:rsidP="0059011D">
      <w:pPr>
        <w:pStyle w:val="Odstavecseseznamem"/>
        <w:numPr>
          <w:ilvl w:val="0"/>
          <w:numId w:val="32"/>
        </w:numPr>
        <w:autoSpaceDE w:val="0"/>
        <w:autoSpaceDN w:val="0"/>
        <w:adjustRightInd w:val="0"/>
        <w:spacing w:after="0" w:line="240" w:lineRule="auto"/>
        <w:ind w:left="284" w:hanging="284"/>
        <w:jc w:val="both"/>
        <w:rPr>
          <w:rFonts w:ascii="Times New Roman" w:hAnsi="Times New Roman" w:cs="Times New Roman"/>
          <w:sz w:val="24"/>
          <w:szCs w:val="24"/>
        </w:rPr>
      </w:pPr>
      <w:r w:rsidRPr="000B521F">
        <w:rPr>
          <w:rFonts w:ascii="Times New Roman" w:hAnsi="Times New Roman" w:cs="Times New Roman"/>
          <w:b/>
          <w:bCs/>
          <w:sz w:val="24"/>
          <w:szCs w:val="24"/>
        </w:rPr>
        <w:t>Nevyhovující struktura vzdělávání</w:t>
      </w:r>
      <w:r w:rsidR="009E5B43" w:rsidRPr="000B521F">
        <w:rPr>
          <w:rFonts w:ascii="Times New Roman" w:hAnsi="Times New Roman" w:cs="Times New Roman"/>
          <w:b/>
          <w:bCs/>
          <w:sz w:val="24"/>
          <w:szCs w:val="24"/>
        </w:rPr>
        <w:t xml:space="preserve"> </w:t>
      </w:r>
      <w:r w:rsidRPr="000B521F">
        <w:rPr>
          <w:rFonts w:ascii="Times New Roman" w:hAnsi="Times New Roman" w:cs="Times New Roman"/>
          <w:sz w:val="24"/>
          <w:szCs w:val="24"/>
        </w:rPr>
        <w:t xml:space="preserve">– to se týká absolventů učebních oborů, středních odborných škol i VŠ. Pro konkurenceschopnost ekonomiky je závažným problémem </w:t>
      </w:r>
      <w:r w:rsidRPr="000B521F">
        <w:rPr>
          <w:rFonts w:ascii="Times New Roman" w:hAnsi="Times New Roman" w:cs="Times New Roman"/>
          <w:b/>
          <w:sz w:val="24"/>
          <w:szCs w:val="24"/>
        </w:rPr>
        <w:t>nedostatečná dostupnost kvalifikovaných pracovníků pro technologicky a znalostně náročná odvětví</w:t>
      </w:r>
      <w:r w:rsidRPr="000B521F">
        <w:rPr>
          <w:rFonts w:ascii="Times New Roman" w:hAnsi="Times New Roman" w:cs="Times New Roman"/>
          <w:sz w:val="24"/>
          <w:szCs w:val="24"/>
        </w:rPr>
        <w:t>. Více než polovině českých firem chybí technicky vzdělaní lidé.</w:t>
      </w:r>
      <w:r w:rsidRPr="000B521F">
        <w:rPr>
          <w:rStyle w:val="Znakapoznpodarou"/>
          <w:rFonts w:ascii="Times New Roman" w:hAnsi="Times New Roman" w:cs="Times New Roman"/>
          <w:sz w:val="24"/>
          <w:szCs w:val="24"/>
        </w:rPr>
        <w:footnoteReference w:id="27"/>
      </w:r>
    </w:p>
    <w:p w:rsidR="008206A4" w:rsidRPr="000B521F" w:rsidRDefault="00DC5011" w:rsidP="0059011D">
      <w:pPr>
        <w:pStyle w:val="Odstavecseseznamem"/>
        <w:numPr>
          <w:ilvl w:val="0"/>
          <w:numId w:val="32"/>
        </w:numPr>
        <w:autoSpaceDE w:val="0"/>
        <w:autoSpaceDN w:val="0"/>
        <w:adjustRightInd w:val="0"/>
        <w:spacing w:after="0" w:line="240" w:lineRule="auto"/>
        <w:ind w:left="284" w:hanging="284"/>
        <w:jc w:val="both"/>
        <w:rPr>
          <w:rFonts w:ascii="Times New Roman" w:hAnsi="Times New Roman" w:cs="Times New Roman"/>
          <w:sz w:val="24"/>
          <w:szCs w:val="24"/>
        </w:rPr>
      </w:pPr>
      <w:r w:rsidRPr="000B521F">
        <w:rPr>
          <w:rFonts w:ascii="Times New Roman" w:hAnsi="Times New Roman" w:cs="Times New Roman"/>
          <w:b/>
          <w:sz w:val="24"/>
          <w:szCs w:val="24"/>
        </w:rPr>
        <w:t>Velmi úzké zaměření oborů</w:t>
      </w:r>
      <w:r w:rsidR="009E5B43" w:rsidRPr="000B521F">
        <w:rPr>
          <w:rFonts w:ascii="Times New Roman" w:hAnsi="Times New Roman" w:cs="Times New Roman"/>
          <w:b/>
          <w:sz w:val="24"/>
          <w:szCs w:val="24"/>
        </w:rPr>
        <w:t xml:space="preserve"> </w:t>
      </w:r>
      <w:r w:rsidRPr="000B521F">
        <w:rPr>
          <w:rFonts w:ascii="Times New Roman" w:hAnsi="Times New Roman" w:cs="Times New Roman"/>
          <w:sz w:val="24"/>
          <w:szCs w:val="24"/>
        </w:rPr>
        <w:t xml:space="preserve">(SŠ) a chybějící klíčové kompetence absolventů včetně jazykových dovedností a podnikavosti a schopnosti získávat nové vědomosti a dovednosti. </w:t>
      </w:r>
    </w:p>
    <w:p w:rsidR="008206A4" w:rsidRPr="000B521F" w:rsidRDefault="00DC5011" w:rsidP="0059011D">
      <w:pPr>
        <w:pStyle w:val="Odstavecseseznamem"/>
        <w:numPr>
          <w:ilvl w:val="0"/>
          <w:numId w:val="32"/>
        </w:numPr>
        <w:autoSpaceDE w:val="0"/>
        <w:autoSpaceDN w:val="0"/>
        <w:adjustRightInd w:val="0"/>
        <w:spacing w:after="0" w:line="240" w:lineRule="auto"/>
        <w:ind w:left="284" w:hanging="284"/>
        <w:jc w:val="both"/>
        <w:rPr>
          <w:rFonts w:ascii="Times New Roman" w:hAnsi="Times New Roman" w:cs="Times New Roman"/>
          <w:sz w:val="24"/>
          <w:szCs w:val="24"/>
        </w:rPr>
      </w:pPr>
      <w:r w:rsidRPr="000B521F">
        <w:rPr>
          <w:rFonts w:ascii="Times New Roman" w:hAnsi="Times New Roman" w:cs="Times New Roman"/>
          <w:b/>
          <w:sz w:val="24"/>
          <w:szCs w:val="24"/>
        </w:rPr>
        <w:t>Odtrženost odborné přípravy od praxe ve firmách</w:t>
      </w:r>
      <w:r w:rsidRPr="000B521F">
        <w:rPr>
          <w:rFonts w:ascii="Times New Roman" w:hAnsi="Times New Roman" w:cs="Times New Roman"/>
          <w:sz w:val="24"/>
          <w:szCs w:val="24"/>
        </w:rPr>
        <w:t>, takže často nekoresponduje s reálnou poptávkou trhu práce. Pouze necelá polovina tuzemských zaměstnavatelů spolupracuje, nejčastěji formou odborných praxí, se vzdělávacími institucemi.</w:t>
      </w:r>
      <w:r w:rsidRPr="000B521F">
        <w:rPr>
          <w:rStyle w:val="Znakapoznpodarou"/>
          <w:rFonts w:ascii="Times New Roman" w:hAnsi="Times New Roman" w:cs="Times New Roman"/>
          <w:sz w:val="24"/>
          <w:szCs w:val="24"/>
        </w:rPr>
        <w:footnoteReference w:id="28"/>
      </w:r>
    </w:p>
    <w:p w:rsidR="008206A4" w:rsidRPr="000B521F" w:rsidRDefault="00DC5011" w:rsidP="0059011D">
      <w:pPr>
        <w:pStyle w:val="Odstavecseseznamem"/>
        <w:numPr>
          <w:ilvl w:val="0"/>
          <w:numId w:val="32"/>
        </w:numPr>
        <w:autoSpaceDE w:val="0"/>
        <w:autoSpaceDN w:val="0"/>
        <w:adjustRightInd w:val="0"/>
        <w:spacing w:after="0" w:line="240" w:lineRule="auto"/>
        <w:ind w:left="284" w:hanging="284"/>
        <w:jc w:val="both"/>
        <w:rPr>
          <w:rFonts w:ascii="Times New Roman" w:hAnsi="Times New Roman" w:cs="Times New Roman"/>
          <w:sz w:val="24"/>
          <w:szCs w:val="24"/>
        </w:rPr>
      </w:pPr>
      <w:r w:rsidRPr="000B521F">
        <w:rPr>
          <w:rFonts w:ascii="Times New Roman" w:hAnsi="Times New Roman" w:cs="Times New Roman"/>
          <w:b/>
          <w:sz w:val="24"/>
          <w:szCs w:val="24"/>
        </w:rPr>
        <w:t>Zastaralé vybavení škol</w:t>
      </w:r>
      <w:r w:rsidR="009B569E" w:rsidRPr="000B521F">
        <w:rPr>
          <w:rFonts w:ascii="Times New Roman" w:hAnsi="Times New Roman" w:cs="Times New Roman"/>
          <w:b/>
          <w:sz w:val="24"/>
          <w:szCs w:val="24"/>
        </w:rPr>
        <w:t xml:space="preserve"> </w:t>
      </w:r>
      <w:r w:rsidRPr="000B521F">
        <w:rPr>
          <w:rFonts w:ascii="Times New Roman" w:hAnsi="Times New Roman" w:cs="Times New Roman"/>
          <w:b/>
          <w:sz w:val="24"/>
          <w:szCs w:val="24"/>
        </w:rPr>
        <w:t>a znalosti pedagogů v oblasti odborného vzdělávání</w:t>
      </w:r>
      <w:r w:rsidRPr="000B521F">
        <w:rPr>
          <w:rFonts w:ascii="Times New Roman" w:hAnsi="Times New Roman" w:cs="Times New Roman"/>
          <w:sz w:val="24"/>
          <w:szCs w:val="24"/>
        </w:rPr>
        <w:t xml:space="preserve"> – jde o prohlubující se problém především v odvětvích, kde je technologický pokrok rychlý a je potřeba flexibilního upgradu vybavení škol i související kontinuální zvyšování odborných znalostí a dovedností pedagogů.</w:t>
      </w:r>
    </w:p>
    <w:p w:rsidR="008206A4" w:rsidRPr="000B521F" w:rsidRDefault="00DC5011" w:rsidP="0059011D">
      <w:pPr>
        <w:pStyle w:val="Odstavecseseznamem"/>
        <w:numPr>
          <w:ilvl w:val="0"/>
          <w:numId w:val="32"/>
        </w:numPr>
        <w:autoSpaceDE w:val="0"/>
        <w:autoSpaceDN w:val="0"/>
        <w:adjustRightInd w:val="0"/>
        <w:spacing w:after="0" w:line="240" w:lineRule="auto"/>
        <w:ind w:left="284" w:hanging="284"/>
        <w:jc w:val="both"/>
        <w:rPr>
          <w:rFonts w:ascii="Times New Roman" w:hAnsi="Times New Roman" w:cs="Times New Roman"/>
          <w:sz w:val="24"/>
          <w:szCs w:val="24"/>
        </w:rPr>
      </w:pPr>
      <w:r w:rsidRPr="000B521F">
        <w:rPr>
          <w:rFonts w:ascii="Times New Roman" w:hAnsi="Times New Roman" w:cs="Times New Roman"/>
          <w:sz w:val="24"/>
          <w:szCs w:val="24"/>
        </w:rPr>
        <w:t>Nedostačující</w:t>
      </w:r>
      <w:r w:rsidR="00DA1222" w:rsidRPr="000B521F">
        <w:rPr>
          <w:rFonts w:ascii="Times New Roman" w:hAnsi="Times New Roman" w:cs="Times New Roman"/>
          <w:sz w:val="24"/>
          <w:szCs w:val="24"/>
        </w:rPr>
        <w:t xml:space="preserve"> </w:t>
      </w:r>
      <w:r w:rsidRPr="000B521F">
        <w:rPr>
          <w:rFonts w:ascii="Times New Roman" w:hAnsi="Times New Roman" w:cs="Times New Roman"/>
          <w:b/>
          <w:sz w:val="24"/>
          <w:szCs w:val="24"/>
        </w:rPr>
        <w:t>spolupráce škol s kariérními poradci</w:t>
      </w:r>
      <w:r w:rsidRPr="000B521F">
        <w:rPr>
          <w:rFonts w:ascii="Times New Roman" w:hAnsi="Times New Roman" w:cs="Times New Roman"/>
          <w:sz w:val="24"/>
          <w:szCs w:val="24"/>
        </w:rPr>
        <w:t xml:space="preserve"> a omezený přístup k informacím o trendech a budoucím vývoji v poptávce po kvalifikacích. </w:t>
      </w:r>
    </w:p>
    <w:p w:rsidR="008206A4" w:rsidRPr="000B521F" w:rsidRDefault="00DC5011" w:rsidP="0059011D">
      <w:pPr>
        <w:pStyle w:val="Odstavecseseznamem"/>
        <w:numPr>
          <w:ilvl w:val="0"/>
          <w:numId w:val="32"/>
        </w:numPr>
        <w:autoSpaceDE w:val="0"/>
        <w:autoSpaceDN w:val="0"/>
        <w:adjustRightInd w:val="0"/>
        <w:spacing w:after="0" w:line="240" w:lineRule="auto"/>
        <w:ind w:left="284" w:hanging="284"/>
        <w:jc w:val="both"/>
        <w:rPr>
          <w:rFonts w:ascii="Times New Roman" w:hAnsi="Times New Roman" w:cs="Times New Roman"/>
          <w:color w:val="000000"/>
          <w:sz w:val="24"/>
          <w:szCs w:val="24"/>
        </w:rPr>
      </w:pPr>
      <w:r w:rsidRPr="000B521F">
        <w:rPr>
          <w:rFonts w:ascii="Times New Roman" w:hAnsi="Times New Roman" w:cs="Times New Roman"/>
          <w:sz w:val="24"/>
          <w:szCs w:val="24"/>
        </w:rPr>
        <w:t xml:space="preserve">Přetrvávající </w:t>
      </w:r>
      <w:r w:rsidRPr="000B521F">
        <w:rPr>
          <w:rFonts w:ascii="Times New Roman" w:hAnsi="Times New Roman" w:cs="Times New Roman"/>
          <w:b/>
          <w:sz w:val="24"/>
          <w:szCs w:val="24"/>
        </w:rPr>
        <w:t>nízké vzájemné propojení počátečního a dalšího vzdělávání a zaměstnavatelské sféry</w:t>
      </w:r>
      <w:r w:rsidRPr="000B521F">
        <w:rPr>
          <w:rFonts w:ascii="Times New Roman" w:hAnsi="Times New Roman" w:cs="Times New Roman"/>
          <w:sz w:val="24"/>
          <w:szCs w:val="24"/>
        </w:rPr>
        <w:t xml:space="preserve">. To neumožňuje jednotlivcům efektivně kombinovat programy počátečního a dalšího vzdělávání v různých fázích vzdělávací dráhy či profesního života pro získání znalostí a dovedností vyplývajících z aktuální poptávky trhu práce. </w:t>
      </w:r>
      <w:r w:rsidRPr="000B521F">
        <w:rPr>
          <w:rFonts w:ascii="Times New Roman" w:hAnsi="Times New Roman" w:cs="Times New Roman"/>
          <w:color w:val="000000"/>
          <w:sz w:val="24"/>
          <w:szCs w:val="24"/>
        </w:rPr>
        <w:t>Dlouhodobě též roste poptávka po VŠ vzdělání mezi středoškolsky vzdělanou generací středního věku, ovšem s vyššími požadavky na flexibilní formy vzdělávání. V řadě případů však školy nedisponují kapacitami pro vzdělávání dospělých.</w:t>
      </w:r>
    </w:p>
    <w:p w:rsidR="00DC5011" w:rsidRPr="000B521F" w:rsidRDefault="00DC5011" w:rsidP="0059011D">
      <w:pPr>
        <w:spacing w:after="120" w:line="240" w:lineRule="auto"/>
        <w:jc w:val="both"/>
        <w:rPr>
          <w:rFonts w:ascii="Times New Roman" w:hAnsi="Times New Roman" w:cs="Times New Roman"/>
          <w:i/>
          <w:sz w:val="24"/>
          <w:szCs w:val="24"/>
        </w:rPr>
      </w:pPr>
      <w:r w:rsidRPr="000B521F">
        <w:rPr>
          <w:rFonts w:ascii="Times New Roman" w:hAnsi="Times New Roman" w:cs="Times New Roman"/>
          <w:i/>
          <w:sz w:val="24"/>
          <w:szCs w:val="24"/>
        </w:rPr>
        <w:t>Potřeby rozvoje:</w:t>
      </w:r>
    </w:p>
    <w:p w:rsidR="008206A4" w:rsidRPr="000B521F" w:rsidRDefault="00DC5011" w:rsidP="0059011D">
      <w:pPr>
        <w:pStyle w:val="Odstavecseseznamem"/>
        <w:numPr>
          <w:ilvl w:val="0"/>
          <w:numId w:val="33"/>
        </w:numPr>
        <w:autoSpaceDE w:val="0"/>
        <w:autoSpaceDN w:val="0"/>
        <w:adjustRightInd w:val="0"/>
        <w:spacing w:after="0" w:line="240" w:lineRule="auto"/>
        <w:jc w:val="both"/>
        <w:rPr>
          <w:rFonts w:ascii="Times New Roman" w:hAnsi="Times New Roman" w:cs="Times New Roman"/>
          <w:color w:val="000000"/>
          <w:sz w:val="24"/>
          <w:szCs w:val="24"/>
        </w:rPr>
      </w:pPr>
      <w:r w:rsidRPr="000B521F">
        <w:rPr>
          <w:rFonts w:ascii="Times New Roman" w:hAnsi="Times New Roman" w:cs="Times New Roman"/>
          <w:b/>
          <w:color w:val="000000"/>
          <w:sz w:val="24"/>
          <w:szCs w:val="24"/>
        </w:rPr>
        <w:lastRenderedPageBreak/>
        <w:t>Posílení přenositelných kompetencí na úkor přílišné specializace ve všech SŠ oborech</w:t>
      </w:r>
      <w:r w:rsidRPr="000B521F">
        <w:rPr>
          <w:rFonts w:ascii="Times New Roman" w:hAnsi="Times New Roman" w:cs="Times New Roman"/>
          <w:color w:val="000000"/>
          <w:sz w:val="24"/>
          <w:szCs w:val="24"/>
        </w:rPr>
        <w:t xml:space="preserve"> – přenositelné kompetence zajistí, že absolventi budou schopni se přizpůsobovat novým technologickým nárokům a vyrovnat se změnou pracovního místa.</w:t>
      </w:r>
    </w:p>
    <w:p w:rsidR="008206A4" w:rsidRPr="000B521F" w:rsidRDefault="00DC5011" w:rsidP="0059011D">
      <w:pPr>
        <w:pStyle w:val="Odstavecseseznamem"/>
        <w:numPr>
          <w:ilvl w:val="0"/>
          <w:numId w:val="33"/>
        </w:numPr>
        <w:autoSpaceDE w:val="0"/>
        <w:autoSpaceDN w:val="0"/>
        <w:adjustRightInd w:val="0"/>
        <w:spacing w:after="0" w:line="240" w:lineRule="auto"/>
        <w:jc w:val="both"/>
        <w:rPr>
          <w:rFonts w:ascii="Times New Roman" w:hAnsi="Times New Roman" w:cs="Times New Roman"/>
          <w:color w:val="000000"/>
          <w:sz w:val="24"/>
          <w:szCs w:val="24"/>
        </w:rPr>
      </w:pPr>
      <w:r w:rsidRPr="000B521F">
        <w:rPr>
          <w:rFonts w:ascii="Times New Roman" w:hAnsi="Times New Roman" w:cs="Times New Roman"/>
          <w:b/>
          <w:color w:val="000000"/>
          <w:sz w:val="24"/>
          <w:szCs w:val="24"/>
        </w:rPr>
        <w:t>Rozvoj strategické spolupráce škol a aktérů trhu práce</w:t>
      </w:r>
      <w:r w:rsidRPr="000B521F">
        <w:rPr>
          <w:rFonts w:ascii="Times New Roman" w:hAnsi="Times New Roman" w:cs="Times New Roman"/>
          <w:color w:val="000000"/>
          <w:sz w:val="24"/>
          <w:szCs w:val="24"/>
        </w:rPr>
        <w:t xml:space="preserve"> – spolupráce na inovacích vzdělávacích </w:t>
      </w:r>
      <w:r w:rsidRPr="000B521F">
        <w:rPr>
          <w:rFonts w:ascii="Times New Roman" w:hAnsi="Times New Roman" w:cs="Times New Roman"/>
          <w:sz w:val="24"/>
          <w:szCs w:val="24"/>
        </w:rPr>
        <w:t>programů</w:t>
      </w:r>
      <w:r w:rsidR="003E2DEF" w:rsidRPr="000B521F">
        <w:rPr>
          <w:rFonts w:ascii="Times New Roman" w:hAnsi="Times New Roman" w:cs="Times New Roman"/>
          <w:sz w:val="24"/>
          <w:szCs w:val="24"/>
        </w:rPr>
        <w:t xml:space="preserve"> a na realizaci</w:t>
      </w:r>
      <w:r w:rsidR="001A1839">
        <w:rPr>
          <w:rFonts w:ascii="Times New Roman" w:hAnsi="Times New Roman" w:cs="Times New Roman"/>
          <w:sz w:val="24"/>
          <w:szCs w:val="24"/>
        </w:rPr>
        <w:t xml:space="preserve"> odborné a</w:t>
      </w:r>
      <w:r w:rsidR="003E2DEF" w:rsidRPr="000B521F">
        <w:rPr>
          <w:rFonts w:ascii="Times New Roman" w:hAnsi="Times New Roman" w:cs="Times New Roman"/>
          <w:sz w:val="24"/>
          <w:szCs w:val="24"/>
        </w:rPr>
        <w:t xml:space="preserve"> praktické výuky</w:t>
      </w:r>
      <w:r w:rsidRPr="000B521F">
        <w:rPr>
          <w:rFonts w:ascii="Times New Roman" w:hAnsi="Times New Roman" w:cs="Times New Roman"/>
          <w:color w:val="000000"/>
          <w:sz w:val="24"/>
          <w:szCs w:val="24"/>
        </w:rPr>
        <w:t>, zavádění prvků rozvoje kooperativního modelu spo</w:t>
      </w:r>
      <w:r w:rsidR="003E2DEF" w:rsidRPr="000B521F">
        <w:rPr>
          <w:rFonts w:ascii="Times New Roman" w:hAnsi="Times New Roman" w:cs="Times New Roman"/>
          <w:color w:val="000000"/>
          <w:sz w:val="24"/>
          <w:szCs w:val="24"/>
        </w:rPr>
        <w:t>lupráce škol a zaměstnavatelů</w:t>
      </w:r>
      <w:r w:rsidR="00A62916" w:rsidRPr="000B521F">
        <w:rPr>
          <w:rFonts w:ascii="Times New Roman" w:hAnsi="Times New Roman" w:cs="Times New Roman"/>
          <w:color w:val="000000"/>
          <w:sz w:val="24"/>
          <w:szCs w:val="24"/>
        </w:rPr>
        <w:t xml:space="preserve"> zejména na regionální úrovni</w:t>
      </w:r>
    </w:p>
    <w:p w:rsidR="008206A4" w:rsidRPr="000B521F" w:rsidRDefault="00DC5011" w:rsidP="0059011D">
      <w:pPr>
        <w:pStyle w:val="Odstavecseseznamem"/>
        <w:numPr>
          <w:ilvl w:val="0"/>
          <w:numId w:val="33"/>
        </w:numPr>
        <w:autoSpaceDE w:val="0"/>
        <w:autoSpaceDN w:val="0"/>
        <w:adjustRightInd w:val="0"/>
        <w:spacing w:after="0" w:line="240" w:lineRule="auto"/>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 xml:space="preserve">Rozvoj </w:t>
      </w:r>
      <w:r w:rsidRPr="000B521F">
        <w:rPr>
          <w:rFonts w:ascii="Times New Roman" w:hAnsi="Times New Roman" w:cs="Times New Roman"/>
          <w:b/>
          <w:color w:val="000000"/>
          <w:sz w:val="24"/>
          <w:szCs w:val="24"/>
        </w:rPr>
        <w:t>systému kariérního poradenství</w:t>
      </w:r>
      <w:r w:rsidRPr="000B521F">
        <w:rPr>
          <w:rFonts w:ascii="Times New Roman" w:hAnsi="Times New Roman" w:cs="Times New Roman"/>
          <w:color w:val="000000"/>
          <w:sz w:val="24"/>
          <w:szCs w:val="24"/>
        </w:rPr>
        <w:t xml:space="preserve">. </w:t>
      </w:r>
    </w:p>
    <w:p w:rsidR="008206A4" w:rsidRPr="000B521F" w:rsidRDefault="00DC5011" w:rsidP="0059011D">
      <w:pPr>
        <w:pStyle w:val="Odstavecseseznamem"/>
        <w:numPr>
          <w:ilvl w:val="0"/>
          <w:numId w:val="33"/>
        </w:numPr>
        <w:autoSpaceDE w:val="0"/>
        <w:autoSpaceDN w:val="0"/>
        <w:adjustRightInd w:val="0"/>
        <w:spacing w:after="0" w:line="240" w:lineRule="auto"/>
        <w:jc w:val="both"/>
        <w:rPr>
          <w:rFonts w:ascii="Times New Roman" w:hAnsi="Times New Roman" w:cs="Times New Roman"/>
          <w:color w:val="000000"/>
          <w:sz w:val="24"/>
          <w:szCs w:val="24"/>
        </w:rPr>
      </w:pPr>
      <w:r w:rsidRPr="000B521F">
        <w:rPr>
          <w:rFonts w:ascii="Times New Roman" w:hAnsi="Times New Roman" w:cs="Times New Roman"/>
          <w:b/>
          <w:color w:val="000000"/>
          <w:sz w:val="24"/>
          <w:szCs w:val="24"/>
        </w:rPr>
        <w:t>Podpora zájmu dětí a mládeže zejména o technicky a znalostně náročné obory</w:t>
      </w:r>
      <w:r w:rsidRPr="000B521F">
        <w:rPr>
          <w:rFonts w:ascii="Times New Roman" w:hAnsi="Times New Roman" w:cs="Times New Roman"/>
          <w:color w:val="000000"/>
          <w:sz w:val="24"/>
          <w:szCs w:val="24"/>
        </w:rPr>
        <w:t xml:space="preserve"> (nabídka polytechnických aktivit v MŠ a ZŠ, popularizace technických</w:t>
      </w:r>
      <w:r w:rsidR="009B569E" w:rsidRPr="000B521F">
        <w:rPr>
          <w:rFonts w:ascii="Times New Roman" w:hAnsi="Times New Roman" w:cs="Times New Roman"/>
          <w:color w:val="000000"/>
          <w:sz w:val="24"/>
          <w:szCs w:val="24"/>
        </w:rPr>
        <w:t xml:space="preserve"> a přírodovědných</w:t>
      </w:r>
      <w:r w:rsidRPr="000B521F">
        <w:rPr>
          <w:rFonts w:ascii="Times New Roman" w:hAnsi="Times New Roman" w:cs="Times New Roman"/>
          <w:color w:val="000000"/>
          <w:sz w:val="24"/>
          <w:szCs w:val="24"/>
        </w:rPr>
        <w:t xml:space="preserve"> oborů</w:t>
      </w:r>
      <w:r w:rsidR="00C539EE" w:rsidRPr="000B521F">
        <w:rPr>
          <w:rFonts w:ascii="Times New Roman" w:hAnsi="Times New Roman" w:cs="Times New Roman"/>
          <w:color w:val="000000"/>
          <w:sz w:val="24"/>
          <w:szCs w:val="24"/>
        </w:rPr>
        <w:t xml:space="preserve"> na SŠ a VŠ</w:t>
      </w:r>
      <w:r w:rsidRPr="000B521F">
        <w:rPr>
          <w:rFonts w:ascii="Times New Roman" w:hAnsi="Times New Roman" w:cs="Times New Roman"/>
          <w:color w:val="000000"/>
          <w:sz w:val="24"/>
          <w:szCs w:val="24"/>
        </w:rPr>
        <w:t>).</w:t>
      </w:r>
    </w:p>
    <w:p w:rsidR="008206A4" w:rsidRPr="000B521F" w:rsidRDefault="00DC5011" w:rsidP="0059011D">
      <w:pPr>
        <w:pStyle w:val="Odstavecseseznamem"/>
        <w:numPr>
          <w:ilvl w:val="0"/>
          <w:numId w:val="33"/>
        </w:numPr>
        <w:autoSpaceDE w:val="0"/>
        <w:autoSpaceDN w:val="0"/>
        <w:adjustRightInd w:val="0"/>
        <w:spacing w:after="0" w:line="240" w:lineRule="auto"/>
        <w:jc w:val="both"/>
        <w:rPr>
          <w:rFonts w:ascii="Times New Roman" w:hAnsi="Times New Roman" w:cs="Times New Roman"/>
          <w:sz w:val="24"/>
          <w:szCs w:val="24"/>
        </w:rPr>
      </w:pPr>
      <w:r w:rsidRPr="000B521F">
        <w:rPr>
          <w:rFonts w:ascii="Times New Roman" w:hAnsi="Times New Roman" w:cs="Times New Roman"/>
          <w:color w:val="000000"/>
          <w:sz w:val="24"/>
          <w:szCs w:val="24"/>
        </w:rPr>
        <w:t xml:space="preserve">Možnost </w:t>
      </w:r>
      <w:r w:rsidRPr="000B521F">
        <w:rPr>
          <w:rFonts w:ascii="Times New Roman" w:hAnsi="Times New Roman" w:cs="Times New Roman"/>
          <w:b/>
          <w:color w:val="000000"/>
          <w:sz w:val="24"/>
          <w:szCs w:val="24"/>
        </w:rPr>
        <w:t xml:space="preserve">využití kapacit odborných středních škol i vysokých škol pro vzdělávání </w:t>
      </w:r>
      <w:r w:rsidRPr="000B521F">
        <w:rPr>
          <w:rFonts w:ascii="Times New Roman" w:hAnsi="Times New Roman" w:cs="Times New Roman"/>
          <w:color w:val="000000"/>
          <w:sz w:val="24"/>
          <w:szCs w:val="24"/>
        </w:rPr>
        <w:t xml:space="preserve">za účelem zlepšování uplatnitelnosti dospělých především se středním vzděláním. </w:t>
      </w:r>
      <w:r w:rsidRPr="000B521F">
        <w:rPr>
          <w:rFonts w:ascii="Times New Roman" w:hAnsi="Times New Roman" w:cs="Times New Roman"/>
          <w:b/>
          <w:color w:val="000000"/>
          <w:sz w:val="24"/>
          <w:szCs w:val="24"/>
        </w:rPr>
        <w:t>Z</w:t>
      </w:r>
      <w:r w:rsidRPr="000B521F">
        <w:rPr>
          <w:rFonts w:ascii="Times New Roman" w:hAnsi="Times New Roman" w:cs="Times New Roman"/>
          <w:b/>
          <w:sz w:val="24"/>
          <w:szCs w:val="24"/>
        </w:rPr>
        <w:t>jednodušení prostupnosti mezi programy počátečního a dalšího vzdělávání a zvýšením jejich kompatibility a relevance ke kvalifikačním požadavkům trhu práce</w:t>
      </w:r>
      <w:r w:rsidRPr="000B521F">
        <w:rPr>
          <w:rFonts w:ascii="Times New Roman" w:hAnsi="Times New Roman" w:cs="Times New Roman"/>
          <w:sz w:val="24"/>
          <w:szCs w:val="24"/>
        </w:rPr>
        <w:t>.</w:t>
      </w:r>
    </w:p>
    <w:p w:rsidR="00DC5011" w:rsidRPr="000B521F" w:rsidRDefault="00DC5011" w:rsidP="0059011D">
      <w:pPr>
        <w:spacing w:after="120" w:line="240" w:lineRule="auto"/>
        <w:jc w:val="both"/>
        <w:rPr>
          <w:rFonts w:ascii="Times New Roman" w:hAnsi="Times New Roman" w:cs="Times New Roman"/>
          <w:bCs/>
          <w:sz w:val="24"/>
          <w:szCs w:val="24"/>
        </w:rPr>
      </w:pPr>
    </w:p>
    <w:p w:rsidR="00DC5011" w:rsidRPr="000B521F" w:rsidRDefault="00DC5011" w:rsidP="0059011D">
      <w:pPr>
        <w:spacing w:after="120" w:line="240" w:lineRule="auto"/>
        <w:rPr>
          <w:rFonts w:ascii="Times New Roman" w:hAnsi="Times New Roman" w:cs="Times New Roman"/>
          <w:b/>
          <w:i/>
          <w:sz w:val="24"/>
          <w:szCs w:val="24"/>
        </w:rPr>
      </w:pPr>
      <w:r w:rsidRPr="000B521F">
        <w:rPr>
          <w:rFonts w:ascii="Times New Roman" w:hAnsi="Times New Roman" w:cs="Times New Roman"/>
          <w:b/>
          <w:i/>
          <w:sz w:val="24"/>
          <w:szCs w:val="24"/>
        </w:rPr>
        <w:t>5. Kvalita vysokoškolského vzdělávání a využití jeho potenciálu pro konkurenceschopnost</w:t>
      </w:r>
    </w:p>
    <w:p w:rsidR="00DC5011" w:rsidRPr="000B521F" w:rsidRDefault="00DC5011"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Vysoké školy v mezinárodních žebříčcích kvality dosahují velmi nízké umístění ve srovnání se zeměmi podobné velikosti (např. Nizozemí, Rakousko) a tato pozice se viditelně nezlepšuje.</w:t>
      </w:r>
      <w:r w:rsidRPr="000B521F">
        <w:rPr>
          <w:rStyle w:val="Znakapoznpodarou"/>
          <w:rFonts w:ascii="Times New Roman" w:hAnsi="Times New Roman" w:cs="Times New Roman"/>
          <w:sz w:val="24"/>
          <w:szCs w:val="24"/>
        </w:rPr>
        <w:footnoteReference w:id="29"/>
      </w:r>
      <w:r w:rsidR="008206A4" w:rsidRPr="000B521F">
        <w:rPr>
          <w:rFonts w:ascii="Times New Roman" w:hAnsi="Times New Roman" w:cs="Times New Roman"/>
          <w:sz w:val="24"/>
          <w:szCs w:val="24"/>
        </w:rPr>
        <w:t xml:space="preserve"> </w:t>
      </w:r>
      <w:r w:rsidRPr="000B521F">
        <w:rPr>
          <w:rFonts w:ascii="Times New Roman" w:hAnsi="Times New Roman" w:cs="Times New Roman"/>
          <w:b/>
          <w:sz w:val="24"/>
          <w:szCs w:val="24"/>
        </w:rPr>
        <w:t>Kvalita absolventů VŠ</w:t>
      </w:r>
      <w:r w:rsidRPr="000B521F">
        <w:rPr>
          <w:rFonts w:ascii="Times New Roman" w:hAnsi="Times New Roman" w:cs="Times New Roman"/>
          <w:sz w:val="24"/>
          <w:szCs w:val="24"/>
        </w:rPr>
        <w:t xml:space="preserve"> je vnímána jako závažný problém i ze strany zaměstnavatelů.</w:t>
      </w:r>
      <w:r w:rsidRPr="000B521F">
        <w:rPr>
          <w:rStyle w:val="Znakapoznpodarou"/>
          <w:rFonts w:ascii="Times New Roman" w:hAnsi="Times New Roman" w:cs="Times New Roman"/>
          <w:sz w:val="24"/>
          <w:szCs w:val="24"/>
        </w:rPr>
        <w:footnoteReference w:id="30"/>
      </w:r>
      <w:r w:rsidR="008206A4" w:rsidRPr="000B521F">
        <w:rPr>
          <w:rFonts w:ascii="Times New Roman" w:hAnsi="Times New Roman" w:cs="Times New Roman"/>
          <w:sz w:val="24"/>
          <w:szCs w:val="24"/>
        </w:rPr>
        <w:t xml:space="preserve"> </w:t>
      </w:r>
      <w:r w:rsidRPr="000B521F">
        <w:rPr>
          <w:rFonts w:ascii="Times New Roman" w:hAnsi="Times New Roman" w:cs="Times New Roman"/>
          <w:sz w:val="24"/>
          <w:szCs w:val="24"/>
        </w:rPr>
        <w:t>Lze shrnout, že VŠ vzdělávání trpí následujícími vzájemně provázanými problémy:</w:t>
      </w:r>
    </w:p>
    <w:p w:rsidR="008206A4" w:rsidRPr="000B521F" w:rsidRDefault="00DC5011" w:rsidP="0059011D">
      <w:pPr>
        <w:pStyle w:val="Odstavecseseznamem"/>
        <w:numPr>
          <w:ilvl w:val="0"/>
          <w:numId w:val="32"/>
        </w:numPr>
        <w:autoSpaceDE w:val="0"/>
        <w:autoSpaceDN w:val="0"/>
        <w:adjustRightInd w:val="0"/>
        <w:spacing w:after="0" w:line="240" w:lineRule="auto"/>
        <w:ind w:left="284" w:hanging="284"/>
        <w:jc w:val="both"/>
        <w:rPr>
          <w:rFonts w:ascii="Times New Roman" w:hAnsi="Times New Roman" w:cs="Times New Roman"/>
          <w:sz w:val="24"/>
          <w:szCs w:val="24"/>
        </w:rPr>
      </w:pPr>
      <w:r w:rsidRPr="000B521F">
        <w:rPr>
          <w:rFonts w:ascii="Times New Roman" w:hAnsi="Times New Roman" w:cs="Times New Roman"/>
          <w:sz w:val="24"/>
          <w:szCs w:val="24"/>
        </w:rPr>
        <w:t>Chybí</w:t>
      </w:r>
      <w:r w:rsidRPr="000B521F">
        <w:rPr>
          <w:rFonts w:ascii="Times New Roman" w:hAnsi="Times New Roman" w:cs="Times New Roman"/>
          <w:b/>
          <w:sz w:val="24"/>
          <w:szCs w:val="24"/>
        </w:rPr>
        <w:t xml:space="preserve"> profilace dle silných stránek jednotlivých vysokých škol a oborů</w:t>
      </w:r>
      <w:r w:rsidRPr="000B521F">
        <w:rPr>
          <w:rFonts w:ascii="Times New Roman" w:hAnsi="Times New Roman" w:cs="Times New Roman"/>
          <w:sz w:val="24"/>
          <w:szCs w:val="24"/>
        </w:rPr>
        <w:t xml:space="preserve">. Nabídka profesně orientovaných studijních programů je limitována. Výsledkem je vysoký podíl absolventů s </w:t>
      </w:r>
      <w:r w:rsidRPr="000B521F">
        <w:rPr>
          <w:rFonts w:ascii="Times New Roman" w:hAnsi="Times New Roman" w:cs="Times New Roman"/>
          <w:color w:val="000000"/>
          <w:sz w:val="24"/>
          <w:szCs w:val="24"/>
        </w:rPr>
        <w:t>magisterským</w:t>
      </w:r>
      <w:r w:rsidRPr="000B521F">
        <w:rPr>
          <w:rFonts w:ascii="Times New Roman" w:hAnsi="Times New Roman" w:cs="Times New Roman"/>
          <w:sz w:val="24"/>
          <w:szCs w:val="24"/>
        </w:rPr>
        <w:t xml:space="preserve"> titulem a malý podíl profesně orientovaných bakalářských absolventů mířících na trh práce. </w:t>
      </w:r>
    </w:p>
    <w:p w:rsidR="008206A4" w:rsidRPr="000B521F" w:rsidRDefault="00DC5011" w:rsidP="0059011D">
      <w:pPr>
        <w:pStyle w:val="Odstavecseseznamem"/>
        <w:numPr>
          <w:ilvl w:val="0"/>
          <w:numId w:val="32"/>
        </w:numPr>
        <w:autoSpaceDE w:val="0"/>
        <w:autoSpaceDN w:val="0"/>
        <w:adjustRightInd w:val="0"/>
        <w:spacing w:after="0" w:line="240" w:lineRule="auto"/>
        <w:ind w:left="284" w:hanging="284"/>
        <w:jc w:val="both"/>
        <w:rPr>
          <w:rFonts w:ascii="Times New Roman" w:hAnsi="Times New Roman" w:cs="Times New Roman"/>
          <w:color w:val="000000"/>
          <w:sz w:val="24"/>
          <w:szCs w:val="24"/>
        </w:rPr>
      </w:pPr>
      <w:r w:rsidRPr="000B521F">
        <w:rPr>
          <w:rFonts w:ascii="Times New Roman" w:hAnsi="Times New Roman" w:cs="Times New Roman"/>
          <w:b/>
          <w:sz w:val="24"/>
          <w:szCs w:val="24"/>
        </w:rPr>
        <w:t>Dlouhá průměrná doba VŠ studia a vysoká míra předčasného ukončení studia.</w:t>
      </w:r>
    </w:p>
    <w:p w:rsidR="008206A4" w:rsidRPr="000B521F" w:rsidRDefault="00DC5011" w:rsidP="0059011D">
      <w:pPr>
        <w:pStyle w:val="Odstavecseseznamem"/>
        <w:numPr>
          <w:ilvl w:val="0"/>
          <w:numId w:val="32"/>
        </w:numPr>
        <w:autoSpaceDE w:val="0"/>
        <w:autoSpaceDN w:val="0"/>
        <w:adjustRightInd w:val="0"/>
        <w:spacing w:after="0" w:line="240" w:lineRule="auto"/>
        <w:ind w:left="284" w:hanging="284"/>
        <w:jc w:val="both"/>
        <w:rPr>
          <w:rFonts w:ascii="Times New Roman" w:hAnsi="Times New Roman" w:cs="Times New Roman"/>
          <w:sz w:val="24"/>
          <w:szCs w:val="24"/>
        </w:rPr>
      </w:pPr>
      <w:r w:rsidRPr="000B521F">
        <w:rPr>
          <w:rFonts w:ascii="Times New Roman" w:hAnsi="Times New Roman" w:cs="Times New Roman"/>
          <w:b/>
          <w:color w:val="000000"/>
          <w:sz w:val="24"/>
          <w:szCs w:val="24"/>
        </w:rPr>
        <w:t>Nedostatečně inovativní metody výuky</w:t>
      </w:r>
      <w:r w:rsidRPr="000B521F">
        <w:rPr>
          <w:rFonts w:ascii="Times New Roman" w:hAnsi="Times New Roman" w:cs="Times New Roman"/>
          <w:color w:val="000000"/>
          <w:sz w:val="24"/>
          <w:szCs w:val="24"/>
        </w:rPr>
        <w:t xml:space="preserve"> včetně interaktivního výukového prostředí.</w:t>
      </w:r>
      <w:r w:rsidR="008206A4" w:rsidRPr="000B521F">
        <w:rPr>
          <w:rFonts w:ascii="Times New Roman" w:hAnsi="Times New Roman" w:cs="Times New Roman"/>
          <w:color w:val="000000"/>
          <w:sz w:val="24"/>
          <w:szCs w:val="24"/>
        </w:rPr>
        <w:t xml:space="preserve"> </w:t>
      </w:r>
      <w:r w:rsidRPr="000B521F">
        <w:rPr>
          <w:rFonts w:ascii="Times New Roman" w:hAnsi="Times New Roman" w:cs="Times New Roman"/>
          <w:color w:val="000000"/>
          <w:sz w:val="24"/>
          <w:szCs w:val="24"/>
        </w:rPr>
        <w:t>Chybějící</w:t>
      </w:r>
      <w:r w:rsidR="008206A4" w:rsidRPr="000B521F">
        <w:rPr>
          <w:rFonts w:ascii="Times New Roman" w:hAnsi="Times New Roman" w:cs="Times New Roman"/>
          <w:color w:val="000000"/>
          <w:sz w:val="24"/>
          <w:szCs w:val="24"/>
        </w:rPr>
        <w:t xml:space="preserve"> </w:t>
      </w:r>
      <w:r w:rsidRPr="000B521F">
        <w:rPr>
          <w:rFonts w:ascii="Times New Roman" w:hAnsi="Times New Roman" w:cs="Times New Roman"/>
          <w:b/>
          <w:color w:val="000000"/>
          <w:sz w:val="24"/>
          <w:szCs w:val="24"/>
        </w:rPr>
        <w:t>spolupráce s odborníky z praxe</w:t>
      </w:r>
      <w:r w:rsidRPr="000B521F">
        <w:rPr>
          <w:rFonts w:ascii="Times New Roman" w:hAnsi="Times New Roman" w:cs="Times New Roman"/>
          <w:color w:val="000000"/>
          <w:sz w:val="24"/>
          <w:szCs w:val="24"/>
        </w:rPr>
        <w:t xml:space="preserve"> a důraz na související měkké dovednosti.</w:t>
      </w:r>
    </w:p>
    <w:p w:rsidR="008206A4" w:rsidRPr="000B521F" w:rsidRDefault="00DC5011" w:rsidP="0059011D">
      <w:pPr>
        <w:pStyle w:val="Odstavecseseznamem"/>
        <w:numPr>
          <w:ilvl w:val="0"/>
          <w:numId w:val="32"/>
        </w:numPr>
        <w:autoSpaceDE w:val="0"/>
        <w:autoSpaceDN w:val="0"/>
        <w:adjustRightInd w:val="0"/>
        <w:spacing w:after="0" w:line="240" w:lineRule="auto"/>
        <w:ind w:left="284" w:hanging="284"/>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 xml:space="preserve">Není zaveden </w:t>
      </w:r>
      <w:r w:rsidRPr="000B521F">
        <w:rPr>
          <w:rFonts w:ascii="Times New Roman" w:hAnsi="Times New Roman" w:cs="Times New Roman"/>
          <w:b/>
          <w:color w:val="000000"/>
          <w:sz w:val="24"/>
          <w:szCs w:val="24"/>
        </w:rPr>
        <w:t>systém hodnocení kvality</w:t>
      </w:r>
      <w:r w:rsidRPr="000B521F">
        <w:rPr>
          <w:rFonts w:ascii="Times New Roman" w:hAnsi="Times New Roman" w:cs="Times New Roman"/>
          <w:color w:val="000000"/>
          <w:sz w:val="24"/>
          <w:szCs w:val="24"/>
        </w:rPr>
        <w:t xml:space="preserve"> – úzce souvisí s problémem efektivity financování vysokých škol, na který upozorňují i Specifická doporučení Rady k NPR 2013.</w:t>
      </w:r>
    </w:p>
    <w:p w:rsidR="008206A4" w:rsidRPr="000B521F" w:rsidRDefault="00DC5011" w:rsidP="0059011D">
      <w:pPr>
        <w:pStyle w:val="Odstavecseseznamem"/>
        <w:numPr>
          <w:ilvl w:val="0"/>
          <w:numId w:val="32"/>
        </w:numPr>
        <w:autoSpaceDE w:val="0"/>
        <w:autoSpaceDN w:val="0"/>
        <w:adjustRightInd w:val="0"/>
        <w:spacing w:after="0" w:line="240" w:lineRule="auto"/>
        <w:ind w:left="284" w:hanging="284"/>
        <w:jc w:val="both"/>
        <w:rPr>
          <w:rFonts w:ascii="Times New Roman" w:hAnsi="Times New Roman" w:cs="Times New Roman"/>
          <w:sz w:val="24"/>
          <w:szCs w:val="24"/>
        </w:rPr>
      </w:pPr>
      <w:r w:rsidRPr="000B521F">
        <w:rPr>
          <w:rFonts w:ascii="Times New Roman" w:hAnsi="Times New Roman" w:cs="Times New Roman"/>
          <w:sz w:val="24"/>
          <w:szCs w:val="24"/>
        </w:rPr>
        <w:t xml:space="preserve">Nízká míra </w:t>
      </w:r>
      <w:r w:rsidRPr="000B521F">
        <w:rPr>
          <w:rFonts w:ascii="Times New Roman" w:hAnsi="Times New Roman" w:cs="Times New Roman"/>
          <w:b/>
          <w:sz w:val="24"/>
          <w:szCs w:val="24"/>
        </w:rPr>
        <w:t>mezinárodní spolupráce a internacionalizace českých VŠ</w:t>
      </w:r>
      <w:r w:rsidRPr="000B521F">
        <w:rPr>
          <w:rFonts w:ascii="Times New Roman" w:hAnsi="Times New Roman" w:cs="Times New Roman"/>
          <w:sz w:val="24"/>
          <w:szCs w:val="24"/>
        </w:rPr>
        <w:t xml:space="preserve"> včetně nedostatečného využití potenciálu přeshraniční spolupráce jak mezi vysokými školami, tak mezi VŠ a aplikační sférou. </w:t>
      </w:r>
    </w:p>
    <w:p w:rsidR="008206A4" w:rsidRPr="000B521F" w:rsidRDefault="00DC5011" w:rsidP="0059011D">
      <w:pPr>
        <w:pStyle w:val="Odstavecseseznamem"/>
        <w:numPr>
          <w:ilvl w:val="0"/>
          <w:numId w:val="32"/>
        </w:numPr>
        <w:autoSpaceDE w:val="0"/>
        <w:autoSpaceDN w:val="0"/>
        <w:adjustRightInd w:val="0"/>
        <w:spacing w:after="0" w:line="240" w:lineRule="auto"/>
        <w:ind w:left="284" w:hanging="284"/>
        <w:jc w:val="both"/>
        <w:rPr>
          <w:rFonts w:ascii="Times New Roman" w:hAnsi="Times New Roman" w:cs="Times New Roman"/>
          <w:sz w:val="24"/>
          <w:szCs w:val="24"/>
        </w:rPr>
      </w:pPr>
      <w:r w:rsidRPr="000B521F">
        <w:rPr>
          <w:rFonts w:ascii="Times New Roman" w:hAnsi="Times New Roman" w:cs="Times New Roman"/>
          <w:b/>
          <w:sz w:val="24"/>
          <w:szCs w:val="24"/>
        </w:rPr>
        <w:t>Neuspokojivý stav vybavení škol</w:t>
      </w:r>
      <w:r w:rsidRPr="000B521F">
        <w:rPr>
          <w:rFonts w:ascii="Times New Roman" w:hAnsi="Times New Roman" w:cs="Times New Roman"/>
          <w:sz w:val="24"/>
          <w:szCs w:val="24"/>
        </w:rPr>
        <w:t>, které nesplňuje standardy moderních výzkumných a vzdělávacích trendů. Nevyhovující je stav přístrojového a softwarového vybavení i stav prostor pro praktickou část výuky. Tento stav je obzvlášť závažný u VŠ v Praze.</w:t>
      </w:r>
    </w:p>
    <w:p w:rsidR="008206A4" w:rsidRPr="000B521F" w:rsidRDefault="00DC5011" w:rsidP="0059011D">
      <w:pPr>
        <w:pStyle w:val="Odstavecseseznamem"/>
        <w:numPr>
          <w:ilvl w:val="0"/>
          <w:numId w:val="32"/>
        </w:numPr>
        <w:autoSpaceDE w:val="0"/>
        <w:autoSpaceDN w:val="0"/>
        <w:adjustRightInd w:val="0"/>
        <w:spacing w:after="0" w:line="240" w:lineRule="auto"/>
        <w:ind w:left="284" w:hanging="284"/>
        <w:jc w:val="both"/>
        <w:rPr>
          <w:rFonts w:ascii="Times New Roman" w:hAnsi="Times New Roman" w:cs="Times New Roman"/>
          <w:sz w:val="24"/>
          <w:szCs w:val="24"/>
        </w:rPr>
      </w:pPr>
      <w:r w:rsidRPr="000B521F">
        <w:rPr>
          <w:rFonts w:ascii="Times New Roman" w:hAnsi="Times New Roman" w:cs="Times New Roman"/>
          <w:b/>
          <w:sz w:val="24"/>
          <w:szCs w:val="24"/>
        </w:rPr>
        <w:t>Nedostatečně rozvinutá špičková výuka spojená s výzkumem</w:t>
      </w:r>
      <w:r w:rsidRPr="000B521F">
        <w:rPr>
          <w:rFonts w:ascii="Times New Roman" w:hAnsi="Times New Roman" w:cs="Times New Roman"/>
          <w:sz w:val="24"/>
          <w:szCs w:val="24"/>
        </w:rPr>
        <w:t>, která by generovala vysoce kvalifikované lidské zdroje – tahouny znalostně náročných odvětví a inovací. Problémem je též nedostatek</w:t>
      </w:r>
      <w:r w:rsidR="00295EA5" w:rsidRPr="000B521F">
        <w:rPr>
          <w:rFonts w:ascii="Times New Roman" w:hAnsi="Times New Roman" w:cs="Times New Roman"/>
          <w:sz w:val="24"/>
          <w:szCs w:val="24"/>
        </w:rPr>
        <w:t xml:space="preserve"> </w:t>
      </w:r>
      <w:r w:rsidRPr="000B521F">
        <w:rPr>
          <w:rFonts w:ascii="Times New Roman" w:hAnsi="Times New Roman" w:cs="Times New Roman"/>
          <w:sz w:val="24"/>
          <w:szCs w:val="24"/>
        </w:rPr>
        <w:t>nadaných</w:t>
      </w:r>
      <w:r w:rsidR="00295EA5" w:rsidRPr="000B521F">
        <w:rPr>
          <w:rFonts w:ascii="Times New Roman" w:hAnsi="Times New Roman" w:cs="Times New Roman"/>
          <w:sz w:val="24"/>
          <w:szCs w:val="24"/>
        </w:rPr>
        <w:t xml:space="preserve"> </w:t>
      </w:r>
      <w:r w:rsidRPr="000B521F">
        <w:rPr>
          <w:rFonts w:ascii="Times New Roman" w:hAnsi="Times New Roman" w:cs="Times New Roman"/>
          <w:sz w:val="24"/>
          <w:szCs w:val="24"/>
        </w:rPr>
        <w:t xml:space="preserve">technicky a přírodovědně orientovaných jedinců. </w:t>
      </w:r>
      <w:r w:rsidRPr="000B521F">
        <w:rPr>
          <w:rFonts w:ascii="Times New Roman" w:hAnsi="Times New Roman" w:cs="Times New Roman"/>
          <w:sz w:val="24"/>
          <w:szCs w:val="24"/>
        </w:rPr>
        <w:lastRenderedPageBreak/>
        <w:t>Tento problém je dále umocněn budováním řady nových výzkumných center a jejich potřebou v oblasti špičkových lidských zdrojů (viz část Výzkumný a inovační systém.)</w:t>
      </w:r>
    </w:p>
    <w:p w:rsidR="00535D8E" w:rsidRDefault="00535D8E" w:rsidP="0059011D">
      <w:pPr>
        <w:spacing w:after="120" w:line="240" w:lineRule="auto"/>
        <w:jc w:val="both"/>
        <w:rPr>
          <w:rFonts w:ascii="Times New Roman" w:hAnsi="Times New Roman" w:cs="Times New Roman"/>
          <w:i/>
          <w:sz w:val="24"/>
          <w:szCs w:val="24"/>
        </w:rPr>
      </w:pPr>
    </w:p>
    <w:p w:rsidR="00DC5011" w:rsidRPr="000B521F" w:rsidRDefault="00DC5011" w:rsidP="0059011D">
      <w:pPr>
        <w:spacing w:after="120" w:line="240" w:lineRule="auto"/>
        <w:jc w:val="both"/>
        <w:rPr>
          <w:rFonts w:ascii="Times New Roman" w:hAnsi="Times New Roman" w:cs="Times New Roman"/>
          <w:i/>
          <w:sz w:val="24"/>
          <w:szCs w:val="24"/>
        </w:rPr>
      </w:pPr>
      <w:r w:rsidRPr="000B521F">
        <w:rPr>
          <w:rFonts w:ascii="Times New Roman" w:hAnsi="Times New Roman" w:cs="Times New Roman"/>
          <w:i/>
          <w:sz w:val="24"/>
          <w:szCs w:val="24"/>
        </w:rPr>
        <w:t>Potřeby rozvoje:</w:t>
      </w:r>
    </w:p>
    <w:p w:rsidR="00DC5011" w:rsidRPr="000B521F" w:rsidRDefault="00DC5011"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Vzhledem k výraznému nárůstu počtu studentů na VŠ představují investice do kvality VŠ významný růstový potenciál. K využití tohoto potenciálu je proto nutné:</w:t>
      </w:r>
    </w:p>
    <w:p w:rsidR="004871C5" w:rsidRDefault="00DC5011" w:rsidP="0059011D">
      <w:pPr>
        <w:pStyle w:val="Odstavecseseznamem"/>
        <w:numPr>
          <w:ilvl w:val="0"/>
          <w:numId w:val="34"/>
        </w:numPr>
        <w:autoSpaceDE w:val="0"/>
        <w:autoSpaceDN w:val="0"/>
        <w:adjustRightInd w:val="0"/>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V souladu s identifikací silných </w:t>
      </w:r>
      <w:r w:rsidRPr="000B521F">
        <w:rPr>
          <w:rFonts w:ascii="Times New Roman" w:hAnsi="Times New Roman" w:cs="Times New Roman"/>
          <w:color w:val="000000"/>
          <w:sz w:val="24"/>
          <w:szCs w:val="24"/>
        </w:rPr>
        <w:t>stránek</w:t>
      </w:r>
      <w:r w:rsidRPr="000B521F">
        <w:rPr>
          <w:rFonts w:ascii="Times New Roman" w:hAnsi="Times New Roman" w:cs="Times New Roman"/>
          <w:sz w:val="24"/>
          <w:szCs w:val="24"/>
        </w:rPr>
        <w:t xml:space="preserve"> jednotlivých VŠ</w:t>
      </w:r>
      <w:r w:rsidR="00636D29" w:rsidRPr="000B521F">
        <w:rPr>
          <w:rFonts w:ascii="Times New Roman" w:hAnsi="Times New Roman" w:cs="Times New Roman"/>
          <w:sz w:val="24"/>
          <w:szCs w:val="24"/>
        </w:rPr>
        <w:t xml:space="preserve"> </w:t>
      </w:r>
      <w:r w:rsidRPr="000B521F">
        <w:rPr>
          <w:rFonts w:ascii="Times New Roman" w:hAnsi="Times New Roman" w:cs="Times New Roman"/>
          <w:b/>
          <w:sz w:val="24"/>
          <w:szCs w:val="24"/>
        </w:rPr>
        <w:t>podpořit profilaci</w:t>
      </w:r>
      <w:r w:rsidRPr="000B521F">
        <w:rPr>
          <w:rFonts w:ascii="Times New Roman" w:hAnsi="Times New Roman" w:cs="Times New Roman"/>
          <w:sz w:val="24"/>
          <w:szCs w:val="24"/>
        </w:rPr>
        <w:t xml:space="preserve"> oborů na VŠ na výzkumné, akademické a profesní včetně souvisejících nezbytných investic do infrastruktury. </w:t>
      </w:r>
    </w:p>
    <w:p w:rsidR="008206A4" w:rsidRPr="000B521F" w:rsidRDefault="00DC5011" w:rsidP="0059011D">
      <w:pPr>
        <w:pStyle w:val="Odstavecseseznamem"/>
        <w:numPr>
          <w:ilvl w:val="0"/>
          <w:numId w:val="34"/>
        </w:numPr>
        <w:autoSpaceDE w:val="0"/>
        <w:autoSpaceDN w:val="0"/>
        <w:adjustRightInd w:val="0"/>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Výrazně </w:t>
      </w:r>
      <w:r w:rsidRPr="000B521F">
        <w:rPr>
          <w:rFonts w:ascii="Times New Roman" w:hAnsi="Times New Roman" w:cs="Times New Roman"/>
          <w:b/>
          <w:sz w:val="24"/>
          <w:szCs w:val="24"/>
        </w:rPr>
        <w:t>rozšířit segment kvalitních profesně orientovaných oborů s velkou mírou spolupráce s praxí</w:t>
      </w:r>
      <w:r w:rsidRPr="000B521F">
        <w:rPr>
          <w:rFonts w:ascii="Times New Roman" w:hAnsi="Times New Roman" w:cs="Times New Roman"/>
          <w:sz w:val="24"/>
          <w:szCs w:val="24"/>
        </w:rPr>
        <w:t xml:space="preserve"> vhodných pro širší skupinu obyvatelstva a korespondujících s potřebami trhu práce. </w:t>
      </w:r>
    </w:p>
    <w:p w:rsidR="008206A4" w:rsidRPr="000B521F" w:rsidRDefault="00306540" w:rsidP="0059011D">
      <w:pPr>
        <w:pStyle w:val="Odstavecseseznamem"/>
        <w:numPr>
          <w:ilvl w:val="0"/>
          <w:numId w:val="34"/>
        </w:numPr>
        <w:autoSpaceDE w:val="0"/>
        <w:autoSpaceDN w:val="0"/>
        <w:adjustRightInd w:val="0"/>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Zavedení systému hodnocení kvality výuky na základě objektivních ukazatelů, který by sloužil jako základní podklad pro hodnocení kvality instituce pro potřeby financování a akreditace</w:t>
      </w:r>
      <w:r w:rsidR="0019742F">
        <w:rPr>
          <w:rFonts w:ascii="Times New Roman" w:hAnsi="Times New Roman" w:cs="Times New Roman"/>
          <w:sz w:val="24"/>
          <w:szCs w:val="24"/>
        </w:rPr>
        <w:t>.</w:t>
      </w:r>
    </w:p>
    <w:p w:rsidR="008206A4" w:rsidRPr="000B521F" w:rsidRDefault="00DC5011" w:rsidP="0059011D">
      <w:pPr>
        <w:pStyle w:val="Odstavecseseznamem"/>
        <w:numPr>
          <w:ilvl w:val="0"/>
          <w:numId w:val="34"/>
        </w:numPr>
        <w:autoSpaceDE w:val="0"/>
        <w:autoSpaceDN w:val="0"/>
        <w:adjustRightInd w:val="0"/>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Podpořit úzkou spolupráci se zaměstnavateli a zavádění inovací ve výuce.</w:t>
      </w:r>
    </w:p>
    <w:p w:rsidR="008206A4" w:rsidRPr="000B521F" w:rsidRDefault="00DC5011" w:rsidP="0059011D">
      <w:pPr>
        <w:pStyle w:val="Odstavecseseznamem"/>
        <w:numPr>
          <w:ilvl w:val="0"/>
          <w:numId w:val="34"/>
        </w:numPr>
        <w:autoSpaceDE w:val="0"/>
        <w:autoSpaceDN w:val="0"/>
        <w:adjustRightInd w:val="0"/>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Rozvíjet </w:t>
      </w:r>
      <w:r w:rsidRPr="000B521F">
        <w:rPr>
          <w:rFonts w:ascii="Times New Roman" w:hAnsi="Times New Roman" w:cs="Times New Roman"/>
          <w:b/>
          <w:sz w:val="24"/>
          <w:szCs w:val="24"/>
        </w:rPr>
        <w:t>mezinárodní prostředí na VŠ</w:t>
      </w:r>
      <w:r w:rsidRPr="000B521F">
        <w:rPr>
          <w:rFonts w:ascii="Times New Roman" w:hAnsi="Times New Roman" w:cs="Times New Roman"/>
          <w:sz w:val="24"/>
          <w:szCs w:val="24"/>
        </w:rPr>
        <w:t>, tj. zvýšit otevřenost vůči zahraničním studentům, pedagogům a výzkumníkům a mezinárodní spolupráci obecně.</w:t>
      </w:r>
    </w:p>
    <w:p w:rsidR="008206A4" w:rsidRPr="000B521F" w:rsidRDefault="00DC5011" w:rsidP="0059011D">
      <w:pPr>
        <w:pStyle w:val="Odstavecseseznamem"/>
        <w:numPr>
          <w:ilvl w:val="0"/>
          <w:numId w:val="34"/>
        </w:numPr>
        <w:autoSpaceDE w:val="0"/>
        <w:autoSpaceDN w:val="0"/>
        <w:adjustRightInd w:val="0"/>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Přijmout opatření ke </w:t>
      </w:r>
      <w:r w:rsidRPr="000B521F">
        <w:rPr>
          <w:rFonts w:ascii="Times New Roman" w:hAnsi="Times New Roman" w:cs="Times New Roman"/>
          <w:b/>
          <w:sz w:val="24"/>
          <w:szCs w:val="24"/>
        </w:rPr>
        <w:t>snížení míry předčasného ukončení studia</w:t>
      </w:r>
      <w:r w:rsidRPr="000B521F">
        <w:rPr>
          <w:rFonts w:ascii="Times New Roman" w:hAnsi="Times New Roman" w:cs="Times New Roman"/>
          <w:sz w:val="24"/>
          <w:szCs w:val="24"/>
        </w:rPr>
        <w:t xml:space="preserve"> na VŠ (poradenství, řešení individuálních potřeb znevýhodněných studentů aj.)</w:t>
      </w:r>
      <w:r w:rsidR="0019742F">
        <w:rPr>
          <w:rFonts w:ascii="Times New Roman" w:hAnsi="Times New Roman" w:cs="Times New Roman"/>
          <w:sz w:val="24"/>
          <w:szCs w:val="24"/>
        </w:rPr>
        <w:t>.</w:t>
      </w:r>
    </w:p>
    <w:p w:rsidR="008206A4" w:rsidRPr="000B521F" w:rsidRDefault="00DC5011" w:rsidP="0059011D">
      <w:pPr>
        <w:pStyle w:val="Odstavecseseznamem"/>
        <w:numPr>
          <w:ilvl w:val="0"/>
          <w:numId w:val="34"/>
        </w:numPr>
        <w:autoSpaceDE w:val="0"/>
        <w:autoSpaceDN w:val="0"/>
        <w:adjustRightInd w:val="0"/>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Rozvíjet </w:t>
      </w:r>
      <w:r w:rsidRPr="000B521F">
        <w:rPr>
          <w:rFonts w:ascii="Times New Roman" w:hAnsi="Times New Roman" w:cs="Times New Roman"/>
          <w:b/>
          <w:sz w:val="24"/>
          <w:szCs w:val="24"/>
        </w:rPr>
        <w:t>excelenci VŠ vzdělávání ve vazbě na excelenci ve výzkumu</w:t>
      </w:r>
      <w:r w:rsidRPr="000B521F">
        <w:rPr>
          <w:rFonts w:ascii="Times New Roman" w:hAnsi="Times New Roman" w:cs="Times New Roman"/>
          <w:sz w:val="24"/>
          <w:szCs w:val="24"/>
        </w:rPr>
        <w:t xml:space="preserve"> a výzkumnou spolupráci s aplikační sférou. V návaznosti na poptávku po vysoce kvalifikovaných lidských zdrojích v přírodovědných a technických oborech směřovat zájem nadaných dětí a studentů k těmto oborům (též vazba na podporu talentů výše). Jde o opatření se silnou vazbou na strategii inteligentní specializace na národní i regionální úrovni.</w:t>
      </w:r>
    </w:p>
    <w:p w:rsidR="0015622A" w:rsidRPr="000B521F" w:rsidRDefault="0015622A" w:rsidP="0059011D">
      <w:pPr>
        <w:pStyle w:val="Odstavecseseznamem"/>
        <w:autoSpaceDE w:val="0"/>
        <w:autoSpaceDN w:val="0"/>
        <w:adjustRightInd w:val="0"/>
        <w:spacing w:after="0" w:line="240" w:lineRule="auto"/>
        <w:ind w:left="0"/>
        <w:jc w:val="both"/>
        <w:rPr>
          <w:rFonts w:ascii="Times New Roman" w:hAnsi="Times New Roman" w:cs="Times New Roman"/>
          <w:sz w:val="24"/>
          <w:szCs w:val="24"/>
        </w:rPr>
      </w:pPr>
    </w:p>
    <w:p w:rsidR="00DC5011" w:rsidRPr="000B521F" w:rsidRDefault="00812833" w:rsidP="0019742F">
      <w:pPr>
        <w:spacing w:after="120" w:line="240" w:lineRule="auto"/>
        <w:jc w:val="both"/>
        <w:rPr>
          <w:rFonts w:ascii="Times New Roman" w:hAnsi="Times New Roman" w:cs="Times New Roman"/>
          <w:b/>
          <w:i/>
          <w:sz w:val="24"/>
          <w:szCs w:val="24"/>
        </w:rPr>
      </w:pPr>
      <w:r w:rsidRPr="000B521F">
        <w:rPr>
          <w:rFonts w:ascii="Times New Roman" w:hAnsi="Times New Roman" w:cs="Times New Roman"/>
          <w:b/>
          <w:i/>
          <w:sz w:val="24"/>
          <w:szCs w:val="24"/>
        </w:rPr>
        <w:t>6. Neuspokojivá kvalifikační struktura v o</w:t>
      </w:r>
      <w:r w:rsidR="00DC5011" w:rsidRPr="000B521F">
        <w:rPr>
          <w:rFonts w:ascii="Times New Roman" w:hAnsi="Times New Roman" w:cs="Times New Roman"/>
          <w:b/>
          <w:i/>
          <w:sz w:val="24"/>
          <w:szCs w:val="24"/>
        </w:rPr>
        <w:t>blast</w:t>
      </w:r>
      <w:r w:rsidRPr="000B521F">
        <w:rPr>
          <w:rFonts w:ascii="Times New Roman" w:hAnsi="Times New Roman" w:cs="Times New Roman"/>
          <w:b/>
          <w:i/>
          <w:sz w:val="24"/>
          <w:szCs w:val="24"/>
        </w:rPr>
        <w:t>i</w:t>
      </w:r>
      <w:r w:rsidR="00DC5011" w:rsidRPr="000B521F">
        <w:rPr>
          <w:rFonts w:ascii="Times New Roman" w:hAnsi="Times New Roman" w:cs="Times New Roman"/>
          <w:b/>
          <w:i/>
          <w:sz w:val="24"/>
          <w:szCs w:val="24"/>
        </w:rPr>
        <w:t xml:space="preserve"> zemědělství</w:t>
      </w:r>
    </w:p>
    <w:p w:rsidR="00DC5011" w:rsidRPr="000B521F" w:rsidRDefault="00DC5011" w:rsidP="0019742F">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Nedostatečný příliv kvalifikovaných pracovníků do zemědělství a lesnictví a neuspokojivá kvalifikační struktura stávajících pracovníků neumožňuje přijímat nejnovější poznatky a inovovat výrobní postupy a technologie.</w:t>
      </w:r>
      <w:r w:rsidR="00F17177" w:rsidRPr="000B521F">
        <w:rPr>
          <w:rFonts w:ascii="Times New Roman" w:hAnsi="Times New Roman" w:cs="Times New Roman"/>
          <w:sz w:val="24"/>
          <w:szCs w:val="24"/>
        </w:rPr>
        <w:t xml:space="preserve"> </w:t>
      </w:r>
      <w:r w:rsidR="00430C36" w:rsidRPr="000B521F">
        <w:rPr>
          <w:rFonts w:ascii="Times New Roman" w:hAnsi="Times New Roman" w:cs="Times New Roman"/>
          <w:sz w:val="24"/>
          <w:szCs w:val="24"/>
        </w:rPr>
        <w:t>Nízký počet zaměstnanců zemědělských podniků se účastní d</w:t>
      </w:r>
      <w:r w:rsidR="00F17177" w:rsidRPr="000B521F">
        <w:rPr>
          <w:rFonts w:ascii="Times New Roman" w:hAnsi="Times New Roman" w:cs="Times New Roman"/>
          <w:sz w:val="24"/>
          <w:szCs w:val="24"/>
        </w:rPr>
        <w:t>alšího odborného vzdělávání</w:t>
      </w:r>
      <w:r w:rsidR="0019742F">
        <w:rPr>
          <w:rFonts w:ascii="Times New Roman" w:hAnsi="Times New Roman" w:cs="Times New Roman"/>
          <w:sz w:val="24"/>
          <w:szCs w:val="24"/>
        </w:rPr>
        <w:t>.</w:t>
      </w:r>
      <w:r w:rsidR="00F17177" w:rsidRPr="000B521F">
        <w:rPr>
          <w:rFonts w:ascii="Times New Roman" w:hAnsi="Times New Roman" w:cs="Times New Roman"/>
          <w:sz w:val="24"/>
          <w:szCs w:val="24"/>
        </w:rPr>
        <w:t xml:space="preserve"> </w:t>
      </w:r>
    </w:p>
    <w:p w:rsidR="00DC5011" w:rsidRPr="000B521F" w:rsidRDefault="00DC5011" w:rsidP="0019742F">
      <w:pPr>
        <w:pStyle w:val="Bezmezer"/>
        <w:jc w:val="both"/>
        <w:rPr>
          <w:rFonts w:ascii="Times New Roman" w:hAnsi="Times New Roman" w:cs="Times New Roman"/>
          <w:sz w:val="24"/>
          <w:szCs w:val="24"/>
        </w:rPr>
      </w:pPr>
      <w:r w:rsidRPr="000B521F">
        <w:rPr>
          <w:rFonts w:ascii="Times New Roman" w:hAnsi="Times New Roman" w:cs="Times New Roman"/>
          <w:i/>
          <w:sz w:val="24"/>
          <w:szCs w:val="24"/>
        </w:rPr>
        <w:t>Potřeby rozvoje</w:t>
      </w:r>
      <w:r w:rsidRPr="000B521F">
        <w:rPr>
          <w:rFonts w:ascii="Times New Roman" w:hAnsi="Times New Roman" w:cs="Times New Roman"/>
          <w:sz w:val="24"/>
          <w:szCs w:val="24"/>
        </w:rPr>
        <w:t>:</w:t>
      </w:r>
    </w:p>
    <w:p w:rsidR="00AB3265" w:rsidRPr="000B521F" w:rsidRDefault="00DC5011" w:rsidP="0019742F">
      <w:pPr>
        <w:pStyle w:val="Bezmezer"/>
        <w:numPr>
          <w:ilvl w:val="0"/>
          <w:numId w:val="35"/>
        </w:numPr>
        <w:jc w:val="both"/>
        <w:rPr>
          <w:rFonts w:ascii="Times New Roman" w:hAnsi="Times New Roman" w:cs="Times New Roman"/>
          <w:sz w:val="24"/>
          <w:szCs w:val="24"/>
        </w:rPr>
      </w:pPr>
      <w:r w:rsidRPr="000B521F">
        <w:rPr>
          <w:rFonts w:ascii="Times New Roman" w:hAnsi="Times New Roman" w:cs="Times New Roman"/>
          <w:sz w:val="24"/>
          <w:szCs w:val="24"/>
        </w:rPr>
        <w:t>Zvýšit kvalifikaci pracovníků v zemědělství, lesnictví a potravinářství, zvýšit dostupnost odborného vzdělávání</w:t>
      </w:r>
      <w:r w:rsidR="0019742F">
        <w:rPr>
          <w:rFonts w:ascii="Times New Roman" w:hAnsi="Times New Roman" w:cs="Times New Roman"/>
          <w:sz w:val="24"/>
          <w:szCs w:val="24"/>
        </w:rPr>
        <w:t>.</w:t>
      </w:r>
    </w:p>
    <w:p w:rsidR="00AB3265" w:rsidRPr="000B521F" w:rsidRDefault="00DC5011" w:rsidP="0019742F">
      <w:pPr>
        <w:pStyle w:val="Odstavecseseznamem"/>
        <w:numPr>
          <w:ilvl w:val="0"/>
          <w:numId w:val="35"/>
        </w:numPr>
        <w:autoSpaceDE w:val="0"/>
        <w:autoSpaceDN w:val="0"/>
        <w:adjustRightInd w:val="0"/>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Prohloubit znalosti pracovníků v zemědělství a lesním hospodářství o významu udržitelného způsobu hospodaření</w:t>
      </w:r>
      <w:r w:rsidR="00E3443A" w:rsidRPr="000B521F">
        <w:rPr>
          <w:rFonts w:ascii="Times New Roman" w:hAnsi="Times New Roman" w:cs="Times New Roman"/>
          <w:sz w:val="24"/>
          <w:szCs w:val="24"/>
        </w:rPr>
        <w:t>, účinném využívání přírodních zdrojů, přizpůsobování se změně klimatu a zmírňování této změny, zajištění potravinové bezpečnosti</w:t>
      </w:r>
      <w:r w:rsidRPr="000B521F">
        <w:rPr>
          <w:rFonts w:ascii="Times New Roman" w:hAnsi="Times New Roman" w:cs="Times New Roman"/>
          <w:sz w:val="24"/>
          <w:szCs w:val="24"/>
        </w:rPr>
        <w:t xml:space="preserve"> a zlepšení podmínek bezpečnosti práce.</w:t>
      </w:r>
    </w:p>
    <w:p w:rsidR="00AB3265" w:rsidRPr="000B521F" w:rsidRDefault="00DC5011" w:rsidP="0019742F">
      <w:pPr>
        <w:pStyle w:val="Odstavecseseznamem"/>
        <w:numPr>
          <w:ilvl w:val="0"/>
          <w:numId w:val="35"/>
        </w:numPr>
        <w:autoSpaceDE w:val="0"/>
        <w:autoSpaceDN w:val="0"/>
        <w:adjustRightInd w:val="0"/>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Zvýšit dostupnost základních odborných informací v oblasti zemědělství a rozvoje venkova.</w:t>
      </w:r>
    </w:p>
    <w:p w:rsidR="008C0415" w:rsidRPr="000B521F" w:rsidRDefault="008C0415" w:rsidP="0019742F">
      <w:pPr>
        <w:spacing w:after="120" w:line="240" w:lineRule="auto"/>
        <w:jc w:val="both"/>
        <w:rPr>
          <w:rFonts w:ascii="Times New Roman" w:hAnsi="Times New Roman" w:cs="Times New Roman"/>
          <w:b/>
          <w:i/>
          <w:sz w:val="24"/>
          <w:szCs w:val="24"/>
        </w:rPr>
      </w:pPr>
    </w:p>
    <w:p w:rsidR="00AD4618" w:rsidRPr="00477DC2" w:rsidRDefault="00AD4618" w:rsidP="0019742F">
      <w:pPr>
        <w:spacing w:after="120" w:line="240" w:lineRule="auto"/>
        <w:jc w:val="both"/>
        <w:rPr>
          <w:rFonts w:ascii="Times New Roman" w:hAnsi="Times New Roman" w:cs="Times New Roman"/>
          <w:b/>
          <w:sz w:val="24"/>
          <w:szCs w:val="24"/>
        </w:rPr>
      </w:pPr>
      <w:r w:rsidRPr="00477DC2">
        <w:rPr>
          <w:rFonts w:ascii="Times New Roman" w:hAnsi="Times New Roman" w:cs="Times New Roman"/>
          <w:b/>
          <w:sz w:val="24"/>
          <w:szCs w:val="24"/>
        </w:rPr>
        <w:t>Specifické potřeby a výzvy městského a venkovského prostoru a přeshraničních regionů:</w:t>
      </w:r>
    </w:p>
    <w:p w:rsidR="008206A4" w:rsidRPr="00477DC2" w:rsidRDefault="0019742F" w:rsidP="0019742F">
      <w:pPr>
        <w:pStyle w:val="Odstavecseseznamem"/>
        <w:numPr>
          <w:ilvl w:val="0"/>
          <w:numId w:val="147"/>
        </w:numPr>
        <w:spacing w:after="12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Z</w:t>
      </w:r>
      <w:r w:rsidR="00C00481" w:rsidRPr="00477DC2">
        <w:rPr>
          <w:rFonts w:ascii="Times New Roman" w:hAnsi="Times New Roman" w:cs="Times New Roman"/>
          <w:sz w:val="24"/>
          <w:szCs w:val="24"/>
        </w:rPr>
        <w:t>ajištění dostatečných kapacit předškolního a základního školství v zázemí velkých měst a jejich okolí.</w:t>
      </w:r>
    </w:p>
    <w:p w:rsidR="008206A4" w:rsidRPr="00477DC2" w:rsidRDefault="0019742F" w:rsidP="0019742F">
      <w:pPr>
        <w:pStyle w:val="Odstavecseseznamem"/>
        <w:numPr>
          <w:ilvl w:val="0"/>
          <w:numId w:val="147"/>
        </w:numPr>
        <w:spacing w:after="12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J</w:t>
      </w:r>
      <w:r w:rsidR="00C00481" w:rsidRPr="00477DC2">
        <w:rPr>
          <w:rFonts w:ascii="Times New Roman" w:hAnsi="Times New Roman" w:cs="Times New Roman"/>
          <w:sz w:val="24"/>
          <w:szCs w:val="24"/>
        </w:rPr>
        <w:t>azykové vzdělávání jako prostředek komunikace mezi obyvateli s</w:t>
      </w:r>
      <w:r>
        <w:rPr>
          <w:rFonts w:ascii="Times New Roman" w:hAnsi="Times New Roman" w:cs="Times New Roman"/>
          <w:sz w:val="24"/>
          <w:szCs w:val="24"/>
        </w:rPr>
        <w:t>polečných příhraničních regionů.</w:t>
      </w:r>
      <w:r w:rsidR="00C00481" w:rsidRPr="00477DC2">
        <w:rPr>
          <w:rFonts w:ascii="Times New Roman" w:hAnsi="Times New Roman" w:cs="Times New Roman"/>
          <w:sz w:val="24"/>
          <w:szCs w:val="24"/>
        </w:rPr>
        <w:t xml:space="preserve"> </w:t>
      </w:r>
    </w:p>
    <w:p w:rsidR="008206A4" w:rsidRPr="00477DC2" w:rsidRDefault="0019742F" w:rsidP="0019742F">
      <w:pPr>
        <w:pStyle w:val="Odstavecseseznamem"/>
        <w:numPr>
          <w:ilvl w:val="0"/>
          <w:numId w:val="147"/>
        </w:numPr>
        <w:spacing w:after="12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lastRenderedPageBreak/>
        <w:t>S</w:t>
      </w:r>
      <w:r w:rsidR="00C00481" w:rsidRPr="00477DC2">
        <w:rPr>
          <w:rFonts w:ascii="Times New Roman" w:hAnsi="Times New Roman" w:cs="Times New Roman"/>
          <w:sz w:val="24"/>
          <w:szCs w:val="24"/>
        </w:rPr>
        <w:t xml:space="preserve">polečné výukové programy jako nadstavba klasického vzdělávání </w:t>
      </w:r>
      <w:r>
        <w:rPr>
          <w:rFonts w:ascii="Times New Roman" w:hAnsi="Times New Roman" w:cs="Times New Roman"/>
          <w:sz w:val="24"/>
          <w:szCs w:val="24"/>
        </w:rPr>
        <w:t>realizovaného po obou stranách.</w:t>
      </w:r>
    </w:p>
    <w:p w:rsidR="008206A4" w:rsidRPr="00477DC2" w:rsidRDefault="0019742F" w:rsidP="0019742F">
      <w:pPr>
        <w:pStyle w:val="Odstavecseseznamem"/>
        <w:numPr>
          <w:ilvl w:val="0"/>
          <w:numId w:val="147"/>
        </w:numPr>
        <w:spacing w:after="12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V</w:t>
      </w:r>
      <w:r w:rsidR="00C00481" w:rsidRPr="00477DC2">
        <w:rPr>
          <w:rFonts w:ascii="Times New Roman" w:hAnsi="Times New Roman" w:cs="Times New Roman"/>
          <w:sz w:val="24"/>
          <w:szCs w:val="24"/>
        </w:rPr>
        <w:t>ýměna zkušeností a know-how v rámci vzdělávacích systémů jako prostředek zvyšování úrovně vzdělávání a kvality prvků vzdělávacího systému</w:t>
      </w:r>
      <w:r>
        <w:rPr>
          <w:rFonts w:ascii="Times New Roman" w:hAnsi="Times New Roman" w:cs="Times New Roman"/>
          <w:sz w:val="24"/>
          <w:szCs w:val="24"/>
        </w:rPr>
        <w:t>.</w:t>
      </w:r>
    </w:p>
    <w:p w:rsidR="00DC5011" w:rsidRPr="000B521F" w:rsidRDefault="00DC5011" w:rsidP="0059011D">
      <w:pPr>
        <w:pStyle w:val="Tabulka"/>
        <w:spacing w:before="120" w:after="60"/>
        <w:rPr>
          <w:szCs w:val="20"/>
        </w:rPr>
      </w:pPr>
      <w:r w:rsidRPr="000B521F">
        <w:rPr>
          <w:szCs w:val="20"/>
        </w:rPr>
        <w:t>Vazby na dokumenty EU</w:t>
      </w:r>
    </w:p>
    <w:tbl>
      <w:tblPr>
        <w:tblW w:w="0" w:type="auto"/>
        <w:tblInd w:w="108" w:type="dxa"/>
        <w:tblLook w:val="04A0" w:firstRow="1" w:lastRow="0" w:firstColumn="1" w:lastColumn="0" w:noHBand="0" w:noVBand="1"/>
      </w:tblPr>
      <w:tblGrid>
        <w:gridCol w:w="1443"/>
        <w:gridCol w:w="7659"/>
      </w:tblGrid>
      <w:tr w:rsidR="00DC5011" w:rsidRPr="000B521F" w:rsidTr="00761093">
        <w:trPr>
          <w:trHeight w:val="765"/>
        </w:trPr>
        <w:tc>
          <w:tcPr>
            <w:tcW w:w="1443"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DC5011" w:rsidRPr="000B521F" w:rsidRDefault="00DC5011"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Strategie Evropa 2020</w:t>
            </w:r>
          </w:p>
        </w:tc>
        <w:tc>
          <w:tcPr>
            <w:tcW w:w="7659" w:type="dxa"/>
            <w:tcBorders>
              <w:top w:val="single" w:sz="4" w:space="0" w:color="000000"/>
              <w:left w:val="single" w:sz="4" w:space="0" w:color="000000"/>
              <w:bottom w:val="single" w:sz="4" w:space="0" w:color="000000"/>
              <w:right w:val="single" w:sz="4" w:space="0" w:color="000000"/>
            </w:tcBorders>
            <w:vAlign w:val="center"/>
            <w:hideMark/>
          </w:tcPr>
          <w:p w:rsidR="00DC5011" w:rsidRPr="000B521F" w:rsidRDefault="00DC5011" w:rsidP="0059011D">
            <w:pPr>
              <w:pStyle w:val="DAVA"/>
              <w:spacing w:before="60" w:after="60"/>
              <w:rPr>
                <w:rFonts w:ascii="Times New Roman" w:hAnsi="Times New Roman"/>
                <w:sz w:val="20"/>
                <w:szCs w:val="20"/>
              </w:rPr>
            </w:pPr>
            <w:r w:rsidRPr="000B521F">
              <w:rPr>
                <w:rFonts w:ascii="Times New Roman" w:hAnsi="Times New Roman"/>
                <w:sz w:val="20"/>
                <w:szCs w:val="20"/>
              </w:rPr>
              <w:t xml:space="preserve">Cíl Snížit podíl dětí, které předčasně ukončují školní docházku, ze současných 15 % na 10 % a zvýšit podíl obyvatel ve věku od 30 do 34 let, kteří mají ukončené terciární vzdělání, na dosažení národního cíle 32 %. </w:t>
            </w:r>
          </w:p>
          <w:p w:rsidR="00DC5011" w:rsidRPr="000B521F" w:rsidRDefault="00DC5011" w:rsidP="0059011D">
            <w:pPr>
              <w:pStyle w:val="DAVA"/>
              <w:spacing w:before="60" w:after="60"/>
              <w:rPr>
                <w:rFonts w:ascii="Times New Roman" w:hAnsi="Times New Roman"/>
                <w:sz w:val="20"/>
                <w:szCs w:val="20"/>
              </w:rPr>
            </w:pPr>
            <w:r w:rsidRPr="000B521F">
              <w:rPr>
                <w:rFonts w:ascii="Times New Roman" w:hAnsi="Times New Roman"/>
                <w:sz w:val="20"/>
                <w:szCs w:val="20"/>
              </w:rPr>
              <w:t xml:space="preserve">Primárně iniciativa „Mládež v pohybu“, s úzkou vazbou na trh práce iniciativa „Program pro nové dovednosti a pracovní místa“, s úzkou vazbou na VaVaI a zapojení univerzit iniciativa „Inovace v Unii“. </w:t>
            </w:r>
          </w:p>
          <w:p w:rsidR="00DC5011" w:rsidRPr="000B521F" w:rsidRDefault="00DC5011" w:rsidP="0059011D">
            <w:pPr>
              <w:pStyle w:val="DAVA"/>
              <w:spacing w:before="60" w:after="60"/>
              <w:rPr>
                <w:rFonts w:ascii="Times New Roman" w:hAnsi="Times New Roman"/>
                <w:sz w:val="20"/>
                <w:szCs w:val="20"/>
              </w:rPr>
            </w:pPr>
            <w:r w:rsidRPr="000B521F">
              <w:rPr>
                <w:rFonts w:ascii="Times New Roman" w:hAnsi="Times New Roman"/>
                <w:sz w:val="20"/>
                <w:szCs w:val="20"/>
              </w:rPr>
              <w:t>Integrované hlavní směry 8 „Rozvoj kvalifikované pracovní síly, která bude reagovat na potřeby trhu práce, a podpora celoživotního učení“, 9 „Zlepšování kvality a výsledků systémů vzdělávání a odborné přípravy na všech úrovních a zvyšování účasti na terciárním nebo srovnatelném vzdělávání“, částečně 4 „Optimalizovat podporu výzkumu, vývoje a inovací, posilovat znalostní trojúhelník a uvolnit potenciál digitální ekonomiky“, 7 „Zvýšit zapojení do trhu práce a snížit strukturální nezaměstnanost“.</w:t>
            </w:r>
          </w:p>
          <w:p w:rsidR="00F1647A" w:rsidRPr="000B521F" w:rsidRDefault="00F1647A" w:rsidP="0059011D">
            <w:pPr>
              <w:pStyle w:val="DAVA"/>
              <w:spacing w:before="60" w:after="60"/>
              <w:rPr>
                <w:rFonts w:ascii="Times New Roman" w:hAnsi="Times New Roman"/>
                <w:sz w:val="20"/>
                <w:szCs w:val="20"/>
              </w:rPr>
            </w:pPr>
            <w:r w:rsidRPr="000B521F">
              <w:rPr>
                <w:rFonts w:ascii="Times New Roman" w:hAnsi="Times New Roman"/>
                <w:sz w:val="20"/>
                <w:szCs w:val="20"/>
              </w:rPr>
              <w:t>Strategický rámec pro evropskou spolupráci v oblasti vzdělávání a odborné přípravy (ET 2020)</w:t>
            </w:r>
            <w:r w:rsidR="00535D8E">
              <w:rPr>
                <w:rFonts w:ascii="Times New Roman" w:hAnsi="Times New Roman"/>
                <w:sz w:val="20"/>
                <w:szCs w:val="20"/>
              </w:rPr>
              <w:t>.</w:t>
            </w:r>
            <w:r w:rsidRPr="000B521F">
              <w:rPr>
                <w:rFonts w:ascii="Times New Roman" w:hAnsi="Times New Roman"/>
                <w:sz w:val="20"/>
                <w:szCs w:val="20"/>
              </w:rPr>
              <w:t xml:space="preserve"> </w:t>
            </w:r>
          </w:p>
        </w:tc>
      </w:tr>
      <w:tr w:rsidR="00DC5011" w:rsidRPr="000B521F" w:rsidTr="00761093">
        <w:trPr>
          <w:trHeight w:val="407"/>
        </w:trPr>
        <w:tc>
          <w:tcPr>
            <w:tcW w:w="1443"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DC5011" w:rsidRPr="000B521F" w:rsidRDefault="00DC5011"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Společný strategický rámec</w:t>
            </w:r>
          </w:p>
        </w:tc>
        <w:tc>
          <w:tcPr>
            <w:tcW w:w="7659" w:type="dxa"/>
            <w:tcBorders>
              <w:top w:val="single" w:sz="4" w:space="0" w:color="000000"/>
              <w:left w:val="single" w:sz="4" w:space="0" w:color="000000"/>
              <w:bottom w:val="single" w:sz="4" w:space="0" w:color="000000"/>
              <w:right w:val="single" w:sz="4" w:space="0" w:color="000000"/>
            </w:tcBorders>
            <w:vAlign w:val="center"/>
            <w:hideMark/>
          </w:tcPr>
          <w:p w:rsidR="00DC5011" w:rsidRPr="000B521F" w:rsidRDefault="00DC5011" w:rsidP="0059011D">
            <w:pPr>
              <w:pStyle w:val="DAVA"/>
              <w:spacing w:before="60" w:after="60"/>
              <w:rPr>
                <w:rFonts w:ascii="Times New Roman" w:hAnsi="Times New Roman"/>
                <w:sz w:val="20"/>
                <w:szCs w:val="20"/>
              </w:rPr>
            </w:pPr>
            <w:r w:rsidRPr="000B521F">
              <w:rPr>
                <w:rFonts w:ascii="Times New Roman" w:hAnsi="Times New Roman"/>
                <w:sz w:val="20"/>
                <w:szCs w:val="20"/>
              </w:rPr>
              <w:t>Příloha 1, Erasmus pro všechny - využití  pro běžné nástroje a metody, které jsou používány a úspěšně vyzkoušeny v rámci programu “Erasmus forAll” s cílem maximalizovat sociální a ekonomický dopad investic do lidí a kromě jiného dát impuls iniciativám mladých a občanským aktivitám.</w:t>
            </w:r>
          </w:p>
        </w:tc>
      </w:tr>
      <w:tr w:rsidR="00DC5011" w:rsidRPr="000B521F" w:rsidTr="00761093">
        <w:trPr>
          <w:trHeight w:val="407"/>
        </w:trPr>
        <w:tc>
          <w:tcPr>
            <w:tcW w:w="1443"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DC5011" w:rsidRPr="000B521F" w:rsidRDefault="00DC5011"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Tematické cíle</w:t>
            </w:r>
          </w:p>
        </w:tc>
        <w:tc>
          <w:tcPr>
            <w:tcW w:w="7659" w:type="dxa"/>
            <w:tcBorders>
              <w:top w:val="single" w:sz="4" w:space="0" w:color="000000"/>
              <w:left w:val="single" w:sz="4" w:space="0" w:color="000000"/>
              <w:bottom w:val="single" w:sz="4" w:space="0" w:color="000000"/>
              <w:right w:val="single" w:sz="4" w:space="0" w:color="000000"/>
            </w:tcBorders>
            <w:vAlign w:val="center"/>
            <w:hideMark/>
          </w:tcPr>
          <w:p w:rsidR="00DC5011" w:rsidRPr="000B521F" w:rsidRDefault="00DC5011" w:rsidP="0059011D">
            <w:pPr>
              <w:pStyle w:val="DAVA"/>
              <w:spacing w:before="60" w:after="60"/>
              <w:rPr>
                <w:rFonts w:ascii="Times New Roman" w:hAnsi="Times New Roman"/>
                <w:sz w:val="20"/>
                <w:szCs w:val="20"/>
              </w:rPr>
            </w:pPr>
            <w:r w:rsidRPr="000B521F">
              <w:rPr>
                <w:rFonts w:ascii="Times New Roman" w:hAnsi="Times New Roman"/>
                <w:sz w:val="20"/>
                <w:szCs w:val="20"/>
              </w:rPr>
              <w:t>10. Investice do vzdělávání, dovedností a celoživotního učení</w:t>
            </w:r>
            <w:r w:rsidR="00535D8E">
              <w:rPr>
                <w:rFonts w:ascii="Times New Roman" w:hAnsi="Times New Roman"/>
                <w:sz w:val="20"/>
                <w:szCs w:val="20"/>
              </w:rPr>
              <w:t>.</w:t>
            </w:r>
          </w:p>
          <w:p w:rsidR="00260154" w:rsidRPr="000B521F" w:rsidRDefault="00260154" w:rsidP="0059011D">
            <w:pPr>
              <w:pStyle w:val="DAVA"/>
              <w:spacing w:before="60" w:after="60"/>
              <w:rPr>
                <w:rFonts w:ascii="Times New Roman" w:hAnsi="Times New Roman"/>
                <w:sz w:val="20"/>
                <w:szCs w:val="20"/>
              </w:rPr>
            </w:pPr>
            <w:r w:rsidRPr="000B521F">
              <w:rPr>
                <w:rFonts w:ascii="Times New Roman" w:hAnsi="Times New Roman"/>
                <w:sz w:val="20"/>
                <w:szCs w:val="20"/>
              </w:rPr>
              <w:t>9. Podpora sociálního začleňování a b</w:t>
            </w:r>
            <w:r w:rsidR="00535D8E">
              <w:rPr>
                <w:rFonts w:ascii="Times New Roman" w:hAnsi="Times New Roman"/>
                <w:sz w:val="20"/>
                <w:szCs w:val="20"/>
              </w:rPr>
              <w:t>oj proti chudobě a diskriminaci.</w:t>
            </w:r>
          </w:p>
          <w:p w:rsidR="00260154" w:rsidRPr="000B521F" w:rsidRDefault="00260154" w:rsidP="0059011D">
            <w:pPr>
              <w:pStyle w:val="DAVA"/>
              <w:spacing w:before="60" w:after="60"/>
              <w:rPr>
                <w:rFonts w:ascii="Times New Roman" w:hAnsi="Times New Roman"/>
                <w:sz w:val="20"/>
                <w:szCs w:val="20"/>
              </w:rPr>
            </w:pPr>
          </w:p>
        </w:tc>
      </w:tr>
      <w:tr w:rsidR="00DC5011" w:rsidRPr="000B521F" w:rsidTr="00761093">
        <w:tc>
          <w:tcPr>
            <w:tcW w:w="1443"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DC5011" w:rsidRPr="000B521F" w:rsidRDefault="00DC5011"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Specifická doporučení Rady</w:t>
            </w:r>
          </w:p>
        </w:tc>
        <w:tc>
          <w:tcPr>
            <w:tcW w:w="7659" w:type="dxa"/>
            <w:tcBorders>
              <w:top w:val="single" w:sz="4" w:space="0" w:color="000000"/>
              <w:left w:val="single" w:sz="4" w:space="0" w:color="000000"/>
              <w:bottom w:val="single" w:sz="4" w:space="0" w:color="000000"/>
              <w:right w:val="single" w:sz="4" w:space="0" w:color="000000"/>
            </w:tcBorders>
            <w:vAlign w:val="center"/>
          </w:tcPr>
          <w:p w:rsidR="00DC5011" w:rsidRPr="000B521F" w:rsidRDefault="00DC5011" w:rsidP="0059011D">
            <w:pPr>
              <w:pStyle w:val="DAVA"/>
              <w:spacing w:before="60" w:after="60"/>
              <w:rPr>
                <w:rFonts w:ascii="Times New Roman" w:hAnsi="Times New Roman"/>
                <w:sz w:val="20"/>
                <w:szCs w:val="20"/>
              </w:rPr>
            </w:pPr>
            <w:r w:rsidRPr="000B521F">
              <w:rPr>
                <w:rFonts w:ascii="Times New Roman" w:hAnsi="Times New Roman"/>
                <w:sz w:val="20"/>
                <w:szCs w:val="20"/>
              </w:rPr>
              <w:t>6. Vytvořit ucelený hodnotící rámec vzdělávání na základních školách a podniknout cílené kroky na podporu škol, jež vykazují slabší výsledky. Přijmout opatření ke zlepšení systému akreditace a financování vysokých škol. Zvýšit podíl finančních prostředků přidělovaných výzkumným institucím podle jejich výkonu.</w:t>
            </w:r>
          </w:p>
          <w:p w:rsidR="00DC5011" w:rsidRPr="000B521F" w:rsidRDefault="00DC5011" w:rsidP="0059011D">
            <w:pPr>
              <w:pStyle w:val="DAVA"/>
              <w:spacing w:before="60" w:after="60"/>
              <w:rPr>
                <w:rFonts w:ascii="Times New Roman" w:hAnsi="Times New Roman"/>
                <w:sz w:val="20"/>
                <w:szCs w:val="20"/>
              </w:rPr>
            </w:pPr>
          </w:p>
        </w:tc>
      </w:tr>
    </w:tbl>
    <w:p w:rsidR="00DC5011" w:rsidRPr="000B521F" w:rsidRDefault="00DC5011" w:rsidP="0059011D">
      <w:pPr>
        <w:pStyle w:val="Tabulka"/>
        <w:spacing w:before="120" w:after="60"/>
        <w:rPr>
          <w:szCs w:val="20"/>
        </w:rPr>
      </w:pPr>
      <w:r w:rsidRPr="000B521F">
        <w:rPr>
          <w:szCs w:val="20"/>
        </w:rPr>
        <w:t>Vazby na dokumenty ČR</w:t>
      </w:r>
    </w:p>
    <w:tbl>
      <w:tblPr>
        <w:tblW w:w="0" w:type="auto"/>
        <w:tblInd w:w="108" w:type="dxa"/>
        <w:tblLayout w:type="fixed"/>
        <w:tblLook w:val="04A0" w:firstRow="1" w:lastRow="0" w:firstColumn="1" w:lastColumn="0" w:noHBand="0" w:noVBand="1"/>
      </w:tblPr>
      <w:tblGrid>
        <w:gridCol w:w="1418"/>
        <w:gridCol w:w="7760"/>
      </w:tblGrid>
      <w:tr w:rsidR="00DC5011" w:rsidRPr="000B521F" w:rsidTr="00761093">
        <w:trPr>
          <w:trHeight w:val="395"/>
        </w:trPr>
        <w:tc>
          <w:tcPr>
            <w:tcW w:w="1418"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DC5011" w:rsidRPr="000B521F" w:rsidRDefault="00DC5011"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Národní program reforem</w:t>
            </w:r>
          </w:p>
        </w:tc>
        <w:tc>
          <w:tcPr>
            <w:tcW w:w="7760" w:type="dxa"/>
            <w:tcBorders>
              <w:top w:val="single" w:sz="4" w:space="0" w:color="000000"/>
              <w:left w:val="single" w:sz="4" w:space="0" w:color="000000"/>
              <w:bottom w:val="single" w:sz="4" w:space="0" w:color="000000"/>
              <w:right w:val="single" w:sz="4" w:space="0" w:color="000000"/>
            </w:tcBorders>
            <w:vAlign w:val="center"/>
          </w:tcPr>
          <w:p w:rsidR="00DC5011" w:rsidRPr="000B521F" w:rsidRDefault="00DC5011" w:rsidP="0059011D">
            <w:pPr>
              <w:pStyle w:val="DAVA"/>
              <w:spacing w:before="60" w:after="60"/>
              <w:rPr>
                <w:rFonts w:ascii="Times New Roman" w:hAnsi="Times New Roman"/>
                <w:sz w:val="20"/>
                <w:szCs w:val="20"/>
              </w:rPr>
            </w:pPr>
          </w:p>
          <w:p w:rsidR="00DC5011" w:rsidRPr="000B521F" w:rsidRDefault="00DC5011" w:rsidP="0059011D">
            <w:pPr>
              <w:pStyle w:val="DAVA"/>
              <w:spacing w:before="60" w:after="60"/>
              <w:rPr>
                <w:rFonts w:ascii="Times New Roman" w:hAnsi="Times New Roman"/>
                <w:sz w:val="20"/>
                <w:szCs w:val="20"/>
              </w:rPr>
            </w:pPr>
            <w:r w:rsidRPr="000B521F">
              <w:rPr>
                <w:rFonts w:ascii="Times New Roman" w:hAnsi="Times New Roman"/>
                <w:sz w:val="20"/>
                <w:szCs w:val="20"/>
              </w:rPr>
              <w:t>3.3.4 Zvýšení kvality a dostupnosti předškolní péče, slučitelnost rodinného a pracovního života</w:t>
            </w:r>
            <w:r w:rsidR="00535D8E">
              <w:rPr>
                <w:rFonts w:ascii="Times New Roman" w:hAnsi="Times New Roman"/>
                <w:sz w:val="20"/>
                <w:szCs w:val="20"/>
              </w:rPr>
              <w:t>.</w:t>
            </w:r>
            <w:r w:rsidRPr="000B521F">
              <w:rPr>
                <w:rFonts w:ascii="Times New Roman" w:hAnsi="Times New Roman"/>
                <w:sz w:val="20"/>
                <w:szCs w:val="20"/>
              </w:rPr>
              <w:t xml:space="preserve"> </w:t>
            </w:r>
          </w:p>
          <w:p w:rsidR="00DC5011" w:rsidRPr="000B521F" w:rsidRDefault="00DC5011" w:rsidP="0059011D">
            <w:pPr>
              <w:pStyle w:val="DAVA"/>
              <w:spacing w:before="60" w:after="60"/>
              <w:rPr>
                <w:rFonts w:ascii="Times New Roman" w:hAnsi="Times New Roman"/>
                <w:sz w:val="20"/>
                <w:szCs w:val="20"/>
              </w:rPr>
            </w:pPr>
            <w:r w:rsidRPr="000B521F">
              <w:rPr>
                <w:rFonts w:ascii="Times New Roman" w:hAnsi="Times New Roman"/>
                <w:sz w:val="20"/>
                <w:szCs w:val="20"/>
              </w:rPr>
              <w:t>3.3.5 Reformní opatření v základním a středním školství 3.3.6 Reforma vysokého školství a rozvoj celoživotního vzdělávání; 3.3.6.1 Reforma vysokého školství; 3.3.6.2 Rozvoj celoživotního učení</w:t>
            </w:r>
            <w:r w:rsidR="00535D8E">
              <w:rPr>
                <w:rFonts w:ascii="Times New Roman" w:hAnsi="Times New Roman"/>
                <w:sz w:val="20"/>
                <w:szCs w:val="20"/>
              </w:rPr>
              <w:t>.</w:t>
            </w:r>
          </w:p>
          <w:p w:rsidR="00DC5011" w:rsidRPr="000B521F" w:rsidRDefault="00DC5011" w:rsidP="0059011D">
            <w:pPr>
              <w:pStyle w:val="DAVA"/>
              <w:spacing w:before="60" w:after="60"/>
              <w:rPr>
                <w:rFonts w:ascii="Times New Roman" w:hAnsi="Times New Roman"/>
                <w:sz w:val="20"/>
                <w:szCs w:val="20"/>
              </w:rPr>
            </w:pPr>
          </w:p>
        </w:tc>
      </w:tr>
      <w:tr w:rsidR="00DC5011" w:rsidRPr="000B521F" w:rsidTr="00761093">
        <w:trPr>
          <w:trHeight w:val="407"/>
        </w:trPr>
        <w:tc>
          <w:tcPr>
            <w:tcW w:w="1418"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DC5011" w:rsidRPr="000B521F" w:rsidRDefault="00DC5011"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Strategie mezinárodní konkurenceschopnosti ČR</w:t>
            </w:r>
          </w:p>
        </w:tc>
        <w:tc>
          <w:tcPr>
            <w:tcW w:w="7760" w:type="dxa"/>
            <w:tcBorders>
              <w:top w:val="single" w:sz="4" w:space="0" w:color="000000"/>
              <w:left w:val="single" w:sz="4" w:space="0" w:color="000000"/>
              <w:bottom w:val="single" w:sz="4" w:space="0" w:color="000000"/>
              <w:right w:val="single" w:sz="4" w:space="0" w:color="000000"/>
            </w:tcBorders>
            <w:vAlign w:val="center"/>
            <w:hideMark/>
          </w:tcPr>
          <w:p w:rsidR="00DC5011" w:rsidRPr="000B521F" w:rsidRDefault="00DC5011" w:rsidP="0059011D">
            <w:pPr>
              <w:pStyle w:val="DAVA"/>
              <w:spacing w:before="60" w:after="60"/>
              <w:rPr>
                <w:rFonts w:ascii="Times New Roman" w:hAnsi="Times New Roman"/>
                <w:sz w:val="20"/>
                <w:szCs w:val="20"/>
              </w:rPr>
            </w:pPr>
            <w:r w:rsidRPr="000B521F">
              <w:rPr>
                <w:rFonts w:ascii="Times New Roman" w:hAnsi="Times New Roman"/>
                <w:sz w:val="20"/>
                <w:szCs w:val="20"/>
              </w:rPr>
              <w:t>5 Vzdělanost - zvýšení dostupnosti a kvality předškolního vzdělávání, zavedení standardů výsledků a monitoringu jejich dosahování u regionálního školství, zkvalitnění práce managementu škol, zkvalitnění kariérního poradenství, zapojení zaměstnavatelů do odborné přípravy žáků odborných škol, u vysokého školství podpora jeho diverzifikace, zvyšování kvality a excelence, zavedení systému hodnocení výsledků výzkumu a vývoje VŠ, sladit vzdělávání s reálnou poptávkou trhu práce</w:t>
            </w:r>
            <w:r w:rsidR="00535D8E">
              <w:rPr>
                <w:rFonts w:ascii="Times New Roman" w:hAnsi="Times New Roman"/>
                <w:sz w:val="20"/>
                <w:szCs w:val="20"/>
              </w:rPr>
              <w:t>.</w:t>
            </w:r>
            <w:r w:rsidRPr="000B521F">
              <w:rPr>
                <w:rFonts w:ascii="Times New Roman" w:hAnsi="Times New Roman"/>
                <w:sz w:val="20"/>
                <w:szCs w:val="20"/>
              </w:rPr>
              <w:t xml:space="preserve"> </w:t>
            </w:r>
          </w:p>
          <w:p w:rsidR="00DC5011" w:rsidRPr="000B521F" w:rsidRDefault="00DC5011" w:rsidP="0059011D">
            <w:pPr>
              <w:pStyle w:val="DAVA"/>
              <w:spacing w:before="60" w:after="60"/>
              <w:rPr>
                <w:rFonts w:ascii="Times New Roman" w:hAnsi="Times New Roman"/>
                <w:sz w:val="20"/>
                <w:szCs w:val="20"/>
              </w:rPr>
            </w:pPr>
            <w:r w:rsidRPr="000B521F">
              <w:rPr>
                <w:rFonts w:ascii="Times New Roman" w:hAnsi="Times New Roman"/>
                <w:sz w:val="20"/>
                <w:szCs w:val="20"/>
              </w:rPr>
              <w:t>6 Trh práce - rozvoj systému celoživotního vzdělávání</w:t>
            </w:r>
            <w:r w:rsidR="00535D8E">
              <w:rPr>
                <w:rFonts w:ascii="Times New Roman" w:hAnsi="Times New Roman"/>
                <w:sz w:val="20"/>
                <w:szCs w:val="20"/>
              </w:rPr>
              <w:t>.</w:t>
            </w:r>
          </w:p>
        </w:tc>
      </w:tr>
      <w:tr w:rsidR="00DC5011" w:rsidRPr="000B521F" w:rsidTr="00761093">
        <w:tc>
          <w:tcPr>
            <w:tcW w:w="1418"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DC5011" w:rsidRPr="000B521F" w:rsidRDefault="00DC5011" w:rsidP="0019742F">
            <w:pPr>
              <w:pStyle w:val="DAVA"/>
              <w:spacing w:before="60" w:after="60"/>
              <w:jc w:val="left"/>
              <w:rPr>
                <w:rFonts w:ascii="Times New Roman" w:hAnsi="Times New Roman"/>
                <w:b/>
                <w:sz w:val="20"/>
                <w:szCs w:val="20"/>
              </w:rPr>
            </w:pPr>
            <w:r w:rsidRPr="000B521F">
              <w:rPr>
                <w:rFonts w:ascii="Times New Roman" w:hAnsi="Times New Roman"/>
                <w:b/>
                <w:sz w:val="20"/>
                <w:szCs w:val="20"/>
              </w:rPr>
              <w:t>Strategie regionálního rozvoje ČR 2014</w:t>
            </w:r>
            <w:r w:rsidR="0019742F">
              <w:rPr>
                <w:rFonts w:ascii="Times New Roman" w:hAnsi="Times New Roman"/>
                <w:b/>
                <w:sz w:val="20"/>
                <w:szCs w:val="20"/>
              </w:rPr>
              <w:t>–</w:t>
            </w:r>
            <w:r w:rsidRPr="000B521F">
              <w:rPr>
                <w:rFonts w:ascii="Times New Roman" w:hAnsi="Times New Roman"/>
                <w:b/>
                <w:sz w:val="20"/>
                <w:szCs w:val="20"/>
              </w:rPr>
              <w:t>2020</w:t>
            </w:r>
          </w:p>
        </w:tc>
        <w:tc>
          <w:tcPr>
            <w:tcW w:w="7760" w:type="dxa"/>
            <w:tcBorders>
              <w:top w:val="single" w:sz="4" w:space="0" w:color="000000"/>
              <w:left w:val="single" w:sz="4" w:space="0" w:color="000000"/>
              <w:bottom w:val="single" w:sz="4" w:space="0" w:color="000000"/>
              <w:right w:val="single" w:sz="4" w:space="0" w:color="000000"/>
            </w:tcBorders>
            <w:vAlign w:val="center"/>
            <w:hideMark/>
          </w:tcPr>
          <w:p w:rsidR="00DC5011" w:rsidRPr="000B521F" w:rsidRDefault="00DC5011" w:rsidP="0059011D">
            <w:pPr>
              <w:pStyle w:val="DAVA"/>
              <w:spacing w:before="60" w:after="60"/>
              <w:rPr>
                <w:rFonts w:ascii="Times New Roman" w:hAnsi="Times New Roman"/>
                <w:sz w:val="20"/>
                <w:szCs w:val="20"/>
              </w:rPr>
            </w:pPr>
            <w:r w:rsidRPr="000B521F">
              <w:rPr>
                <w:rFonts w:ascii="Times New Roman" w:hAnsi="Times New Roman"/>
                <w:sz w:val="20"/>
                <w:szCs w:val="20"/>
              </w:rPr>
              <w:t>Priorita 1 Využití potenciálu rozvojových území (opatření 1.2 Rozvoj univerzit a výzkumných institucí, 1.5 Adaptabilita trhu práce).</w:t>
            </w:r>
          </w:p>
          <w:p w:rsidR="00DC5011" w:rsidRPr="000B521F" w:rsidRDefault="00DC5011" w:rsidP="0059011D">
            <w:pPr>
              <w:pStyle w:val="DAVA"/>
              <w:spacing w:before="60" w:after="60"/>
              <w:rPr>
                <w:rFonts w:ascii="Times New Roman" w:hAnsi="Times New Roman"/>
                <w:sz w:val="20"/>
                <w:szCs w:val="20"/>
              </w:rPr>
            </w:pPr>
            <w:r w:rsidRPr="000B521F">
              <w:rPr>
                <w:rFonts w:ascii="Times New Roman" w:hAnsi="Times New Roman"/>
                <w:sz w:val="20"/>
                <w:szCs w:val="20"/>
              </w:rPr>
              <w:t>Priorita 3 Zkvalitnění sociálního prostředí rozvojových území (průřezové opatření 3.X. Podpora integrace sociálně vyloučených a sociálním vyloučením ohrožených skupin obyvatelstva; opatření 3.1 Zvýšení kvality a vybavenosti veřejnými službami).</w:t>
            </w:r>
          </w:p>
          <w:p w:rsidR="00DC5011" w:rsidRPr="000B521F" w:rsidRDefault="00DC5011" w:rsidP="0059011D">
            <w:pPr>
              <w:pStyle w:val="DAVA"/>
              <w:spacing w:before="60" w:after="60"/>
              <w:rPr>
                <w:rFonts w:ascii="Times New Roman" w:hAnsi="Times New Roman"/>
                <w:sz w:val="20"/>
                <w:szCs w:val="20"/>
              </w:rPr>
            </w:pPr>
            <w:r w:rsidRPr="000B521F">
              <w:rPr>
                <w:rFonts w:ascii="Times New Roman" w:hAnsi="Times New Roman"/>
                <w:sz w:val="20"/>
                <w:szCs w:val="20"/>
              </w:rPr>
              <w:lastRenderedPageBreak/>
              <w:t>Priorita 4 Vyvážený rozvoj stabilizovaných území (opatření 4.1 Zajištění odpovídající kapacity infrastruktury veřejných služeb).</w:t>
            </w:r>
          </w:p>
          <w:p w:rsidR="00DC5011" w:rsidRPr="000B521F" w:rsidRDefault="00DC5011" w:rsidP="0059011D">
            <w:pPr>
              <w:pStyle w:val="DAVA"/>
              <w:spacing w:before="60" w:after="60"/>
              <w:rPr>
                <w:rFonts w:ascii="Times New Roman" w:hAnsi="Times New Roman"/>
                <w:sz w:val="20"/>
                <w:szCs w:val="20"/>
              </w:rPr>
            </w:pPr>
            <w:r w:rsidRPr="000B521F">
              <w:rPr>
                <w:rFonts w:ascii="Times New Roman" w:hAnsi="Times New Roman"/>
                <w:sz w:val="20"/>
                <w:szCs w:val="20"/>
              </w:rPr>
              <w:t>Priorita 5 Oživení periferních území (opatření 5.2 Podpora zvýšení kvality pracovní síly, 5.3 Zajištění základních služeb a obslužnosti).</w:t>
            </w:r>
          </w:p>
        </w:tc>
      </w:tr>
      <w:tr w:rsidR="00DC5011" w:rsidRPr="000B521F" w:rsidTr="00761093">
        <w:tc>
          <w:tcPr>
            <w:tcW w:w="1418"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DC5011" w:rsidRPr="000B521F" w:rsidRDefault="00DC5011"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lastRenderedPageBreak/>
              <w:t>Strategie vzdělávací politiky v ČR do roku 2020</w:t>
            </w:r>
          </w:p>
        </w:tc>
        <w:tc>
          <w:tcPr>
            <w:tcW w:w="7760" w:type="dxa"/>
            <w:tcBorders>
              <w:top w:val="single" w:sz="4" w:space="0" w:color="000000"/>
              <w:left w:val="single" w:sz="4" w:space="0" w:color="000000"/>
              <w:bottom w:val="single" w:sz="4" w:space="0" w:color="000000"/>
              <w:right w:val="single" w:sz="4" w:space="0" w:color="000000"/>
            </w:tcBorders>
            <w:vAlign w:val="center"/>
            <w:hideMark/>
          </w:tcPr>
          <w:p w:rsidR="00DC5011" w:rsidRPr="000B521F" w:rsidRDefault="00DC5011" w:rsidP="00A91333">
            <w:pPr>
              <w:pStyle w:val="DAVA"/>
              <w:spacing w:before="60" w:after="60"/>
              <w:rPr>
                <w:rFonts w:ascii="Times New Roman" w:hAnsi="Times New Roman"/>
                <w:sz w:val="20"/>
                <w:szCs w:val="20"/>
              </w:rPr>
            </w:pPr>
            <w:r w:rsidRPr="000B521F">
              <w:rPr>
                <w:rFonts w:ascii="Times New Roman" w:hAnsi="Times New Roman"/>
                <w:sz w:val="20"/>
                <w:szCs w:val="20"/>
              </w:rPr>
              <w:t>Dokument v</w:t>
            </w:r>
            <w:r w:rsidR="00A91333">
              <w:rPr>
                <w:rFonts w:ascii="Times New Roman" w:hAnsi="Times New Roman"/>
                <w:sz w:val="20"/>
                <w:szCs w:val="20"/>
              </w:rPr>
              <w:t> </w:t>
            </w:r>
            <w:r w:rsidRPr="000B521F">
              <w:rPr>
                <w:rFonts w:ascii="Times New Roman" w:hAnsi="Times New Roman"/>
                <w:sz w:val="20"/>
                <w:szCs w:val="20"/>
              </w:rPr>
              <w:t>přípravě</w:t>
            </w:r>
            <w:r w:rsidR="00A91333">
              <w:rPr>
                <w:rFonts w:ascii="Times New Roman" w:hAnsi="Times New Roman"/>
                <w:sz w:val="20"/>
                <w:szCs w:val="20"/>
              </w:rPr>
              <w:t>.</w:t>
            </w:r>
          </w:p>
        </w:tc>
      </w:tr>
    </w:tbl>
    <w:p w:rsidR="00DC5011" w:rsidRPr="0059011D" w:rsidRDefault="00DC5011" w:rsidP="0019742F">
      <w:pPr>
        <w:spacing w:line="240" w:lineRule="auto"/>
        <w:jc w:val="both"/>
        <w:rPr>
          <w:rFonts w:ascii="Times New Roman" w:hAnsi="Times New Roman" w:cs="Times New Roman"/>
          <w:sz w:val="24"/>
          <w:szCs w:val="24"/>
        </w:rPr>
      </w:pPr>
      <w:r w:rsidRPr="0059011D">
        <w:rPr>
          <w:rFonts w:ascii="Times New Roman" w:hAnsi="Times New Roman" w:cs="Times New Roman"/>
          <w:sz w:val="24"/>
          <w:szCs w:val="24"/>
        </w:rPr>
        <w:t>Další klíčové dokumenty vztahující se k dané problematické oblasti jsou Dlouhodobý záměr vzdělávání a rozvoje vzdělávací soustavy ČR, Akční plán podpory odborného vzdělávání, Národní akční plán inkluzívního vzdělávání, Strategie celoživotního učení, Dlouhodobý záměr vzdělávací a vědecké, výzkumné, vývojové a inovační, umělecké a další tvůrčí činnosti pro oblast vysokých škol, Bílá kniha terciárního</w:t>
      </w:r>
      <w:r w:rsidR="00295EA5" w:rsidRPr="0059011D">
        <w:rPr>
          <w:rFonts w:ascii="Times New Roman" w:hAnsi="Times New Roman" w:cs="Times New Roman"/>
          <w:sz w:val="24"/>
          <w:szCs w:val="24"/>
        </w:rPr>
        <w:t xml:space="preserve"> </w:t>
      </w:r>
      <w:r w:rsidRPr="0059011D">
        <w:rPr>
          <w:rFonts w:ascii="Times New Roman" w:hAnsi="Times New Roman" w:cs="Times New Roman"/>
          <w:sz w:val="24"/>
          <w:szCs w:val="24"/>
        </w:rPr>
        <w:t>vzdělávání, dokumenty krajů v dané oblasti, a další sektorové dokumenty definované v dílčích operačních programech.</w:t>
      </w:r>
      <w:r w:rsidR="00477DC2">
        <w:rPr>
          <w:rFonts w:ascii="Times New Roman" w:hAnsi="Times New Roman" w:cs="Times New Roman"/>
          <w:sz w:val="24"/>
          <w:szCs w:val="24"/>
        </w:rPr>
        <w:t xml:space="preserve"> </w:t>
      </w:r>
      <w:r w:rsidRPr="0059011D">
        <w:rPr>
          <w:rFonts w:ascii="Times New Roman" w:hAnsi="Times New Roman" w:cs="Times New Roman"/>
          <w:sz w:val="24"/>
          <w:szCs w:val="24"/>
        </w:rPr>
        <w:t>Na úrovni krajů jsou zpracovány Dlouhodobé záměry vzdělávání a rozvoje vzdělávací soustavy v krajích.</w:t>
      </w:r>
    </w:p>
    <w:p w:rsidR="00DC5011" w:rsidRPr="000B521F" w:rsidRDefault="00DC5011" w:rsidP="0059011D">
      <w:pPr>
        <w:pStyle w:val="Tabulka"/>
        <w:spacing w:before="120" w:after="60"/>
        <w:rPr>
          <w:szCs w:val="20"/>
        </w:rPr>
      </w:pPr>
      <w:r w:rsidRPr="000B521F">
        <w:rPr>
          <w:szCs w:val="20"/>
        </w:rPr>
        <w:t>Cíle strategie Evropa 2020 a cíle Národního programu reforem</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851"/>
        <w:gridCol w:w="992"/>
        <w:gridCol w:w="992"/>
        <w:gridCol w:w="903"/>
        <w:gridCol w:w="966"/>
        <w:gridCol w:w="966"/>
      </w:tblGrid>
      <w:tr w:rsidR="00DC5011" w:rsidRPr="000B521F" w:rsidTr="00761093">
        <w:tc>
          <w:tcPr>
            <w:tcW w:w="3402"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DC5011" w:rsidRPr="000B521F" w:rsidRDefault="00DC5011" w:rsidP="0059011D">
            <w:pPr>
              <w:spacing w:after="120" w:line="240" w:lineRule="auto"/>
              <w:rPr>
                <w:rFonts w:ascii="Times New Roman" w:hAnsi="Times New Roman" w:cs="Times New Roman"/>
                <w:b/>
                <w:sz w:val="20"/>
                <w:szCs w:val="20"/>
              </w:rPr>
            </w:pPr>
            <w:r w:rsidRPr="000B521F">
              <w:rPr>
                <w:rFonts w:ascii="Times New Roman" w:hAnsi="Times New Roman" w:cs="Times New Roman"/>
                <w:b/>
                <w:sz w:val="20"/>
                <w:szCs w:val="20"/>
              </w:rPr>
              <w:t>Hlavní cíl strategie Evropa 2020</w:t>
            </w:r>
          </w:p>
        </w:tc>
        <w:tc>
          <w:tcPr>
            <w:tcW w:w="851" w:type="dxa"/>
            <w:tcBorders>
              <w:top w:val="single" w:sz="4" w:space="0" w:color="000000"/>
              <w:left w:val="single" w:sz="4" w:space="0" w:color="000000"/>
              <w:bottom w:val="single" w:sz="4" w:space="0" w:color="000000"/>
              <w:right w:val="single" w:sz="6" w:space="0" w:color="auto"/>
            </w:tcBorders>
            <w:shd w:val="clear" w:color="auto" w:fill="8DB3E2" w:themeFill="text2" w:themeFillTint="66"/>
            <w:vAlign w:val="center"/>
            <w:hideMark/>
          </w:tcPr>
          <w:p w:rsidR="00DC5011" w:rsidRPr="000B521F" w:rsidRDefault="00DC5011" w:rsidP="0059011D">
            <w:pPr>
              <w:spacing w:after="120" w:line="240" w:lineRule="auto"/>
              <w:jc w:val="center"/>
              <w:rPr>
                <w:rFonts w:ascii="Times New Roman" w:hAnsi="Times New Roman" w:cs="Times New Roman"/>
                <w:b/>
                <w:sz w:val="20"/>
                <w:szCs w:val="20"/>
              </w:rPr>
            </w:pPr>
            <w:r w:rsidRPr="000B521F">
              <w:rPr>
                <w:rFonts w:ascii="Times New Roman" w:hAnsi="Times New Roman" w:cs="Times New Roman"/>
                <w:b/>
                <w:sz w:val="20"/>
                <w:szCs w:val="20"/>
              </w:rPr>
              <w:t>Cíl EU k 2020</w:t>
            </w:r>
          </w:p>
        </w:tc>
        <w:tc>
          <w:tcPr>
            <w:tcW w:w="992" w:type="dxa"/>
            <w:tcBorders>
              <w:top w:val="single" w:sz="4" w:space="0" w:color="000000"/>
              <w:left w:val="single" w:sz="6" w:space="0" w:color="auto"/>
              <w:bottom w:val="single" w:sz="4" w:space="0" w:color="000000"/>
              <w:right w:val="single" w:sz="4" w:space="0" w:color="000000"/>
            </w:tcBorders>
            <w:shd w:val="clear" w:color="auto" w:fill="8DB3E2" w:themeFill="text2" w:themeFillTint="66"/>
            <w:vAlign w:val="center"/>
            <w:hideMark/>
          </w:tcPr>
          <w:p w:rsidR="00DC5011" w:rsidRPr="000B521F" w:rsidRDefault="00DC5011" w:rsidP="0059011D">
            <w:pPr>
              <w:spacing w:after="120" w:line="240" w:lineRule="auto"/>
              <w:jc w:val="center"/>
              <w:rPr>
                <w:rFonts w:ascii="Times New Roman" w:hAnsi="Times New Roman" w:cs="Times New Roman"/>
                <w:b/>
                <w:sz w:val="20"/>
                <w:szCs w:val="20"/>
              </w:rPr>
            </w:pPr>
            <w:r w:rsidRPr="000B521F">
              <w:rPr>
                <w:rFonts w:ascii="Times New Roman" w:hAnsi="Times New Roman" w:cs="Times New Roman"/>
                <w:b/>
                <w:sz w:val="20"/>
                <w:szCs w:val="20"/>
              </w:rPr>
              <w:t>Stav EU k 2010</w:t>
            </w:r>
          </w:p>
        </w:tc>
        <w:tc>
          <w:tcPr>
            <w:tcW w:w="992" w:type="dxa"/>
            <w:tcBorders>
              <w:top w:val="single" w:sz="4" w:space="0" w:color="000000"/>
              <w:left w:val="single" w:sz="4" w:space="0" w:color="000000"/>
              <w:bottom w:val="single" w:sz="4" w:space="0" w:color="000000"/>
              <w:right w:val="single" w:sz="6" w:space="0" w:color="auto"/>
            </w:tcBorders>
            <w:shd w:val="clear" w:color="auto" w:fill="8DB3E2" w:themeFill="text2" w:themeFillTint="66"/>
            <w:vAlign w:val="center"/>
            <w:hideMark/>
          </w:tcPr>
          <w:p w:rsidR="00DC5011" w:rsidRPr="000B521F" w:rsidRDefault="00DC5011" w:rsidP="0059011D">
            <w:pPr>
              <w:spacing w:after="120" w:line="240" w:lineRule="auto"/>
              <w:jc w:val="center"/>
              <w:rPr>
                <w:rFonts w:ascii="Times New Roman" w:hAnsi="Times New Roman" w:cs="Times New Roman"/>
                <w:b/>
                <w:sz w:val="20"/>
                <w:szCs w:val="20"/>
              </w:rPr>
            </w:pPr>
            <w:r w:rsidRPr="000B521F">
              <w:rPr>
                <w:rFonts w:ascii="Times New Roman" w:hAnsi="Times New Roman" w:cs="Times New Roman"/>
                <w:b/>
                <w:sz w:val="20"/>
                <w:szCs w:val="20"/>
              </w:rPr>
              <w:t>Stav EU k 2012</w:t>
            </w:r>
          </w:p>
        </w:tc>
        <w:tc>
          <w:tcPr>
            <w:tcW w:w="903" w:type="dxa"/>
            <w:tcBorders>
              <w:top w:val="single" w:sz="4" w:space="0" w:color="000000"/>
              <w:left w:val="single" w:sz="4" w:space="0" w:color="000000"/>
              <w:bottom w:val="single" w:sz="4" w:space="0" w:color="000000"/>
              <w:right w:val="single" w:sz="6" w:space="0" w:color="auto"/>
            </w:tcBorders>
            <w:shd w:val="clear" w:color="auto" w:fill="8DB3E2" w:themeFill="text2" w:themeFillTint="66"/>
            <w:vAlign w:val="center"/>
            <w:hideMark/>
          </w:tcPr>
          <w:p w:rsidR="00DC5011" w:rsidRPr="000B521F" w:rsidRDefault="00DC5011" w:rsidP="0059011D">
            <w:pPr>
              <w:spacing w:after="120" w:line="240" w:lineRule="auto"/>
              <w:jc w:val="center"/>
              <w:rPr>
                <w:rFonts w:ascii="Times New Roman" w:hAnsi="Times New Roman" w:cs="Times New Roman"/>
                <w:b/>
                <w:sz w:val="20"/>
                <w:szCs w:val="20"/>
              </w:rPr>
            </w:pPr>
            <w:r w:rsidRPr="000B521F">
              <w:rPr>
                <w:rFonts w:ascii="Times New Roman" w:hAnsi="Times New Roman" w:cs="Times New Roman"/>
                <w:b/>
                <w:sz w:val="20"/>
                <w:szCs w:val="20"/>
              </w:rPr>
              <w:t>Cíl ČR k 2020</w:t>
            </w:r>
          </w:p>
        </w:tc>
        <w:tc>
          <w:tcPr>
            <w:tcW w:w="966" w:type="dxa"/>
            <w:tcBorders>
              <w:top w:val="single" w:sz="4" w:space="0" w:color="000000"/>
              <w:left w:val="single" w:sz="4" w:space="0" w:color="000000"/>
              <w:bottom w:val="single" w:sz="4" w:space="0" w:color="000000"/>
              <w:right w:val="single" w:sz="6" w:space="0" w:color="auto"/>
            </w:tcBorders>
            <w:shd w:val="clear" w:color="auto" w:fill="8DB3E2" w:themeFill="text2" w:themeFillTint="66"/>
            <w:vAlign w:val="center"/>
            <w:hideMark/>
          </w:tcPr>
          <w:p w:rsidR="00DC5011" w:rsidRPr="000B521F" w:rsidRDefault="00DC5011" w:rsidP="0059011D">
            <w:pPr>
              <w:spacing w:after="120" w:line="240" w:lineRule="auto"/>
              <w:jc w:val="center"/>
              <w:rPr>
                <w:rFonts w:ascii="Times New Roman" w:hAnsi="Times New Roman" w:cs="Times New Roman"/>
                <w:b/>
                <w:sz w:val="20"/>
                <w:szCs w:val="20"/>
              </w:rPr>
            </w:pPr>
            <w:r w:rsidRPr="000B521F">
              <w:rPr>
                <w:rFonts w:ascii="Times New Roman" w:hAnsi="Times New Roman" w:cs="Times New Roman"/>
                <w:b/>
                <w:sz w:val="20"/>
                <w:szCs w:val="20"/>
              </w:rPr>
              <w:t>Stav ČR k 2010</w:t>
            </w:r>
          </w:p>
        </w:tc>
        <w:tc>
          <w:tcPr>
            <w:tcW w:w="966" w:type="dxa"/>
            <w:tcBorders>
              <w:top w:val="single" w:sz="4" w:space="0" w:color="000000"/>
              <w:left w:val="single" w:sz="6" w:space="0" w:color="auto"/>
              <w:bottom w:val="single" w:sz="4" w:space="0" w:color="000000"/>
              <w:right w:val="single" w:sz="4" w:space="0" w:color="000000"/>
            </w:tcBorders>
            <w:shd w:val="clear" w:color="auto" w:fill="8DB3E2" w:themeFill="text2" w:themeFillTint="66"/>
            <w:vAlign w:val="center"/>
            <w:hideMark/>
          </w:tcPr>
          <w:p w:rsidR="00DC5011" w:rsidRPr="000B521F" w:rsidRDefault="00DC5011" w:rsidP="0059011D">
            <w:pPr>
              <w:spacing w:after="120" w:line="240" w:lineRule="auto"/>
              <w:jc w:val="center"/>
              <w:rPr>
                <w:rFonts w:ascii="Times New Roman" w:hAnsi="Times New Roman" w:cs="Times New Roman"/>
                <w:b/>
                <w:sz w:val="20"/>
                <w:szCs w:val="20"/>
              </w:rPr>
            </w:pPr>
            <w:r w:rsidRPr="000B521F">
              <w:rPr>
                <w:rFonts w:ascii="Times New Roman" w:hAnsi="Times New Roman" w:cs="Times New Roman"/>
                <w:b/>
                <w:sz w:val="20"/>
                <w:szCs w:val="20"/>
              </w:rPr>
              <w:t>Stav ČR k 2012</w:t>
            </w:r>
          </w:p>
        </w:tc>
      </w:tr>
      <w:tr w:rsidR="00DC5011" w:rsidRPr="000B521F" w:rsidTr="00761093">
        <w:trPr>
          <w:trHeight w:val="553"/>
        </w:trPr>
        <w:tc>
          <w:tcPr>
            <w:tcW w:w="340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DC5011" w:rsidRPr="000B521F" w:rsidRDefault="00DC5011" w:rsidP="0019742F">
            <w:pPr>
              <w:spacing w:after="120" w:line="240" w:lineRule="auto"/>
              <w:rPr>
                <w:rFonts w:ascii="Times New Roman" w:hAnsi="Times New Roman" w:cs="Times New Roman"/>
                <w:sz w:val="20"/>
                <w:szCs w:val="20"/>
              </w:rPr>
            </w:pPr>
            <w:r w:rsidRPr="000B521F">
              <w:rPr>
                <w:rFonts w:ascii="Times New Roman" w:hAnsi="Times New Roman" w:cs="Times New Roman"/>
                <w:sz w:val="20"/>
                <w:szCs w:val="20"/>
              </w:rPr>
              <w:t>Podíl předčasně ukončujících školní docházku (% populace ve věku 18</w:t>
            </w:r>
            <w:r w:rsidR="0019742F">
              <w:rPr>
                <w:rFonts w:ascii="Times New Roman" w:hAnsi="Times New Roman" w:cs="Times New Roman"/>
                <w:sz w:val="20"/>
                <w:szCs w:val="20"/>
              </w:rPr>
              <w:t>–</w:t>
            </w:r>
            <w:r w:rsidRPr="000B521F">
              <w:rPr>
                <w:rFonts w:ascii="Times New Roman" w:hAnsi="Times New Roman" w:cs="Times New Roman"/>
                <w:sz w:val="20"/>
                <w:szCs w:val="20"/>
              </w:rPr>
              <w:t>24)</w:t>
            </w:r>
          </w:p>
        </w:tc>
        <w:tc>
          <w:tcPr>
            <w:tcW w:w="851" w:type="dxa"/>
            <w:tcBorders>
              <w:top w:val="single" w:sz="4" w:space="0" w:color="000000"/>
              <w:left w:val="single" w:sz="4" w:space="0" w:color="000000"/>
              <w:bottom w:val="single" w:sz="4" w:space="0" w:color="000000"/>
              <w:right w:val="single" w:sz="6" w:space="0" w:color="auto"/>
            </w:tcBorders>
            <w:shd w:val="clear" w:color="auto" w:fill="FFFFFF"/>
            <w:vAlign w:val="center"/>
            <w:hideMark/>
          </w:tcPr>
          <w:p w:rsidR="00DC5011" w:rsidRPr="000B521F" w:rsidRDefault="00DC5011" w:rsidP="0059011D">
            <w:pPr>
              <w:spacing w:after="120" w:line="240" w:lineRule="auto"/>
              <w:jc w:val="center"/>
              <w:rPr>
                <w:rFonts w:ascii="Times New Roman" w:hAnsi="Times New Roman" w:cs="Times New Roman"/>
                <w:sz w:val="20"/>
                <w:szCs w:val="20"/>
              </w:rPr>
            </w:pPr>
            <w:r w:rsidRPr="000B521F">
              <w:rPr>
                <w:rFonts w:ascii="Times New Roman" w:hAnsi="Times New Roman" w:cs="Times New Roman"/>
                <w:sz w:val="20"/>
                <w:szCs w:val="20"/>
              </w:rPr>
              <w:t>10</w:t>
            </w:r>
          </w:p>
        </w:tc>
        <w:tc>
          <w:tcPr>
            <w:tcW w:w="992" w:type="dxa"/>
            <w:tcBorders>
              <w:top w:val="single" w:sz="4" w:space="0" w:color="000000"/>
              <w:left w:val="single" w:sz="6" w:space="0" w:color="auto"/>
              <w:bottom w:val="single" w:sz="4" w:space="0" w:color="000000"/>
              <w:right w:val="single" w:sz="4" w:space="0" w:color="000000"/>
            </w:tcBorders>
            <w:shd w:val="clear" w:color="auto" w:fill="FFFFFF"/>
            <w:vAlign w:val="center"/>
            <w:hideMark/>
          </w:tcPr>
          <w:p w:rsidR="00DC5011" w:rsidRPr="000B521F" w:rsidRDefault="00DC5011" w:rsidP="0059011D">
            <w:pPr>
              <w:spacing w:after="120" w:line="240" w:lineRule="auto"/>
              <w:jc w:val="center"/>
              <w:rPr>
                <w:rFonts w:ascii="Times New Roman" w:hAnsi="Times New Roman" w:cs="Times New Roman"/>
                <w:sz w:val="20"/>
                <w:szCs w:val="20"/>
              </w:rPr>
            </w:pPr>
            <w:r w:rsidRPr="000B521F">
              <w:rPr>
                <w:rFonts w:ascii="Times New Roman" w:hAnsi="Times New Roman" w:cs="Times New Roman"/>
                <w:sz w:val="20"/>
                <w:szCs w:val="20"/>
              </w:rPr>
              <w:t>14</w:t>
            </w:r>
          </w:p>
        </w:tc>
        <w:tc>
          <w:tcPr>
            <w:tcW w:w="992" w:type="dxa"/>
            <w:tcBorders>
              <w:top w:val="single" w:sz="4" w:space="0" w:color="000000"/>
              <w:left w:val="single" w:sz="4" w:space="0" w:color="000000"/>
              <w:bottom w:val="single" w:sz="4" w:space="0" w:color="000000"/>
              <w:right w:val="single" w:sz="6" w:space="0" w:color="auto"/>
            </w:tcBorders>
            <w:shd w:val="clear" w:color="auto" w:fill="FFFFFF"/>
            <w:vAlign w:val="center"/>
            <w:hideMark/>
          </w:tcPr>
          <w:p w:rsidR="00DC5011" w:rsidRPr="000B521F" w:rsidRDefault="00DC5011" w:rsidP="0059011D">
            <w:pPr>
              <w:spacing w:after="120" w:line="240" w:lineRule="auto"/>
              <w:jc w:val="center"/>
              <w:rPr>
                <w:rFonts w:ascii="Times New Roman" w:hAnsi="Times New Roman" w:cs="Times New Roman"/>
                <w:sz w:val="20"/>
                <w:szCs w:val="20"/>
              </w:rPr>
            </w:pPr>
            <w:r w:rsidRPr="000B521F">
              <w:rPr>
                <w:rFonts w:ascii="Times New Roman" w:hAnsi="Times New Roman" w:cs="Times New Roman"/>
                <w:sz w:val="20"/>
                <w:szCs w:val="20"/>
              </w:rPr>
              <w:t>12,8</w:t>
            </w:r>
          </w:p>
        </w:tc>
        <w:tc>
          <w:tcPr>
            <w:tcW w:w="903" w:type="dxa"/>
            <w:tcBorders>
              <w:top w:val="single" w:sz="4" w:space="0" w:color="000000"/>
              <w:left w:val="single" w:sz="4" w:space="0" w:color="000000"/>
              <w:bottom w:val="single" w:sz="4" w:space="0" w:color="000000"/>
              <w:right w:val="single" w:sz="6" w:space="0" w:color="auto"/>
            </w:tcBorders>
            <w:shd w:val="clear" w:color="auto" w:fill="FFFFFF"/>
            <w:vAlign w:val="center"/>
            <w:hideMark/>
          </w:tcPr>
          <w:p w:rsidR="00DC5011" w:rsidRPr="000B521F" w:rsidRDefault="00DC5011" w:rsidP="0059011D">
            <w:pPr>
              <w:spacing w:after="120" w:line="240" w:lineRule="auto"/>
              <w:jc w:val="center"/>
              <w:rPr>
                <w:rFonts w:ascii="Times New Roman" w:hAnsi="Times New Roman" w:cs="Times New Roman"/>
                <w:sz w:val="20"/>
                <w:szCs w:val="20"/>
              </w:rPr>
            </w:pPr>
            <w:r w:rsidRPr="000B521F">
              <w:rPr>
                <w:rFonts w:ascii="Times New Roman" w:hAnsi="Times New Roman" w:cs="Times New Roman"/>
                <w:sz w:val="20"/>
                <w:szCs w:val="20"/>
              </w:rPr>
              <w:t>5,5</w:t>
            </w:r>
          </w:p>
        </w:tc>
        <w:tc>
          <w:tcPr>
            <w:tcW w:w="966" w:type="dxa"/>
            <w:tcBorders>
              <w:top w:val="single" w:sz="4" w:space="0" w:color="000000"/>
              <w:left w:val="single" w:sz="4" w:space="0" w:color="000000"/>
              <w:bottom w:val="single" w:sz="4" w:space="0" w:color="000000"/>
              <w:right w:val="single" w:sz="6" w:space="0" w:color="auto"/>
            </w:tcBorders>
            <w:shd w:val="clear" w:color="auto" w:fill="FFFFFF"/>
            <w:vAlign w:val="center"/>
            <w:hideMark/>
          </w:tcPr>
          <w:p w:rsidR="00DC5011" w:rsidRPr="000B521F" w:rsidRDefault="00DC5011" w:rsidP="0059011D">
            <w:pPr>
              <w:spacing w:after="120" w:line="240" w:lineRule="auto"/>
              <w:jc w:val="center"/>
              <w:rPr>
                <w:rFonts w:ascii="Times New Roman" w:hAnsi="Times New Roman" w:cs="Times New Roman"/>
                <w:sz w:val="20"/>
                <w:szCs w:val="20"/>
              </w:rPr>
            </w:pPr>
            <w:r w:rsidRPr="000B521F">
              <w:rPr>
                <w:rFonts w:ascii="Times New Roman" w:hAnsi="Times New Roman" w:cs="Times New Roman"/>
                <w:sz w:val="20"/>
                <w:szCs w:val="20"/>
              </w:rPr>
              <w:t>4,9</w:t>
            </w:r>
          </w:p>
        </w:tc>
        <w:tc>
          <w:tcPr>
            <w:tcW w:w="966" w:type="dxa"/>
            <w:tcBorders>
              <w:top w:val="single" w:sz="4" w:space="0" w:color="000000"/>
              <w:left w:val="single" w:sz="6" w:space="0" w:color="auto"/>
              <w:bottom w:val="single" w:sz="4" w:space="0" w:color="000000"/>
              <w:right w:val="single" w:sz="4" w:space="0" w:color="000000"/>
            </w:tcBorders>
            <w:shd w:val="clear" w:color="auto" w:fill="FFFFFF"/>
            <w:vAlign w:val="center"/>
            <w:hideMark/>
          </w:tcPr>
          <w:p w:rsidR="00DC5011" w:rsidRPr="000B521F" w:rsidRDefault="00DC5011" w:rsidP="0059011D">
            <w:pPr>
              <w:spacing w:after="120" w:line="240" w:lineRule="auto"/>
              <w:jc w:val="center"/>
              <w:rPr>
                <w:rFonts w:ascii="Times New Roman" w:hAnsi="Times New Roman" w:cs="Times New Roman"/>
                <w:sz w:val="20"/>
                <w:szCs w:val="20"/>
              </w:rPr>
            </w:pPr>
            <w:r w:rsidRPr="000B521F">
              <w:rPr>
                <w:rFonts w:ascii="Times New Roman" w:hAnsi="Times New Roman" w:cs="Times New Roman"/>
                <w:sz w:val="20"/>
                <w:szCs w:val="20"/>
              </w:rPr>
              <w:t xml:space="preserve">5,5 </w:t>
            </w:r>
          </w:p>
        </w:tc>
      </w:tr>
      <w:tr w:rsidR="00DC5011" w:rsidRPr="000B521F" w:rsidTr="00761093">
        <w:trPr>
          <w:trHeight w:val="416"/>
        </w:trPr>
        <w:tc>
          <w:tcPr>
            <w:tcW w:w="340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DC5011" w:rsidRPr="000B521F" w:rsidRDefault="00DC5011" w:rsidP="0019742F">
            <w:pPr>
              <w:spacing w:after="120" w:line="240" w:lineRule="auto"/>
              <w:rPr>
                <w:rFonts w:ascii="Times New Roman" w:hAnsi="Times New Roman" w:cs="Times New Roman"/>
                <w:sz w:val="20"/>
                <w:szCs w:val="20"/>
              </w:rPr>
            </w:pPr>
            <w:r w:rsidRPr="000B521F">
              <w:rPr>
                <w:rFonts w:ascii="Times New Roman" w:hAnsi="Times New Roman" w:cs="Times New Roman"/>
                <w:sz w:val="20"/>
                <w:szCs w:val="20"/>
              </w:rPr>
              <w:t>Ukončené terciární vzdělání (% populace ve věku 30</w:t>
            </w:r>
            <w:r w:rsidR="0019742F">
              <w:rPr>
                <w:rFonts w:ascii="Times New Roman" w:hAnsi="Times New Roman" w:cs="Times New Roman"/>
                <w:sz w:val="20"/>
                <w:szCs w:val="20"/>
              </w:rPr>
              <w:t>–</w:t>
            </w:r>
            <w:r w:rsidRPr="000B521F">
              <w:rPr>
                <w:rFonts w:ascii="Times New Roman" w:hAnsi="Times New Roman" w:cs="Times New Roman"/>
                <w:sz w:val="20"/>
                <w:szCs w:val="20"/>
              </w:rPr>
              <w:t>34)</w:t>
            </w:r>
          </w:p>
        </w:tc>
        <w:tc>
          <w:tcPr>
            <w:tcW w:w="851" w:type="dxa"/>
            <w:tcBorders>
              <w:top w:val="single" w:sz="4" w:space="0" w:color="000000"/>
              <w:left w:val="single" w:sz="4" w:space="0" w:color="000000"/>
              <w:bottom w:val="single" w:sz="4" w:space="0" w:color="000000"/>
              <w:right w:val="single" w:sz="6" w:space="0" w:color="auto"/>
            </w:tcBorders>
            <w:shd w:val="clear" w:color="auto" w:fill="FFFFFF"/>
            <w:vAlign w:val="center"/>
            <w:hideMark/>
          </w:tcPr>
          <w:p w:rsidR="00DC5011" w:rsidRPr="000B521F" w:rsidRDefault="00DC5011" w:rsidP="0059011D">
            <w:pPr>
              <w:spacing w:after="120" w:line="240" w:lineRule="auto"/>
              <w:jc w:val="center"/>
              <w:rPr>
                <w:rFonts w:ascii="Times New Roman" w:hAnsi="Times New Roman" w:cs="Times New Roman"/>
                <w:sz w:val="20"/>
                <w:szCs w:val="20"/>
              </w:rPr>
            </w:pPr>
            <w:r w:rsidRPr="000B521F">
              <w:rPr>
                <w:rFonts w:ascii="Times New Roman" w:hAnsi="Times New Roman" w:cs="Times New Roman"/>
                <w:sz w:val="20"/>
                <w:szCs w:val="20"/>
              </w:rPr>
              <w:t>40</w:t>
            </w:r>
          </w:p>
        </w:tc>
        <w:tc>
          <w:tcPr>
            <w:tcW w:w="992" w:type="dxa"/>
            <w:tcBorders>
              <w:top w:val="single" w:sz="4" w:space="0" w:color="000000"/>
              <w:left w:val="single" w:sz="6" w:space="0" w:color="auto"/>
              <w:bottom w:val="single" w:sz="4" w:space="0" w:color="000000"/>
              <w:right w:val="single" w:sz="4" w:space="0" w:color="000000"/>
            </w:tcBorders>
            <w:shd w:val="clear" w:color="auto" w:fill="FFFFFF"/>
            <w:vAlign w:val="center"/>
            <w:hideMark/>
          </w:tcPr>
          <w:p w:rsidR="00DC5011" w:rsidRPr="000B521F" w:rsidRDefault="00DC5011" w:rsidP="0059011D">
            <w:pPr>
              <w:spacing w:after="120" w:line="240" w:lineRule="auto"/>
              <w:jc w:val="center"/>
              <w:rPr>
                <w:rFonts w:ascii="Times New Roman" w:hAnsi="Times New Roman" w:cs="Times New Roman"/>
                <w:sz w:val="20"/>
                <w:szCs w:val="20"/>
              </w:rPr>
            </w:pPr>
            <w:r w:rsidRPr="000B521F">
              <w:rPr>
                <w:rFonts w:ascii="Times New Roman" w:hAnsi="Times New Roman" w:cs="Times New Roman"/>
                <w:sz w:val="20"/>
                <w:szCs w:val="20"/>
              </w:rPr>
              <w:t>33,5</w:t>
            </w:r>
          </w:p>
        </w:tc>
        <w:tc>
          <w:tcPr>
            <w:tcW w:w="992" w:type="dxa"/>
            <w:tcBorders>
              <w:top w:val="single" w:sz="4" w:space="0" w:color="000000"/>
              <w:left w:val="single" w:sz="4" w:space="0" w:color="000000"/>
              <w:bottom w:val="single" w:sz="4" w:space="0" w:color="000000"/>
              <w:right w:val="single" w:sz="6" w:space="0" w:color="auto"/>
            </w:tcBorders>
            <w:shd w:val="clear" w:color="auto" w:fill="FFFFFF"/>
            <w:vAlign w:val="center"/>
            <w:hideMark/>
          </w:tcPr>
          <w:p w:rsidR="00DC5011" w:rsidRPr="000B521F" w:rsidRDefault="00DC5011" w:rsidP="0059011D">
            <w:pPr>
              <w:spacing w:after="120" w:line="240" w:lineRule="auto"/>
              <w:jc w:val="center"/>
              <w:rPr>
                <w:rFonts w:ascii="Times New Roman" w:hAnsi="Times New Roman" w:cs="Times New Roman"/>
                <w:sz w:val="20"/>
                <w:szCs w:val="20"/>
              </w:rPr>
            </w:pPr>
            <w:r w:rsidRPr="000B521F">
              <w:rPr>
                <w:rFonts w:ascii="Times New Roman" w:hAnsi="Times New Roman" w:cs="Times New Roman"/>
                <w:sz w:val="20"/>
                <w:szCs w:val="20"/>
              </w:rPr>
              <w:t>35,8</w:t>
            </w:r>
          </w:p>
        </w:tc>
        <w:tc>
          <w:tcPr>
            <w:tcW w:w="903" w:type="dxa"/>
            <w:tcBorders>
              <w:top w:val="single" w:sz="4" w:space="0" w:color="000000"/>
              <w:left w:val="single" w:sz="4" w:space="0" w:color="000000"/>
              <w:bottom w:val="single" w:sz="4" w:space="0" w:color="000000"/>
              <w:right w:val="single" w:sz="6" w:space="0" w:color="auto"/>
            </w:tcBorders>
            <w:shd w:val="clear" w:color="auto" w:fill="FFFFFF"/>
            <w:vAlign w:val="center"/>
            <w:hideMark/>
          </w:tcPr>
          <w:p w:rsidR="00DC5011" w:rsidRPr="000B521F" w:rsidRDefault="00DC5011" w:rsidP="0059011D">
            <w:pPr>
              <w:spacing w:after="120" w:line="240" w:lineRule="auto"/>
              <w:jc w:val="center"/>
              <w:rPr>
                <w:rFonts w:ascii="Times New Roman" w:hAnsi="Times New Roman" w:cs="Times New Roman"/>
                <w:sz w:val="20"/>
                <w:szCs w:val="20"/>
              </w:rPr>
            </w:pPr>
            <w:r w:rsidRPr="000B521F">
              <w:rPr>
                <w:rFonts w:ascii="Times New Roman" w:hAnsi="Times New Roman" w:cs="Times New Roman"/>
                <w:sz w:val="20"/>
                <w:szCs w:val="20"/>
              </w:rPr>
              <w:t>32</w:t>
            </w:r>
          </w:p>
        </w:tc>
        <w:tc>
          <w:tcPr>
            <w:tcW w:w="966" w:type="dxa"/>
            <w:tcBorders>
              <w:top w:val="single" w:sz="4" w:space="0" w:color="000000"/>
              <w:left w:val="single" w:sz="4" w:space="0" w:color="000000"/>
              <w:bottom w:val="single" w:sz="4" w:space="0" w:color="000000"/>
              <w:right w:val="single" w:sz="6" w:space="0" w:color="auto"/>
            </w:tcBorders>
            <w:shd w:val="clear" w:color="auto" w:fill="FFFFFF"/>
            <w:vAlign w:val="center"/>
            <w:hideMark/>
          </w:tcPr>
          <w:p w:rsidR="00DC5011" w:rsidRPr="000B521F" w:rsidRDefault="00DC5011" w:rsidP="0059011D">
            <w:pPr>
              <w:spacing w:after="120" w:line="240" w:lineRule="auto"/>
              <w:jc w:val="center"/>
              <w:rPr>
                <w:rFonts w:ascii="Times New Roman" w:hAnsi="Times New Roman" w:cs="Times New Roman"/>
                <w:sz w:val="20"/>
                <w:szCs w:val="20"/>
              </w:rPr>
            </w:pPr>
            <w:r w:rsidRPr="000B521F">
              <w:rPr>
                <w:rFonts w:ascii="Times New Roman" w:hAnsi="Times New Roman" w:cs="Times New Roman"/>
                <w:sz w:val="20"/>
                <w:szCs w:val="20"/>
              </w:rPr>
              <w:t>20,4</w:t>
            </w:r>
          </w:p>
        </w:tc>
        <w:tc>
          <w:tcPr>
            <w:tcW w:w="966" w:type="dxa"/>
            <w:tcBorders>
              <w:top w:val="single" w:sz="4" w:space="0" w:color="000000"/>
              <w:left w:val="single" w:sz="6" w:space="0" w:color="auto"/>
              <w:bottom w:val="single" w:sz="4" w:space="0" w:color="000000"/>
              <w:right w:val="single" w:sz="4" w:space="0" w:color="000000"/>
            </w:tcBorders>
            <w:shd w:val="clear" w:color="auto" w:fill="FFFFFF"/>
            <w:vAlign w:val="center"/>
            <w:hideMark/>
          </w:tcPr>
          <w:p w:rsidR="00DC5011" w:rsidRPr="000B521F" w:rsidRDefault="00DC5011" w:rsidP="0059011D">
            <w:pPr>
              <w:spacing w:after="120" w:line="240" w:lineRule="auto"/>
              <w:jc w:val="center"/>
              <w:rPr>
                <w:rFonts w:ascii="Times New Roman" w:hAnsi="Times New Roman" w:cs="Times New Roman"/>
                <w:sz w:val="20"/>
                <w:szCs w:val="20"/>
              </w:rPr>
            </w:pPr>
            <w:r w:rsidRPr="000B521F">
              <w:rPr>
                <w:rFonts w:ascii="Times New Roman" w:hAnsi="Times New Roman" w:cs="Times New Roman"/>
                <w:sz w:val="20"/>
                <w:szCs w:val="20"/>
              </w:rPr>
              <w:t>25,6</w:t>
            </w:r>
          </w:p>
        </w:tc>
      </w:tr>
    </w:tbl>
    <w:p w:rsidR="00DC5011" w:rsidRPr="000B521F" w:rsidRDefault="00DC5011" w:rsidP="0059011D">
      <w:pPr>
        <w:autoSpaceDE w:val="0"/>
        <w:autoSpaceDN w:val="0"/>
        <w:adjustRightInd w:val="0"/>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Strategie Evropa 2020 stanovuje cíl „Snížit podíl dětí, které předčasně ukončují školní docházku, ze současných 15 % na 10 % a zvýšit podíl obyvatel ve věku od 30 do 34 let, kteří mají ukončené terciární vzdělání, z 31 % nejméně na 40 %“.</w:t>
      </w:r>
    </w:p>
    <w:p w:rsidR="007032DF" w:rsidRPr="000B521F" w:rsidRDefault="007032DF" w:rsidP="0059011D">
      <w:pPr>
        <w:spacing w:after="120" w:line="240" w:lineRule="auto"/>
        <w:rPr>
          <w:rFonts w:ascii="Times New Roman" w:hAnsi="Times New Roman" w:cs="Times New Roman"/>
          <w:b/>
          <w:sz w:val="24"/>
          <w:szCs w:val="24"/>
        </w:rPr>
      </w:pPr>
      <w:bookmarkStart w:id="26" w:name="_Toc245272146"/>
    </w:p>
    <w:p w:rsidR="008206A4" w:rsidRPr="000B521F" w:rsidRDefault="007032DF" w:rsidP="0059011D">
      <w:pPr>
        <w:pStyle w:val="Nadpis4"/>
        <w:numPr>
          <w:ilvl w:val="3"/>
          <w:numId w:val="14"/>
        </w:numPr>
        <w:spacing w:before="120" w:after="120"/>
        <w:rPr>
          <w:rFonts w:ascii="Times New Roman" w:hAnsi="Times New Roman" w:cs="Times New Roman"/>
          <w:sz w:val="24"/>
          <w:szCs w:val="24"/>
        </w:rPr>
      </w:pPr>
      <w:bookmarkStart w:id="27" w:name="_Toc374702858"/>
      <w:r w:rsidRPr="000B521F">
        <w:rPr>
          <w:rFonts w:ascii="Times New Roman" w:hAnsi="Times New Roman" w:cs="Times New Roman"/>
          <w:sz w:val="24"/>
          <w:szCs w:val="24"/>
        </w:rPr>
        <w:t>Výzkumný a inovační systém</w:t>
      </w:r>
      <w:bookmarkEnd w:id="27"/>
    </w:p>
    <w:p w:rsidR="007032DF" w:rsidRPr="000B521F" w:rsidRDefault="007032DF" w:rsidP="0059011D">
      <w:pPr>
        <w:spacing w:after="120" w:line="240" w:lineRule="auto"/>
        <w:rPr>
          <w:rFonts w:ascii="Times New Roman" w:hAnsi="Times New Roman" w:cs="Times New Roman"/>
          <w:sz w:val="24"/>
          <w:szCs w:val="24"/>
        </w:rPr>
      </w:pPr>
      <w:r w:rsidRPr="000B521F">
        <w:rPr>
          <w:rFonts w:ascii="Times New Roman" w:hAnsi="Times New Roman" w:cs="Times New Roman"/>
          <w:b/>
          <w:sz w:val="24"/>
          <w:szCs w:val="24"/>
        </w:rPr>
        <w:t>Východiska a charakteristika</w:t>
      </w:r>
    </w:p>
    <w:p w:rsidR="007032DF" w:rsidRPr="000B521F" w:rsidRDefault="007032DF"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Česká republika je malou otevřenou ekonomikou s výraznou průmyslovou orientací a exportním zaměřením, kde hlavním faktorem pro zajištění konkurenční výhody je schopnost podniků vyvíjet a zavádět nové produkty, technologické postupy, změny v organizaci práce či nové způsoby prodeje výrobků a služeb.</w:t>
      </w:r>
      <w:r w:rsidRPr="000B521F">
        <w:rPr>
          <w:rStyle w:val="Znakapoznpodarou"/>
          <w:rFonts w:ascii="Times New Roman" w:hAnsi="Times New Roman" w:cs="Times New Roman"/>
          <w:sz w:val="24"/>
          <w:szCs w:val="24"/>
        </w:rPr>
        <w:footnoteReference w:id="31"/>
      </w:r>
      <w:r w:rsidRPr="000B521F">
        <w:rPr>
          <w:rFonts w:ascii="Times New Roman" w:hAnsi="Times New Roman" w:cs="Times New Roman"/>
          <w:sz w:val="24"/>
          <w:szCs w:val="24"/>
        </w:rPr>
        <w:t xml:space="preserve"> Z hlediska podmínek pro rozvoj výzkumných a inovačních aktivit je pozitivní, že v posledních letech došlo ke zlepšení v oblasti technologické (zejm. ICT) i vědecko-výzkumné infrastruktury.</w:t>
      </w:r>
      <w:r w:rsidRPr="000B521F">
        <w:rPr>
          <w:rStyle w:val="Znakapoznpodarou"/>
          <w:rFonts w:ascii="Times New Roman" w:hAnsi="Times New Roman" w:cs="Times New Roman"/>
          <w:sz w:val="24"/>
          <w:szCs w:val="24"/>
        </w:rPr>
        <w:footnoteReference w:id="32"/>
      </w:r>
    </w:p>
    <w:p w:rsidR="007032DF" w:rsidRPr="000B521F" w:rsidRDefault="007032DF"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Také intenzitou výzkumu a vývoje (VaV), která dosáhla 1,89 % v roce 2012, se ČR blíží průměru EU,</w:t>
      </w:r>
      <w:r w:rsidRPr="000B521F">
        <w:rPr>
          <w:rStyle w:val="Znakapoznpodarou"/>
          <w:rFonts w:ascii="Times New Roman" w:hAnsi="Times New Roman" w:cs="Times New Roman"/>
          <w:sz w:val="24"/>
          <w:szCs w:val="24"/>
        </w:rPr>
        <w:footnoteReference w:id="33"/>
      </w:r>
      <w:r w:rsidRPr="000B521F">
        <w:rPr>
          <w:rFonts w:ascii="Times New Roman" w:hAnsi="Times New Roman" w:cs="Times New Roman"/>
          <w:sz w:val="24"/>
          <w:szCs w:val="24"/>
        </w:rPr>
        <w:t xml:space="preserve"> přičemž na tomto nárůstu se podílely zejména zahraniční soukromé zdroje VaV investované do podniků pod zahraniční kontrolou a veřejné zahraniční zdroje investované z fondů EU do výstavby nové a modernizace existující výzkumné infrastruktury zejména ve veřejném sektoru. </w:t>
      </w:r>
    </w:p>
    <w:p w:rsidR="007032DF" w:rsidRPr="000B521F" w:rsidRDefault="007032DF"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b/>
          <w:sz w:val="24"/>
          <w:szCs w:val="24"/>
        </w:rPr>
        <w:t>Z hlediska kvality výstupů VaV</w:t>
      </w:r>
      <w:r w:rsidRPr="000B521F">
        <w:rPr>
          <w:rFonts w:ascii="Times New Roman" w:hAnsi="Times New Roman" w:cs="Times New Roman"/>
          <w:sz w:val="24"/>
          <w:szCs w:val="24"/>
        </w:rPr>
        <w:t xml:space="preserve"> ve formě vysoce citovaných vědeckých publikací, společných publikací veřejných výzkumných institucí s aplikační sférou (podniky), počtu patentů a příjmů z licencí a smluvního výzkumu </w:t>
      </w:r>
      <w:r w:rsidRPr="000B521F">
        <w:rPr>
          <w:rFonts w:ascii="Times New Roman" w:hAnsi="Times New Roman" w:cs="Times New Roman"/>
          <w:b/>
          <w:sz w:val="24"/>
          <w:szCs w:val="24"/>
        </w:rPr>
        <w:t>je však ČR hluboko pod průměrem EU</w:t>
      </w:r>
      <w:r w:rsidRPr="000B521F">
        <w:rPr>
          <w:rFonts w:ascii="Times New Roman" w:hAnsi="Times New Roman" w:cs="Times New Roman"/>
          <w:sz w:val="24"/>
          <w:szCs w:val="24"/>
        </w:rPr>
        <w:t xml:space="preserve">. Citovanost publikací českých autorů sice dlouhodobě roste a v roce 2013 dosahuje přibližně </w:t>
      </w:r>
      <w:r w:rsidRPr="000B521F">
        <w:rPr>
          <w:rFonts w:ascii="Times New Roman" w:hAnsi="Times New Roman" w:cs="Times New Roman"/>
          <w:sz w:val="24"/>
          <w:szCs w:val="24"/>
        </w:rPr>
        <w:lastRenderedPageBreak/>
        <w:t>90 % průměrné citovanosti v EU27 na 1000 obyvatel, ale podíl na 10 % nejcitovanějších publikací na světě je v ČR 51 % pod průměrem EU</w:t>
      </w:r>
      <w:r w:rsidR="0019742F">
        <w:rPr>
          <w:rFonts w:ascii="Times New Roman" w:hAnsi="Times New Roman" w:cs="Times New Roman"/>
          <w:sz w:val="24"/>
          <w:szCs w:val="24"/>
        </w:rPr>
        <w:t>-</w:t>
      </w:r>
      <w:r w:rsidRPr="000B521F">
        <w:rPr>
          <w:rFonts w:ascii="Times New Roman" w:hAnsi="Times New Roman" w:cs="Times New Roman"/>
          <w:sz w:val="24"/>
          <w:szCs w:val="24"/>
        </w:rPr>
        <w:t>27</w:t>
      </w:r>
      <w:r w:rsidRPr="000B521F">
        <w:rPr>
          <w:rStyle w:val="Znakapoznpodarou"/>
          <w:rFonts w:ascii="Times New Roman" w:hAnsi="Times New Roman" w:cs="Times New Roman"/>
          <w:sz w:val="24"/>
          <w:szCs w:val="24"/>
        </w:rPr>
        <w:footnoteReference w:id="34"/>
      </w:r>
      <w:r w:rsidRPr="000B521F">
        <w:rPr>
          <w:rFonts w:ascii="Times New Roman" w:hAnsi="Times New Roman" w:cs="Times New Roman"/>
          <w:sz w:val="24"/>
          <w:szCs w:val="24"/>
        </w:rPr>
        <w:t>. V počtu patentových přihlášek u EPO na mil. obyvatel dosahuje ČR pouze jedné desetiny průměru EU</w:t>
      </w:r>
      <w:r w:rsidR="0019742F">
        <w:rPr>
          <w:rFonts w:ascii="Times New Roman" w:hAnsi="Times New Roman" w:cs="Times New Roman"/>
          <w:sz w:val="24"/>
          <w:szCs w:val="24"/>
        </w:rPr>
        <w:t>-</w:t>
      </w:r>
      <w:r w:rsidRPr="000B521F">
        <w:rPr>
          <w:rFonts w:ascii="Times New Roman" w:hAnsi="Times New Roman" w:cs="Times New Roman"/>
          <w:sz w:val="24"/>
          <w:szCs w:val="24"/>
        </w:rPr>
        <w:t>27</w:t>
      </w:r>
      <w:r w:rsidRPr="000B521F">
        <w:rPr>
          <w:rStyle w:val="Znakapoznpodarou"/>
          <w:rFonts w:ascii="Times New Roman" w:hAnsi="Times New Roman" w:cs="Times New Roman"/>
          <w:sz w:val="24"/>
          <w:szCs w:val="24"/>
        </w:rPr>
        <w:footnoteReference w:id="35"/>
      </w:r>
      <w:r w:rsidRPr="000B521F">
        <w:rPr>
          <w:rFonts w:ascii="Times New Roman" w:hAnsi="Times New Roman" w:cs="Times New Roman"/>
          <w:sz w:val="24"/>
          <w:szCs w:val="24"/>
        </w:rPr>
        <w:t>, objem příjmů z licenčních poplatků ze zahraničí dosahuje v ČR 0,1 % HDP</w:t>
      </w:r>
      <w:r w:rsidRPr="000B521F">
        <w:rPr>
          <w:rStyle w:val="Znakapoznpodarou"/>
          <w:rFonts w:ascii="Times New Roman" w:hAnsi="Times New Roman" w:cs="Times New Roman"/>
          <w:sz w:val="24"/>
          <w:szCs w:val="24"/>
        </w:rPr>
        <w:footnoteReference w:id="36"/>
      </w:r>
      <w:r w:rsidRPr="000B521F">
        <w:rPr>
          <w:rFonts w:ascii="Times New Roman" w:hAnsi="Times New Roman" w:cs="Times New Roman"/>
          <w:sz w:val="24"/>
          <w:szCs w:val="24"/>
        </w:rPr>
        <w:t xml:space="preserve"> oproti 1,1 % HDP v průměru EU</w:t>
      </w:r>
      <w:r w:rsidR="0019742F">
        <w:rPr>
          <w:rFonts w:ascii="Times New Roman" w:hAnsi="Times New Roman" w:cs="Times New Roman"/>
          <w:sz w:val="24"/>
          <w:szCs w:val="24"/>
        </w:rPr>
        <w:t>-</w:t>
      </w:r>
      <w:r w:rsidRPr="000B521F">
        <w:rPr>
          <w:rFonts w:ascii="Times New Roman" w:hAnsi="Times New Roman" w:cs="Times New Roman"/>
          <w:sz w:val="24"/>
          <w:szCs w:val="24"/>
        </w:rPr>
        <w:t>27.</w:t>
      </w:r>
      <w:r w:rsidRPr="000B521F">
        <w:rPr>
          <w:rStyle w:val="Znakapoznpodarou"/>
          <w:rFonts w:ascii="Times New Roman" w:hAnsi="Times New Roman" w:cs="Times New Roman"/>
          <w:sz w:val="24"/>
          <w:szCs w:val="24"/>
        </w:rPr>
        <w:footnoteReference w:id="37"/>
      </w:r>
      <w:r w:rsidRPr="000B521F">
        <w:rPr>
          <w:rFonts w:ascii="Times New Roman" w:hAnsi="Times New Roman" w:cs="Times New Roman"/>
          <w:sz w:val="24"/>
          <w:szCs w:val="24"/>
        </w:rPr>
        <w:t xml:space="preserve"> Míra povědomí o důležitosti ochrany práv duševního vlastnictví (IPR) je velmi nízká a míra využití získaných poznatků v inovacích a jejich komercializace je zejména ve veřejných výzkumných organizacích zanedbatelná. I přes pozitivní trend ve vývoji výdajů na VaV tak </w:t>
      </w:r>
      <w:r w:rsidRPr="000B521F">
        <w:rPr>
          <w:rFonts w:ascii="Times New Roman" w:hAnsi="Times New Roman" w:cs="Times New Roman"/>
          <w:b/>
          <w:sz w:val="24"/>
          <w:szCs w:val="24"/>
        </w:rPr>
        <w:t>ČR výrazně zaostává v oblasti využití výsledků VaV, inovacích a ekonomických dopadech VaV</w:t>
      </w:r>
      <w:r w:rsidRPr="000B521F">
        <w:rPr>
          <w:rFonts w:ascii="Times New Roman" w:hAnsi="Times New Roman" w:cs="Times New Roman"/>
          <w:sz w:val="24"/>
          <w:szCs w:val="24"/>
        </w:rPr>
        <w:t xml:space="preserve">. </w:t>
      </w:r>
    </w:p>
    <w:p w:rsidR="007032DF" w:rsidRPr="000B521F" w:rsidRDefault="007032DF"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Tento stav je důsledkem problematických faktorů mimo jiné v oblasti financování výzkumu a vývoje, nedostatku kvalitních lidských zdrojů či nízké kvality a intenzity interakce (zejména efektivní spolupráce) mezi </w:t>
      </w:r>
      <w:r w:rsidRPr="000B521F">
        <w:rPr>
          <w:rFonts w:ascii="Times New Roman" w:hAnsi="Times New Roman" w:cs="Times New Roman"/>
          <w:color w:val="000000"/>
          <w:sz w:val="24"/>
          <w:szCs w:val="24"/>
          <w:lang w:eastAsia="ja-JP"/>
        </w:rPr>
        <w:t>veřejným</w:t>
      </w:r>
      <w:r w:rsidRPr="000B521F">
        <w:rPr>
          <w:rFonts w:ascii="Times New Roman" w:hAnsi="Times New Roman" w:cs="Times New Roman"/>
          <w:sz w:val="24"/>
          <w:szCs w:val="24"/>
        </w:rPr>
        <w:t xml:space="preserve"> výzkumem a praxí (zejména podniky)</w:t>
      </w:r>
      <w:r w:rsidRPr="000B521F">
        <w:rPr>
          <w:rStyle w:val="Znakapoznpodarou"/>
          <w:rFonts w:ascii="Times New Roman" w:hAnsi="Times New Roman" w:cs="Times New Roman"/>
          <w:sz w:val="24"/>
          <w:szCs w:val="24"/>
        </w:rPr>
        <w:footnoteReference w:id="38"/>
      </w:r>
      <w:r w:rsidRPr="000B521F">
        <w:rPr>
          <w:rFonts w:ascii="Times New Roman" w:hAnsi="Times New Roman" w:cs="Times New Roman"/>
          <w:sz w:val="24"/>
          <w:szCs w:val="24"/>
        </w:rPr>
        <w:t xml:space="preserve">, které </w:t>
      </w:r>
      <w:r w:rsidRPr="000B521F">
        <w:rPr>
          <w:rFonts w:ascii="Times New Roman" w:hAnsi="Times New Roman" w:cs="Times New Roman"/>
          <w:b/>
          <w:sz w:val="24"/>
          <w:szCs w:val="24"/>
        </w:rPr>
        <w:t>ovlivňují efektivitu celého inovačního systému v ČR</w:t>
      </w:r>
      <w:r w:rsidRPr="000B521F">
        <w:rPr>
          <w:rFonts w:ascii="Times New Roman" w:hAnsi="Times New Roman" w:cs="Times New Roman"/>
          <w:sz w:val="24"/>
          <w:szCs w:val="24"/>
        </w:rPr>
        <w:t xml:space="preserve">. </w:t>
      </w:r>
    </w:p>
    <w:p w:rsidR="007032DF" w:rsidRPr="000B521F" w:rsidRDefault="007032DF"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V porovnání inovační výkonnosti se ČR již několik let řadí mezi tzv. „moderate</w:t>
      </w:r>
      <w:r w:rsidR="00295EA5" w:rsidRPr="000B521F">
        <w:rPr>
          <w:rFonts w:ascii="Times New Roman" w:hAnsi="Times New Roman" w:cs="Times New Roman"/>
          <w:sz w:val="24"/>
          <w:szCs w:val="24"/>
        </w:rPr>
        <w:t xml:space="preserve"> </w:t>
      </w:r>
      <w:r w:rsidRPr="000B521F">
        <w:rPr>
          <w:rFonts w:ascii="Times New Roman" w:hAnsi="Times New Roman" w:cs="Times New Roman"/>
          <w:sz w:val="24"/>
          <w:szCs w:val="24"/>
        </w:rPr>
        <w:t>innovators“.</w:t>
      </w:r>
      <w:r w:rsidRPr="000B521F">
        <w:rPr>
          <w:rStyle w:val="Znakapoznpodarou"/>
          <w:rFonts w:ascii="Times New Roman" w:hAnsi="Times New Roman" w:cs="Times New Roman"/>
          <w:sz w:val="24"/>
          <w:szCs w:val="24"/>
        </w:rPr>
        <w:footnoteReference w:id="39"/>
      </w:r>
      <w:r w:rsidRPr="000B521F">
        <w:rPr>
          <w:rFonts w:ascii="Times New Roman" w:hAnsi="Times New Roman" w:cs="Times New Roman"/>
          <w:sz w:val="24"/>
          <w:szCs w:val="24"/>
        </w:rPr>
        <w:t xml:space="preserve"> Klíčovým zdrojem dosavadní konvergence ČR k ekonomické úrovni EU byl především růst produktivity, která však nebyla tažena znalostními faktory, ale především přejímáním vnějších znalostí a technologií (byť kreativně přizpůsobovaných lokálním potřebám) a zvyšováním efektivity produkce (snižováním nákladů). Trend konvergence však v posledních dvou letech stagnuje, stejně jako růst produktivity, ve které se ČR opět mírně vzdaluje od průměru EU.</w:t>
      </w:r>
    </w:p>
    <w:p w:rsidR="007032DF" w:rsidRPr="000B521F" w:rsidRDefault="007032DF"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Současně při porovnání s</w:t>
      </w:r>
      <w:r w:rsidR="00535D8E">
        <w:rPr>
          <w:rFonts w:ascii="Times New Roman" w:hAnsi="Times New Roman" w:cs="Times New Roman"/>
          <w:sz w:val="24"/>
          <w:szCs w:val="24"/>
        </w:rPr>
        <w:t> </w:t>
      </w:r>
      <w:r w:rsidRPr="000B521F">
        <w:rPr>
          <w:rFonts w:ascii="Times New Roman" w:hAnsi="Times New Roman" w:cs="Times New Roman"/>
          <w:sz w:val="24"/>
          <w:szCs w:val="24"/>
        </w:rPr>
        <w:t>EU</w:t>
      </w:r>
      <w:r w:rsidR="00535D8E">
        <w:rPr>
          <w:rFonts w:ascii="Times New Roman" w:hAnsi="Times New Roman" w:cs="Times New Roman"/>
          <w:sz w:val="24"/>
          <w:szCs w:val="24"/>
        </w:rPr>
        <w:t>-</w:t>
      </w:r>
      <w:r w:rsidRPr="000B521F">
        <w:rPr>
          <w:rFonts w:ascii="Times New Roman" w:hAnsi="Times New Roman" w:cs="Times New Roman"/>
          <w:sz w:val="24"/>
          <w:szCs w:val="24"/>
        </w:rPr>
        <w:t xml:space="preserve">15 jsou v ČR realizovány podnikatelské VaV aktivity zejména v </w:t>
      </w:r>
      <w:r w:rsidRPr="000B521F">
        <w:rPr>
          <w:rFonts w:ascii="Times New Roman" w:hAnsi="Times New Roman" w:cs="Times New Roman"/>
          <w:b/>
          <w:sz w:val="24"/>
          <w:szCs w:val="24"/>
        </w:rPr>
        <w:t>odvětvích se střední a nižší technologickou náročností</w:t>
      </w:r>
      <w:r w:rsidRPr="000B521F">
        <w:rPr>
          <w:rFonts w:ascii="Times New Roman" w:hAnsi="Times New Roman" w:cs="Times New Roman"/>
          <w:sz w:val="24"/>
          <w:szCs w:val="24"/>
        </w:rPr>
        <w:t xml:space="preserve">. Rostoucí podíl </w:t>
      </w:r>
      <w:r w:rsidRPr="000B521F">
        <w:rPr>
          <w:rFonts w:ascii="Times New Roman" w:hAnsi="Times New Roman" w:cs="Times New Roman"/>
          <w:b/>
          <w:sz w:val="24"/>
          <w:szCs w:val="24"/>
        </w:rPr>
        <w:t>výzkumu v high-tech</w:t>
      </w:r>
      <w:r w:rsidRPr="000B521F">
        <w:rPr>
          <w:rFonts w:ascii="Times New Roman" w:hAnsi="Times New Roman" w:cs="Times New Roman"/>
          <w:sz w:val="24"/>
          <w:szCs w:val="24"/>
        </w:rPr>
        <w:t xml:space="preserve"> oborech zaznamenaný v posledních letech je však ovlivněný faktem, že v ČR právě v těchto oborech působí </w:t>
      </w:r>
      <w:r w:rsidRPr="000B521F">
        <w:rPr>
          <w:rFonts w:ascii="Times New Roman" w:hAnsi="Times New Roman" w:cs="Times New Roman"/>
          <w:b/>
          <w:sz w:val="24"/>
          <w:szCs w:val="24"/>
        </w:rPr>
        <w:t>podniky s nízkým příspěvkem přidané hodnoty</w:t>
      </w:r>
      <w:r w:rsidRPr="000B521F">
        <w:rPr>
          <w:rFonts w:ascii="Times New Roman" w:hAnsi="Times New Roman" w:cs="Times New Roman"/>
          <w:sz w:val="24"/>
          <w:szCs w:val="24"/>
        </w:rPr>
        <w:t>. Zejména v posledních letech se však zvyšují výzkumně-vývojové aktivity v oblastech řazených mezi tzv. „key</w:t>
      </w:r>
      <w:r w:rsidR="00295EA5" w:rsidRPr="000B521F">
        <w:rPr>
          <w:rFonts w:ascii="Times New Roman" w:hAnsi="Times New Roman" w:cs="Times New Roman"/>
          <w:sz w:val="24"/>
          <w:szCs w:val="24"/>
        </w:rPr>
        <w:t xml:space="preserve"> </w:t>
      </w:r>
      <w:r w:rsidRPr="000B521F">
        <w:rPr>
          <w:rFonts w:ascii="Times New Roman" w:hAnsi="Times New Roman" w:cs="Times New Roman"/>
          <w:sz w:val="24"/>
          <w:szCs w:val="24"/>
        </w:rPr>
        <w:t>enabling</w:t>
      </w:r>
      <w:r w:rsidR="00295EA5" w:rsidRPr="000B521F">
        <w:rPr>
          <w:rFonts w:ascii="Times New Roman" w:hAnsi="Times New Roman" w:cs="Times New Roman"/>
          <w:sz w:val="24"/>
          <w:szCs w:val="24"/>
        </w:rPr>
        <w:t xml:space="preserve"> </w:t>
      </w:r>
      <w:r w:rsidRPr="000B521F">
        <w:rPr>
          <w:rFonts w:ascii="Times New Roman" w:hAnsi="Times New Roman" w:cs="Times New Roman"/>
          <w:sz w:val="24"/>
          <w:szCs w:val="24"/>
        </w:rPr>
        <w:t xml:space="preserve">technologies“ </w:t>
      </w:r>
      <w:r w:rsidR="0019742F">
        <w:rPr>
          <w:rFonts w:ascii="Times New Roman" w:hAnsi="Times New Roman" w:cs="Times New Roman"/>
          <w:color w:val="000000"/>
          <w:sz w:val="24"/>
          <w:szCs w:val="24"/>
        </w:rPr>
        <w:t>–</w:t>
      </w:r>
      <w:r w:rsidRPr="000B521F">
        <w:rPr>
          <w:rFonts w:ascii="Times New Roman" w:hAnsi="Times New Roman" w:cs="Times New Roman"/>
          <w:sz w:val="24"/>
          <w:szCs w:val="24"/>
        </w:rPr>
        <w:t xml:space="preserve"> v ČR se jedná zejména o oblast ICT a nanotechnologií. </w:t>
      </w:r>
    </w:p>
    <w:p w:rsidR="00764BAE" w:rsidRPr="000B521F" w:rsidRDefault="00764BAE" w:rsidP="0059011D">
      <w:pPr>
        <w:spacing w:after="120" w:line="240" w:lineRule="auto"/>
        <w:jc w:val="both"/>
        <w:rPr>
          <w:rFonts w:ascii="Times New Roman" w:hAnsi="Times New Roman" w:cs="Times New Roman"/>
          <w:b/>
          <w:sz w:val="24"/>
          <w:szCs w:val="24"/>
        </w:rPr>
      </w:pPr>
    </w:p>
    <w:p w:rsidR="007032DF" w:rsidRPr="000B521F" w:rsidRDefault="007032DF" w:rsidP="0059011D">
      <w:pPr>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Územní rozdíly</w:t>
      </w:r>
    </w:p>
    <w:p w:rsidR="007032DF" w:rsidRPr="000B521F" w:rsidRDefault="007032DF"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Ačkoliv v případě ČR lze identifikovat zřetelnou územní diferenciaci faktorů VaVaI, je nutno poznamenat, že z pohledu celkové efektivity inovačního systému hrají mnohem důležitější roli systémové faktory. Zásadním aspektem územní dimenze je koncentrace kapacit na území hl. m. Prahy a v jejím nejbližším okolí (tj. Středočeský kraj). Jedná se zejména o kapacity veřejného výzkumu (v Praze sídlící vzdělávací a výzkumné instituce), ale i kapacity podnikové (v Praze mají sídlo některé nadnárodní podniky realizující výzkum a vývoj v ČR). Z pohledu regionálních dopadů výzkumu, vývoje a inovací tak mnoho institucí sídlících v hl. m. Praze významně ovlivňuje zbývající části ČR. V oblasti vysokých škol tento dopad mimo území hl. m. Prahy činí kolem 68%.</w:t>
      </w:r>
      <w:r w:rsidRPr="000B521F">
        <w:rPr>
          <w:rStyle w:val="Znakapoznpodarou"/>
          <w:rFonts w:ascii="Times New Roman" w:hAnsi="Times New Roman" w:cs="Times New Roman"/>
          <w:sz w:val="24"/>
          <w:szCs w:val="24"/>
        </w:rPr>
        <w:footnoteReference w:id="40"/>
      </w:r>
      <w:r w:rsidRPr="000B521F">
        <w:rPr>
          <w:rFonts w:ascii="Times New Roman" w:hAnsi="Times New Roman" w:cs="Times New Roman"/>
          <w:sz w:val="24"/>
          <w:szCs w:val="24"/>
        </w:rPr>
        <w:t xml:space="preserve"> Z pohledu výdajů na VaV je nejvíce finančních prostředků vynakládáno v Praze, dále s odstupem ve Středočeském kraji a Jihomoravském </w:t>
      </w:r>
      <w:r w:rsidRPr="000B521F">
        <w:rPr>
          <w:rFonts w:ascii="Times New Roman" w:hAnsi="Times New Roman" w:cs="Times New Roman"/>
          <w:sz w:val="24"/>
          <w:szCs w:val="24"/>
        </w:rPr>
        <w:lastRenderedPageBreak/>
        <w:t>kraji. Nejméně se na výzkum a vývoj vydá v kraji Karlovarském a v kraji Vysočina, což souvisí s koncentrací veřejných a soukromých kapacit v hlavních (metropolitních) regionech ČR. Z územního pohledu se v oblasti VaV projevují dva základní trendy obdobné jako v západní Evropě:</w:t>
      </w:r>
    </w:p>
    <w:p w:rsidR="008206A4" w:rsidRPr="000B521F" w:rsidRDefault="007032DF" w:rsidP="0059011D">
      <w:pPr>
        <w:pStyle w:val="Odstavecseseznamem"/>
        <w:numPr>
          <w:ilvl w:val="0"/>
          <w:numId w:val="74"/>
        </w:numPr>
        <w:autoSpaceDE w:val="0"/>
        <w:autoSpaceDN w:val="0"/>
        <w:adjustRightInd w:val="0"/>
        <w:spacing w:after="120" w:line="240" w:lineRule="auto"/>
        <w:ind w:left="284" w:hanging="284"/>
        <w:jc w:val="both"/>
        <w:rPr>
          <w:rFonts w:ascii="Times New Roman" w:hAnsi="Times New Roman" w:cs="Times New Roman"/>
          <w:sz w:val="24"/>
          <w:szCs w:val="24"/>
        </w:rPr>
      </w:pPr>
      <w:r w:rsidRPr="000B521F">
        <w:rPr>
          <w:rFonts w:ascii="Times New Roman" w:hAnsi="Times New Roman" w:cs="Times New Roman"/>
          <w:sz w:val="24"/>
          <w:szCs w:val="24"/>
        </w:rPr>
        <w:t>Vysoká koncentrace VaV do metropolitních regionů (Praha, Brno) a do silně  průmyslových regionů (Plzeňský kraj, Pardubický kraj a Moravskoslezský kraj).</w:t>
      </w:r>
    </w:p>
    <w:p w:rsidR="008206A4" w:rsidRPr="000B521F" w:rsidRDefault="007032DF" w:rsidP="0059011D">
      <w:pPr>
        <w:pStyle w:val="Odstavecseseznamem"/>
        <w:numPr>
          <w:ilvl w:val="0"/>
          <w:numId w:val="74"/>
        </w:numPr>
        <w:autoSpaceDE w:val="0"/>
        <w:autoSpaceDN w:val="0"/>
        <w:adjustRightInd w:val="0"/>
        <w:spacing w:after="120" w:line="240" w:lineRule="auto"/>
        <w:ind w:left="284" w:hanging="284"/>
        <w:jc w:val="both"/>
        <w:rPr>
          <w:rFonts w:ascii="Times New Roman" w:hAnsi="Times New Roman" w:cs="Times New Roman"/>
          <w:sz w:val="24"/>
          <w:szCs w:val="24"/>
        </w:rPr>
      </w:pPr>
      <w:r w:rsidRPr="000B521F">
        <w:rPr>
          <w:rFonts w:ascii="Times New Roman" w:hAnsi="Times New Roman" w:cs="Times New Roman"/>
          <w:sz w:val="24"/>
          <w:szCs w:val="24"/>
        </w:rPr>
        <w:t>Rozvoj VaV v širším zázemí metropolí (především Středočeský a Jihomoravský kraj).</w:t>
      </w:r>
    </w:p>
    <w:p w:rsidR="007032DF" w:rsidRPr="000B521F" w:rsidRDefault="007032DF"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Koncept tzv. „inteligentní specializace“ (S3) je základní strategií pro  koncentraci zdrojů ve sféře VaVaI do rozvoje aktivit s největším potenciálem pro posílení konkurenční výhody na úrovni ČR i v jednotlivých regionech ČR. Současný stav v aplikaci tohoto konceptu do praxe se v jednotlivých krajích velmi liší. Některé regiony disponují a realizují plnohodnotnou regionální S3 (RIS3) v souladu s evropským pojetím, zatímco ve většině regionů se regionální inovační systém teprve formuje a tomu odpovídá i současný stav přípravy krajských inovačních strategií.</w:t>
      </w:r>
      <w:r w:rsidR="009008E5" w:rsidRPr="000B521F">
        <w:rPr>
          <w:rStyle w:val="Znakapoznpodarou"/>
          <w:rFonts w:ascii="Times New Roman" w:hAnsi="Times New Roman" w:cs="Times New Roman"/>
          <w:sz w:val="24"/>
          <w:szCs w:val="24"/>
        </w:rPr>
        <w:footnoteReference w:id="41"/>
      </w:r>
      <w:r w:rsidRPr="000B521F">
        <w:rPr>
          <w:rFonts w:ascii="Times New Roman" w:hAnsi="Times New Roman" w:cs="Times New Roman"/>
          <w:sz w:val="24"/>
          <w:szCs w:val="24"/>
        </w:rPr>
        <w:t xml:space="preserve"> </w:t>
      </w:r>
    </w:p>
    <w:p w:rsidR="00764BAE" w:rsidRPr="000B521F" w:rsidRDefault="00764BAE" w:rsidP="0059011D">
      <w:pPr>
        <w:spacing w:after="120" w:line="240" w:lineRule="auto"/>
        <w:rPr>
          <w:rFonts w:ascii="Times New Roman" w:hAnsi="Times New Roman" w:cs="Times New Roman"/>
          <w:b/>
          <w:sz w:val="24"/>
          <w:szCs w:val="24"/>
        </w:rPr>
      </w:pPr>
    </w:p>
    <w:p w:rsidR="007032DF" w:rsidRPr="000B521F" w:rsidRDefault="007032DF" w:rsidP="0059011D">
      <w:pPr>
        <w:spacing w:after="120" w:line="240" w:lineRule="auto"/>
        <w:rPr>
          <w:rFonts w:ascii="Times New Roman" w:hAnsi="Times New Roman" w:cs="Times New Roman"/>
          <w:b/>
          <w:sz w:val="24"/>
          <w:szCs w:val="24"/>
        </w:rPr>
      </w:pPr>
      <w:r w:rsidRPr="000B521F">
        <w:rPr>
          <w:rFonts w:ascii="Times New Roman" w:hAnsi="Times New Roman" w:cs="Times New Roman"/>
          <w:b/>
          <w:sz w:val="24"/>
          <w:szCs w:val="24"/>
        </w:rPr>
        <w:t>Zkušen</w:t>
      </w:r>
      <w:r w:rsidR="0019742F">
        <w:rPr>
          <w:rFonts w:ascii="Times New Roman" w:hAnsi="Times New Roman" w:cs="Times New Roman"/>
          <w:b/>
          <w:sz w:val="24"/>
          <w:szCs w:val="24"/>
        </w:rPr>
        <w:t>osti z programového období 2007</w:t>
      </w:r>
      <w:r w:rsidRPr="000B521F">
        <w:rPr>
          <w:rFonts w:ascii="Times New Roman" w:hAnsi="Times New Roman" w:cs="Times New Roman"/>
          <w:b/>
          <w:sz w:val="24"/>
          <w:szCs w:val="24"/>
        </w:rPr>
        <w:t>–2013 a stav dosažení současných cílů</w:t>
      </w:r>
    </w:p>
    <w:p w:rsidR="007032DF" w:rsidRPr="000B521F" w:rsidRDefault="007032DF" w:rsidP="0059011D">
      <w:pPr>
        <w:pStyle w:val="Normln1"/>
        <w:spacing w:after="0" w:line="240" w:lineRule="auto"/>
        <w:jc w:val="both"/>
        <w:rPr>
          <w:rFonts w:ascii="Times New Roman" w:hAnsi="Times New Roman" w:cs="Times New Roman"/>
          <w:sz w:val="24"/>
        </w:rPr>
      </w:pPr>
      <w:r w:rsidRPr="000B521F">
        <w:rPr>
          <w:rFonts w:ascii="Times New Roman" w:hAnsi="Times New Roman" w:cs="Times New Roman"/>
          <w:sz w:val="24"/>
        </w:rPr>
        <w:t xml:space="preserve">Podpora v oblasti výzkumného a inovačního systému v současném programovém období směřovala především do rozvoje VaV pro posílení inovací v jednotlivých regionech a vytvoření podmínek pro úzkou spolupráci mezi výzkumnými a vzdělávacími středisky a podnikatelskou sférou prostřednictvím vytvoření inovačních sítí, inovačních center a center transferu technologií. Předmětem stěžejního objemu prostředků je vybudování </w:t>
      </w:r>
      <w:r w:rsidRPr="000B521F">
        <w:rPr>
          <w:rFonts w:ascii="Times New Roman" w:hAnsi="Times New Roman" w:cs="Times New Roman"/>
          <w:b/>
          <w:sz w:val="24"/>
        </w:rPr>
        <w:t>8 center excelence</w:t>
      </w:r>
      <w:r w:rsidRPr="000B521F">
        <w:rPr>
          <w:rFonts w:ascii="Times New Roman" w:hAnsi="Times New Roman" w:cs="Times New Roman"/>
          <w:sz w:val="24"/>
        </w:rPr>
        <w:t xml:space="preserve"> (v celkové částce 20,2 mld. Kč) a </w:t>
      </w:r>
      <w:r w:rsidRPr="000B521F">
        <w:rPr>
          <w:rFonts w:ascii="Times New Roman" w:hAnsi="Times New Roman" w:cs="Times New Roman"/>
          <w:b/>
          <w:sz w:val="24"/>
        </w:rPr>
        <w:t>40 regionálních VaV center</w:t>
      </w:r>
      <w:r w:rsidRPr="000B521F">
        <w:rPr>
          <w:rFonts w:ascii="Times New Roman" w:hAnsi="Times New Roman" w:cs="Times New Roman"/>
          <w:sz w:val="24"/>
        </w:rPr>
        <w:t xml:space="preserve"> (v celkové částce 20,5 mld. Kč). Postupnou realizací podpořených center a dosažením cílových hodnot indikátorů tak dojde k výrazné modernizaci výzkumné infrastruktury v ČR. I přes tento fakt zde chybí systematické propojení univerzit a akademických ústavů s podniky. Do budoucna je proto klíčové </w:t>
      </w:r>
      <w:r w:rsidRPr="000B521F">
        <w:rPr>
          <w:rFonts w:ascii="Times New Roman" w:hAnsi="Times New Roman" w:cs="Times New Roman"/>
          <w:b/>
          <w:sz w:val="24"/>
        </w:rPr>
        <w:t>maximálně využít vybudovanou výzkumnou infrastrukturu a VaV centra</w:t>
      </w:r>
      <w:r w:rsidRPr="000B521F">
        <w:rPr>
          <w:rFonts w:ascii="Times New Roman" w:hAnsi="Times New Roman" w:cs="Times New Roman"/>
          <w:sz w:val="24"/>
        </w:rPr>
        <w:t xml:space="preserve"> a koncentrovat další podporu na zvýšení kvality a relevance prováděného výzkumu, zvýšení provázanosti mezi výukou, výzkumem a praxí a efektivní využití kapacit.</w:t>
      </w:r>
    </w:p>
    <w:p w:rsidR="007032DF" w:rsidRPr="000B521F" w:rsidRDefault="007032DF" w:rsidP="0059011D">
      <w:pPr>
        <w:pStyle w:val="Normln1"/>
        <w:spacing w:after="0" w:line="240" w:lineRule="auto"/>
        <w:jc w:val="both"/>
        <w:rPr>
          <w:rFonts w:ascii="Times New Roman" w:hAnsi="Times New Roman" w:cs="Times New Roman"/>
          <w:sz w:val="24"/>
        </w:rPr>
      </w:pPr>
      <w:r w:rsidRPr="000B521F">
        <w:rPr>
          <w:rFonts w:ascii="Times New Roman" w:hAnsi="Times New Roman" w:cs="Times New Roman"/>
          <w:sz w:val="24"/>
        </w:rPr>
        <w:t xml:space="preserve">S cílem vytvořit podmínky pro propojení výzkumu s výukou je v současném programovém období též v realizaci 40 projektů </w:t>
      </w:r>
      <w:r w:rsidRPr="000B521F">
        <w:rPr>
          <w:rFonts w:ascii="Times New Roman" w:hAnsi="Times New Roman" w:cs="Times New Roman"/>
          <w:b/>
          <w:sz w:val="24"/>
        </w:rPr>
        <w:t>rozvoje infrastruktury na vysokých školách spojené s výzkumem</w:t>
      </w:r>
      <w:r w:rsidRPr="000B521F">
        <w:rPr>
          <w:rFonts w:ascii="Times New Roman" w:hAnsi="Times New Roman" w:cs="Times New Roman"/>
          <w:sz w:val="24"/>
        </w:rPr>
        <w:t>. V následujícím období bude klíčové efektivní propojení výuky s aplikační sférou a zapojení studentů magisterských a doktorských programů a výzkumných týmů vysokých škol do mezinárodní spolupráce.</w:t>
      </w:r>
    </w:p>
    <w:p w:rsidR="007032DF" w:rsidRPr="000B521F" w:rsidRDefault="007032DF" w:rsidP="0059011D">
      <w:pPr>
        <w:pStyle w:val="Normln1"/>
        <w:spacing w:after="0" w:line="240" w:lineRule="auto"/>
        <w:jc w:val="both"/>
        <w:rPr>
          <w:rFonts w:ascii="Times New Roman" w:hAnsi="Times New Roman" w:cs="Times New Roman"/>
          <w:sz w:val="24"/>
        </w:rPr>
      </w:pPr>
      <w:r w:rsidRPr="000B521F">
        <w:rPr>
          <w:rFonts w:ascii="Times New Roman" w:hAnsi="Times New Roman" w:cs="Times New Roman"/>
          <w:sz w:val="24"/>
        </w:rPr>
        <w:t>Další významnou infrastrukturou pro zvýšení relevance výzkumu pro společnost a pro popularizaci VaV podpořenou v období 2007</w:t>
      </w:r>
      <w:r w:rsidR="00264AE0">
        <w:rPr>
          <w:rFonts w:ascii="Times New Roman" w:hAnsi="Times New Roman" w:cs="Times New Roman"/>
          <w:sz w:val="24"/>
        </w:rPr>
        <w:t>–</w:t>
      </w:r>
      <w:r w:rsidRPr="000B521F">
        <w:rPr>
          <w:rFonts w:ascii="Times New Roman" w:hAnsi="Times New Roman" w:cs="Times New Roman"/>
          <w:sz w:val="24"/>
        </w:rPr>
        <w:t xml:space="preserve">2013 byl vznik </w:t>
      </w:r>
      <w:r w:rsidRPr="000B521F">
        <w:rPr>
          <w:rFonts w:ascii="Times New Roman" w:hAnsi="Times New Roman" w:cs="Times New Roman"/>
          <w:b/>
          <w:sz w:val="24"/>
        </w:rPr>
        <w:t>center pro transfer technologií, technologických/vědecko-technologických parků, inkubátorů a v oblasti popularizace čtyř „science learning“ center a pěti návštěvnických center</w:t>
      </w:r>
      <w:r w:rsidRPr="000B521F">
        <w:rPr>
          <w:rFonts w:ascii="Times New Roman" w:hAnsi="Times New Roman" w:cs="Times New Roman"/>
          <w:sz w:val="24"/>
        </w:rPr>
        <w:t xml:space="preserve">. Zejména centra transferu technologií, vědecko-technologické parky a inkubátory hrají důležitou roli v kontaktech veřejných výzkumných institucí s aplikační sférou a komercializací výsledků, zatím si však teprve vydobývají pozici ve své instituci a v inovačním systému. V dalším období bude důležité zejména posilování kvality jejich služeb. </w:t>
      </w:r>
    </w:p>
    <w:p w:rsidR="007032DF" w:rsidRPr="000B521F" w:rsidRDefault="007032DF" w:rsidP="0059011D">
      <w:pPr>
        <w:pStyle w:val="Normln1"/>
        <w:spacing w:after="0" w:line="240" w:lineRule="auto"/>
        <w:jc w:val="both"/>
        <w:rPr>
          <w:rFonts w:ascii="Times New Roman" w:hAnsi="Times New Roman" w:cs="Times New Roman"/>
          <w:sz w:val="24"/>
        </w:rPr>
      </w:pPr>
      <w:r w:rsidRPr="000B521F">
        <w:rPr>
          <w:rFonts w:ascii="Times New Roman" w:hAnsi="Times New Roman" w:cs="Times New Roman"/>
          <w:sz w:val="24"/>
        </w:rPr>
        <w:lastRenderedPageBreak/>
        <w:t xml:space="preserve">V rámci </w:t>
      </w:r>
      <w:r w:rsidRPr="000B521F">
        <w:rPr>
          <w:rFonts w:ascii="Times New Roman" w:hAnsi="Times New Roman" w:cs="Times New Roman"/>
          <w:b/>
          <w:sz w:val="24"/>
        </w:rPr>
        <w:t>podpory podnikových výzkumných kapacit</w:t>
      </w:r>
      <w:r w:rsidRPr="000B521F">
        <w:rPr>
          <w:rFonts w:ascii="Times New Roman" w:hAnsi="Times New Roman" w:cs="Times New Roman"/>
          <w:sz w:val="24"/>
        </w:rPr>
        <w:t xml:space="preserve"> došlo k posunu zejména technologického vybavení podniků pro výzkum a vývoj a určitého zvýšení povědomí v oblasti IPR. Stejně jako u investiční podpory výzkumných organizací tak i u investiční podpory podnikových výzkumně-vývojových aktivit byla spolupráce veřejného a soukromého sektoru a transfer znalostí a technologií jedním z  hodnocených a podporovaných aspektů. Vzhledem k</w:t>
      </w:r>
      <w:r w:rsidR="00861380" w:rsidRPr="000B521F">
        <w:rPr>
          <w:rFonts w:ascii="Times New Roman" w:hAnsi="Times New Roman" w:cs="Times New Roman"/>
          <w:sz w:val="24"/>
        </w:rPr>
        <w:t> </w:t>
      </w:r>
      <w:r w:rsidRPr="000B521F">
        <w:rPr>
          <w:rFonts w:ascii="Times New Roman" w:hAnsi="Times New Roman" w:cs="Times New Roman"/>
          <w:sz w:val="24"/>
        </w:rPr>
        <w:t>ne</w:t>
      </w:r>
      <w:r w:rsidR="00861380" w:rsidRPr="000B521F">
        <w:rPr>
          <w:rFonts w:ascii="Times New Roman" w:hAnsi="Times New Roman" w:cs="Times New Roman"/>
          <w:sz w:val="24"/>
        </w:rPr>
        <w:t xml:space="preserve">dostatečnému zlepšení v této situaci </w:t>
      </w:r>
      <w:r w:rsidRPr="000B521F">
        <w:rPr>
          <w:rFonts w:ascii="Times New Roman" w:hAnsi="Times New Roman" w:cs="Times New Roman"/>
          <w:sz w:val="24"/>
        </w:rPr>
        <w:t>bude nutná</w:t>
      </w:r>
      <w:r w:rsidR="00861380" w:rsidRPr="000B521F">
        <w:rPr>
          <w:rFonts w:ascii="Times New Roman" w:hAnsi="Times New Roman" w:cs="Times New Roman"/>
          <w:sz w:val="24"/>
        </w:rPr>
        <w:t xml:space="preserve"> její další podpora. Ta bude navazovat na dosažené výsledky, počítá se však se změnou</w:t>
      </w:r>
      <w:r w:rsidRPr="000B521F">
        <w:rPr>
          <w:rFonts w:ascii="Times New Roman" w:hAnsi="Times New Roman" w:cs="Times New Roman"/>
          <w:sz w:val="24"/>
        </w:rPr>
        <w:t xml:space="preserve"> přístupu a intervencí v dalším období</w:t>
      </w:r>
      <w:r w:rsidR="00861380" w:rsidRPr="000B521F">
        <w:rPr>
          <w:rFonts w:ascii="Times New Roman" w:hAnsi="Times New Roman" w:cs="Times New Roman"/>
          <w:sz w:val="24"/>
        </w:rPr>
        <w:t xml:space="preserve"> na úrovni řídících orgánů</w:t>
      </w:r>
      <w:r w:rsidRPr="000B521F">
        <w:rPr>
          <w:rFonts w:ascii="Times New Roman" w:hAnsi="Times New Roman" w:cs="Times New Roman"/>
          <w:sz w:val="24"/>
        </w:rPr>
        <w:t>.</w:t>
      </w:r>
    </w:p>
    <w:p w:rsidR="007032DF" w:rsidRPr="000B521F" w:rsidRDefault="007032DF"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Inovace v oblasti zemědělství, rybářství, potravinářství a lesního hospodářství byly v </w:t>
      </w:r>
      <w:r w:rsidRPr="000B521F">
        <w:rPr>
          <w:rFonts w:ascii="Times New Roman" w:hAnsi="Times New Roman" w:cs="Times New Roman"/>
          <w:color w:val="000000"/>
          <w:sz w:val="24"/>
          <w:szCs w:val="24"/>
          <w:lang w:eastAsia="ja-JP"/>
        </w:rPr>
        <w:t>předchozích</w:t>
      </w:r>
      <w:r w:rsidRPr="000B521F">
        <w:rPr>
          <w:rFonts w:ascii="Times New Roman" w:hAnsi="Times New Roman" w:cs="Times New Roman"/>
          <w:sz w:val="24"/>
          <w:szCs w:val="24"/>
        </w:rPr>
        <w:t xml:space="preserve"> programových obdobích podporovány jen okrajově. Existuje zde velký potenciál pro rozvoj zejména v oblasti spolupráce mezi výzkumem a praxí. </w:t>
      </w:r>
    </w:p>
    <w:p w:rsidR="00764BAE" w:rsidRPr="000B521F" w:rsidRDefault="00764BAE" w:rsidP="0059011D">
      <w:pPr>
        <w:spacing w:after="120" w:line="240" w:lineRule="auto"/>
        <w:rPr>
          <w:rFonts w:ascii="Times New Roman" w:hAnsi="Times New Roman" w:cs="Times New Roman"/>
          <w:b/>
          <w:sz w:val="24"/>
          <w:szCs w:val="24"/>
        </w:rPr>
      </w:pPr>
    </w:p>
    <w:p w:rsidR="007032DF" w:rsidRPr="000B521F" w:rsidRDefault="007032DF" w:rsidP="0059011D">
      <w:pPr>
        <w:spacing w:after="120" w:line="240" w:lineRule="auto"/>
        <w:rPr>
          <w:rFonts w:ascii="Times New Roman" w:hAnsi="Times New Roman" w:cs="Times New Roman"/>
          <w:sz w:val="24"/>
          <w:szCs w:val="24"/>
        </w:rPr>
      </w:pPr>
      <w:r w:rsidRPr="000B521F">
        <w:rPr>
          <w:rFonts w:ascii="Times New Roman" w:hAnsi="Times New Roman" w:cs="Times New Roman"/>
          <w:b/>
          <w:sz w:val="24"/>
          <w:szCs w:val="24"/>
        </w:rPr>
        <w:t>Hlavní identifikované problémy a potřeby rozvoje</w:t>
      </w:r>
    </w:p>
    <w:p w:rsidR="007032DF" w:rsidRPr="000B521F" w:rsidRDefault="007032DF"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Na základě analýzy, ve vazbě na Poziční dokument EK a v souladu s národními strategickými dokumenty byly definovány hlavní problémy a stanoveny jim odpovídající hlavní potřeby rozvoje v této oblasti. Zatímco v období 2007</w:t>
      </w:r>
      <w:r w:rsidR="00264AE0">
        <w:rPr>
          <w:rFonts w:ascii="Times New Roman" w:hAnsi="Times New Roman" w:cs="Times New Roman"/>
          <w:color w:val="000000"/>
          <w:sz w:val="24"/>
          <w:szCs w:val="24"/>
        </w:rPr>
        <w:t>–</w:t>
      </w:r>
      <w:r w:rsidRPr="000B521F">
        <w:rPr>
          <w:rFonts w:ascii="Times New Roman" w:hAnsi="Times New Roman" w:cs="Times New Roman"/>
          <w:sz w:val="24"/>
          <w:szCs w:val="24"/>
        </w:rPr>
        <w:t>2013 byla převážně budovaná nová výzkumná infrastruktura v podobě výzkumných center, v období 2014</w:t>
      </w:r>
      <w:r w:rsidR="00B14355">
        <w:rPr>
          <w:rFonts w:ascii="Times New Roman" w:hAnsi="Times New Roman" w:cs="Times New Roman"/>
          <w:sz w:val="24"/>
          <w:szCs w:val="24"/>
        </w:rPr>
        <w:t>–</w:t>
      </w:r>
      <w:r w:rsidRPr="000B521F">
        <w:rPr>
          <w:rFonts w:ascii="Times New Roman" w:hAnsi="Times New Roman" w:cs="Times New Roman"/>
          <w:sz w:val="24"/>
          <w:szCs w:val="24"/>
        </w:rPr>
        <w:t>2020 nebudou žádné nové výzkumné infrastruktury budovány (s výjimkou Prahy a výzkumně-technologické základny podniků v širším pojetí). Podpora bude zaměřena především na podporu rozvoje kvality výzkumných týmů při sledování principů koncentrace zdrojů, interdisciplinarity a internacionalizace a na relevantní modernizaci existujících výzkumných center. Dále bude kladen důraz na rozvoj výzkumných aktivit realizovaných ve spolupráci výzkumných organizací a podniků či aplikační sféry, jejichž výsledky budou uplatnitelné na trhu nebo při řešení společenských potřeb. Prioritou též bude kvalitní výzkumně-technologická základna českého průmyslu. Stěžejní pozornost bude věnována zmírnění následujících hlavních problémů a naplnění souvisejících rozvojových potřeb výzkumného systému:</w:t>
      </w:r>
    </w:p>
    <w:p w:rsidR="007032DF" w:rsidRPr="000B521F" w:rsidRDefault="007032DF" w:rsidP="0059011D">
      <w:pPr>
        <w:pStyle w:val="Normln1"/>
        <w:spacing w:after="120" w:line="240" w:lineRule="auto"/>
        <w:jc w:val="both"/>
        <w:rPr>
          <w:rFonts w:ascii="Times New Roman" w:hAnsi="Times New Roman" w:cs="Times New Roman"/>
          <w:sz w:val="24"/>
          <w:highlight w:val="yellow"/>
        </w:rPr>
      </w:pPr>
    </w:p>
    <w:p w:rsidR="008206A4" w:rsidRPr="000B521F" w:rsidRDefault="0015622A" w:rsidP="0059011D">
      <w:pPr>
        <w:pStyle w:val="Odstavecseseznamem"/>
        <w:spacing w:after="120" w:line="240" w:lineRule="auto"/>
        <w:ind w:left="0"/>
        <w:rPr>
          <w:rFonts w:ascii="Times New Roman" w:hAnsi="Times New Roman" w:cs="Times New Roman"/>
          <w:b/>
          <w:i/>
          <w:sz w:val="24"/>
          <w:szCs w:val="24"/>
        </w:rPr>
      </w:pPr>
      <w:r w:rsidRPr="000B521F">
        <w:rPr>
          <w:rFonts w:ascii="Times New Roman" w:hAnsi="Times New Roman" w:cs="Times New Roman"/>
          <w:b/>
          <w:i/>
          <w:sz w:val="24"/>
          <w:szCs w:val="24"/>
        </w:rPr>
        <w:t xml:space="preserve">1. </w:t>
      </w:r>
      <w:r w:rsidR="007032DF" w:rsidRPr="000B521F">
        <w:rPr>
          <w:rFonts w:ascii="Times New Roman" w:hAnsi="Times New Roman" w:cs="Times New Roman"/>
          <w:b/>
          <w:i/>
          <w:sz w:val="24"/>
          <w:szCs w:val="24"/>
        </w:rPr>
        <w:t>Nedostatečná kvalita a mezinárodní otevřenost výzkumu</w:t>
      </w:r>
    </w:p>
    <w:p w:rsidR="007032DF" w:rsidRPr="000B521F" w:rsidRDefault="007032DF"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Český výzkum je charakterizován malým počtem mezinárodně úspěšných výzkumných týmů schopných produkovat zásadně nové poznatky s potenciálem pro vznik zásadních inovací a malým zaměřením podnikových výzkumně-vývojových aktivit v technologicky náročných oblastech. To se odráží v relativně nízké účasti českých výzkumných týmů v mezinárodních výzkumných projektech, v omezeném počtu výsledků VaV uplatnitelných v praktických aplikacích a nízkým počtem výsledků výzkumu aplikovaných v medium- a high-tech oborech. Omezený počet vysoce kvalitních výzkumných týmů v ČR a vedoucích pracovníků se zkušeností ze zahraničí anebo z praxe má vliv na omezenou atraktivitu českých VaV institucí pro špičkové domácí i zahraniční výzkumné pracovníky, pro talentované začínající výzkumníky a high-tech firmy, čímž se posiluje uzavřenost českého výzkumu a související bariéry pro zvýšení kvality výzkumu na mezinárodně srovnatelnou úroveň včetně uplatnění výsledků výzkumu v průlomových inovacích.</w:t>
      </w:r>
    </w:p>
    <w:p w:rsidR="007032DF" w:rsidRPr="000B521F" w:rsidRDefault="007032DF" w:rsidP="0059011D">
      <w:pPr>
        <w:spacing w:after="120" w:line="240" w:lineRule="auto"/>
        <w:jc w:val="both"/>
        <w:rPr>
          <w:rFonts w:ascii="Times New Roman" w:hAnsi="Times New Roman" w:cs="Times New Roman"/>
          <w:i/>
          <w:sz w:val="24"/>
          <w:szCs w:val="24"/>
        </w:rPr>
      </w:pPr>
      <w:r w:rsidRPr="000B521F">
        <w:rPr>
          <w:rFonts w:ascii="Times New Roman" w:hAnsi="Times New Roman" w:cs="Times New Roman"/>
          <w:i/>
          <w:sz w:val="24"/>
          <w:szCs w:val="24"/>
        </w:rPr>
        <w:t>Potřeby rozvoje:</w:t>
      </w:r>
    </w:p>
    <w:p w:rsidR="008206A4" w:rsidRPr="000B521F" w:rsidRDefault="007032DF" w:rsidP="0059011D">
      <w:pPr>
        <w:pStyle w:val="Odstavecseseznamem"/>
        <w:numPr>
          <w:ilvl w:val="0"/>
          <w:numId w:val="76"/>
        </w:numPr>
        <w:spacing w:after="120" w:line="240" w:lineRule="auto"/>
        <w:ind w:left="284" w:hanging="284"/>
        <w:jc w:val="both"/>
        <w:rPr>
          <w:rFonts w:ascii="Times New Roman" w:hAnsi="Times New Roman" w:cs="Times New Roman"/>
          <w:sz w:val="24"/>
          <w:szCs w:val="24"/>
        </w:rPr>
      </w:pPr>
      <w:r w:rsidRPr="000B521F">
        <w:rPr>
          <w:rFonts w:ascii="Times New Roman" w:hAnsi="Times New Roman" w:cs="Times New Roman"/>
          <w:sz w:val="24"/>
          <w:szCs w:val="24"/>
        </w:rPr>
        <w:t xml:space="preserve">Personální a finanční zdroje nasměrovat do rozvoje kvalitního výzkumu na mezinárodně konkurenceschopné úrovni, který </w:t>
      </w:r>
      <w:r w:rsidRPr="000B521F">
        <w:rPr>
          <w:rFonts w:ascii="Times New Roman" w:hAnsi="Times New Roman" w:cs="Times New Roman"/>
          <w:color w:val="000000"/>
          <w:sz w:val="24"/>
          <w:szCs w:val="24"/>
          <w:lang w:eastAsia="ja-JP"/>
        </w:rPr>
        <w:t>bude</w:t>
      </w:r>
      <w:r w:rsidRPr="000B521F">
        <w:rPr>
          <w:rFonts w:ascii="Times New Roman" w:hAnsi="Times New Roman" w:cs="Times New Roman"/>
          <w:sz w:val="24"/>
          <w:szCs w:val="24"/>
        </w:rPr>
        <w:t xml:space="preserve"> s využitím moderní výzkumné infrastruktury produkovat špičkové výsledky jak z hlediska originality výzkumu, tak i pro využití v inovacích.</w:t>
      </w:r>
    </w:p>
    <w:p w:rsidR="008206A4" w:rsidRPr="000B521F" w:rsidRDefault="007032DF" w:rsidP="0059011D">
      <w:pPr>
        <w:pStyle w:val="Odstavecseseznamem"/>
        <w:numPr>
          <w:ilvl w:val="0"/>
          <w:numId w:val="76"/>
        </w:numPr>
        <w:spacing w:after="120" w:line="240" w:lineRule="auto"/>
        <w:ind w:left="284" w:hanging="284"/>
        <w:jc w:val="both"/>
        <w:rPr>
          <w:rFonts w:ascii="Times New Roman" w:hAnsi="Times New Roman" w:cs="Times New Roman"/>
          <w:color w:val="000000"/>
          <w:sz w:val="24"/>
          <w:szCs w:val="24"/>
          <w:lang w:eastAsia="ja-JP"/>
        </w:rPr>
      </w:pPr>
      <w:r w:rsidRPr="000B521F">
        <w:rPr>
          <w:rFonts w:ascii="Times New Roman" w:hAnsi="Times New Roman" w:cs="Times New Roman"/>
          <w:color w:val="000000"/>
          <w:sz w:val="24"/>
          <w:szCs w:val="24"/>
          <w:lang w:eastAsia="ja-JP"/>
        </w:rPr>
        <w:t xml:space="preserve">Podpora zvýšení efektivity začleňování ČR do Evropského výzkumného prostoru. Výzkumné instituce i podniky tak budou vystavovány evropské konkurenci, a tím se </w:t>
      </w:r>
      <w:r w:rsidRPr="000B521F">
        <w:rPr>
          <w:rFonts w:ascii="Times New Roman" w:hAnsi="Times New Roman" w:cs="Times New Roman"/>
          <w:color w:val="000000"/>
          <w:sz w:val="24"/>
          <w:szCs w:val="24"/>
          <w:lang w:eastAsia="ja-JP"/>
        </w:rPr>
        <w:lastRenderedPageBreak/>
        <w:t>zvyšuje excelence výsledků využitelných v národním prostředí, je podporována mobilita výzkumných pracovníků i příchod vysoce kvalifikovaných odborníků. D</w:t>
      </w:r>
      <w:r w:rsidRPr="000B521F">
        <w:rPr>
          <w:rFonts w:ascii="Times New Roman" w:hAnsi="Times New Roman" w:cs="Times New Roman"/>
          <w:sz w:val="24"/>
          <w:szCs w:val="24"/>
        </w:rPr>
        <w:t xml:space="preserve">ůraz na synergie a komplementarity zejména s programem Horizon 2020 a dalšími programy na celoevropské i národní úrovni. </w:t>
      </w:r>
    </w:p>
    <w:p w:rsidR="008206A4" w:rsidRPr="000B521F" w:rsidRDefault="007032DF" w:rsidP="0059011D">
      <w:pPr>
        <w:pStyle w:val="Odstavecseseznamem"/>
        <w:numPr>
          <w:ilvl w:val="0"/>
          <w:numId w:val="76"/>
        </w:numPr>
        <w:spacing w:after="120" w:line="240" w:lineRule="auto"/>
        <w:ind w:left="284" w:hanging="284"/>
        <w:jc w:val="both"/>
        <w:rPr>
          <w:rFonts w:ascii="Times New Roman" w:hAnsi="Times New Roman" w:cs="Times New Roman"/>
          <w:color w:val="000000"/>
          <w:sz w:val="24"/>
          <w:szCs w:val="24"/>
          <w:lang w:eastAsia="ja-JP"/>
        </w:rPr>
      </w:pPr>
      <w:r w:rsidRPr="000B521F">
        <w:rPr>
          <w:rFonts w:ascii="Times New Roman" w:hAnsi="Times New Roman" w:cs="Times New Roman"/>
          <w:sz w:val="24"/>
          <w:szCs w:val="24"/>
        </w:rPr>
        <w:t>Modernizace výzkumných kapacit v Praze, která je přirozeným výzkumným a vysokoškolským centrem ČR koncentrujícím klíčové výzkumné organizace zajišťující propojení ČR s Evropským výzkumným prostorem.</w:t>
      </w:r>
    </w:p>
    <w:p w:rsidR="006363EB" w:rsidRPr="000B521F" w:rsidRDefault="006363EB" w:rsidP="0059011D">
      <w:pPr>
        <w:pStyle w:val="Odstavecseseznamem"/>
        <w:spacing w:after="120" w:line="240" w:lineRule="auto"/>
        <w:ind w:left="0"/>
        <w:jc w:val="both"/>
        <w:rPr>
          <w:rFonts w:ascii="Times New Roman" w:hAnsi="Times New Roman" w:cs="Times New Roman"/>
          <w:color w:val="000000"/>
          <w:sz w:val="24"/>
          <w:szCs w:val="24"/>
          <w:lang w:eastAsia="ja-JP"/>
        </w:rPr>
      </w:pPr>
    </w:p>
    <w:p w:rsidR="007032DF" w:rsidRPr="000B521F" w:rsidRDefault="007032DF" w:rsidP="0059011D">
      <w:pPr>
        <w:pStyle w:val="Odstavecseseznamem"/>
        <w:spacing w:after="120" w:line="240" w:lineRule="auto"/>
        <w:ind w:left="425" w:hanging="425"/>
        <w:contextualSpacing w:val="0"/>
        <w:rPr>
          <w:rFonts w:ascii="Times New Roman" w:hAnsi="Times New Roman" w:cs="Times New Roman"/>
          <w:b/>
          <w:i/>
          <w:sz w:val="24"/>
          <w:szCs w:val="24"/>
        </w:rPr>
      </w:pPr>
      <w:r w:rsidRPr="000B521F">
        <w:rPr>
          <w:rFonts w:ascii="Times New Roman" w:hAnsi="Times New Roman" w:cs="Times New Roman"/>
          <w:b/>
          <w:i/>
          <w:sz w:val="24"/>
          <w:szCs w:val="24"/>
        </w:rPr>
        <w:t>2</w:t>
      </w:r>
      <w:r w:rsidR="0015622A" w:rsidRPr="000B521F">
        <w:rPr>
          <w:rFonts w:ascii="Times New Roman" w:hAnsi="Times New Roman" w:cs="Times New Roman"/>
          <w:b/>
          <w:i/>
          <w:sz w:val="24"/>
          <w:szCs w:val="24"/>
        </w:rPr>
        <w:t>.</w:t>
      </w:r>
      <w:r w:rsidRPr="000B521F">
        <w:rPr>
          <w:rFonts w:ascii="Times New Roman" w:hAnsi="Times New Roman" w:cs="Times New Roman"/>
          <w:b/>
          <w:i/>
          <w:sz w:val="24"/>
          <w:szCs w:val="24"/>
        </w:rPr>
        <w:t xml:space="preserve"> Slabá orientace výzkumu na přínosy pro společnost</w:t>
      </w:r>
    </w:p>
    <w:p w:rsidR="007032DF" w:rsidRPr="000B521F" w:rsidRDefault="007032DF"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Výzkumný systém v ČR je z hlediska finančních a personálních kapacit značně roztříštěný. Výzkumné týmy tak nedosahují kritické velikosti a potřebné mezioborovosti pro realizaci ambiciózních výzkumných témat reagujících na dlouhodobé potřeby společnosti. Problémem je také nedostatečná komunikace a vícestranná spolupráce veřejného, akademického a podnikového sektoru při generování a naplňování rozsáhlých výzkumných témat, reflektujících dlouhodobé společenské a ekonomické potřeby ČR či regionu.</w:t>
      </w:r>
    </w:p>
    <w:p w:rsidR="007032DF" w:rsidRPr="000B521F" w:rsidRDefault="007032DF" w:rsidP="0059011D">
      <w:pPr>
        <w:spacing w:after="120" w:line="240" w:lineRule="auto"/>
        <w:jc w:val="both"/>
        <w:rPr>
          <w:rFonts w:ascii="Times New Roman" w:hAnsi="Times New Roman" w:cs="Times New Roman"/>
          <w:i/>
          <w:sz w:val="24"/>
          <w:szCs w:val="24"/>
        </w:rPr>
      </w:pPr>
      <w:r w:rsidRPr="000B521F">
        <w:rPr>
          <w:rFonts w:ascii="Times New Roman" w:hAnsi="Times New Roman" w:cs="Times New Roman"/>
          <w:i/>
          <w:sz w:val="24"/>
          <w:szCs w:val="24"/>
        </w:rPr>
        <w:t>Potřeby rozvoje:</w:t>
      </w:r>
    </w:p>
    <w:p w:rsidR="008206A4" w:rsidRPr="000B521F" w:rsidRDefault="007032DF" w:rsidP="0059011D">
      <w:pPr>
        <w:pStyle w:val="Odstavecseseznamem"/>
        <w:numPr>
          <w:ilvl w:val="0"/>
          <w:numId w:val="77"/>
        </w:numPr>
        <w:autoSpaceDE w:val="0"/>
        <w:autoSpaceDN w:val="0"/>
        <w:adjustRightInd w:val="0"/>
        <w:spacing w:after="120" w:line="240" w:lineRule="auto"/>
        <w:ind w:left="284" w:hanging="284"/>
        <w:jc w:val="both"/>
        <w:rPr>
          <w:rFonts w:ascii="Times New Roman" w:hAnsi="Times New Roman" w:cs="Times New Roman"/>
          <w:sz w:val="24"/>
          <w:szCs w:val="24"/>
        </w:rPr>
      </w:pPr>
      <w:r w:rsidRPr="000B521F">
        <w:rPr>
          <w:rFonts w:ascii="Times New Roman" w:hAnsi="Times New Roman" w:cs="Times New Roman"/>
          <w:sz w:val="24"/>
          <w:szCs w:val="24"/>
        </w:rPr>
        <w:t xml:space="preserve">Posílit partnerství veřejného a soukromého sektoru na národní i regionální úrovni pro generování témat a realizaci interdisciplinárního výzkumu orientovaného na řešení socio-ekonomických potřeb včetně průlomových </w:t>
      </w:r>
      <w:r w:rsidR="00CE270E" w:rsidRPr="000B521F">
        <w:rPr>
          <w:rFonts w:ascii="Times New Roman" w:hAnsi="Times New Roman" w:cs="Times New Roman"/>
          <w:sz w:val="24"/>
          <w:szCs w:val="24"/>
        </w:rPr>
        <w:t xml:space="preserve">a klíčových </w:t>
      </w:r>
      <w:r w:rsidRPr="000B521F">
        <w:rPr>
          <w:rFonts w:ascii="Times New Roman" w:hAnsi="Times New Roman" w:cs="Times New Roman"/>
          <w:sz w:val="24"/>
          <w:szCs w:val="24"/>
        </w:rPr>
        <w:t>technologií.</w:t>
      </w:r>
    </w:p>
    <w:p w:rsidR="00404797" w:rsidRPr="000B521F" w:rsidRDefault="00404797" w:rsidP="0059011D">
      <w:pPr>
        <w:pStyle w:val="Odstavecseseznamem"/>
        <w:autoSpaceDE w:val="0"/>
        <w:autoSpaceDN w:val="0"/>
        <w:adjustRightInd w:val="0"/>
        <w:spacing w:after="120" w:line="240" w:lineRule="auto"/>
        <w:ind w:left="0"/>
        <w:jc w:val="both"/>
        <w:rPr>
          <w:rFonts w:ascii="Times New Roman" w:hAnsi="Times New Roman" w:cs="Times New Roman"/>
          <w:sz w:val="24"/>
          <w:szCs w:val="24"/>
        </w:rPr>
      </w:pPr>
    </w:p>
    <w:p w:rsidR="007032DF" w:rsidRPr="000B521F" w:rsidRDefault="007032DF" w:rsidP="0059011D">
      <w:pPr>
        <w:pStyle w:val="Odstavecseseznamem"/>
        <w:spacing w:after="120" w:line="240" w:lineRule="auto"/>
        <w:ind w:left="425" w:hanging="425"/>
        <w:contextualSpacing w:val="0"/>
        <w:rPr>
          <w:rFonts w:ascii="Times New Roman" w:hAnsi="Times New Roman" w:cs="Times New Roman"/>
          <w:b/>
          <w:i/>
          <w:sz w:val="24"/>
          <w:szCs w:val="24"/>
        </w:rPr>
      </w:pPr>
      <w:r w:rsidRPr="000B521F">
        <w:rPr>
          <w:rFonts w:ascii="Times New Roman" w:hAnsi="Times New Roman" w:cs="Times New Roman"/>
          <w:b/>
          <w:i/>
          <w:sz w:val="24"/>
          <w:szCs w:val="24"/>
        </w:rPr>
        <w:t>3</w:t>
      </w:r>
      <w:r w:rsidR="0015622A" w:rsidRPr="000B521F">
        <w:rPr>
          <w:rFonts w:ascii="Times New Roman" w:hAnsi="Times New Roman" w:cs="Times New Roman"/>
          <w:b/>
          <w:i/>
          <w:sz w:val="24"/>
          <w:szCs w:val="24"/>
        </w:rPr>
        <w:t>.</w:t>
      </w:r>
      <w:r w:rsidR="00782E70" w:rsidRPr="000B521F">
        <w:rPr>
          <w:rFonts w:ascii="Times New Roman" w:hAnsi="Times New Roman" w:cs="Times New Roman"/>
          <w:b/>
          <w:i/>
          <w:sz w:val="24"/>
          <w:szCs w:val="24"/>
        </w:rPr>
        <w:t xml:space="preserve"> </w:t>
      </w:r>
      <w:r w:rsidRPr="000B521F">
        <w:rPr>
          <w:rFonts w:ascii="Times New Roman" w:hAnsi="Times New Roman" w:cs="Times New Roman"/>
          <w:b/>
          <w:i/>
          <w:sz w:val="24"/>
          <w:szCs w:val="24"/>
        </w:rPr>
        <w:t>Nízká míra uplatnění výsledků VaV v inovacích</w:t>
      </w:r>
    </w:p>
    <w:p w:rsidR="007032DF" w:rsidRPr="000B521F" w:rsidRDefault="007032DF"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Interakce mezi veřejnými výzkumnými organizacemi a podniky, důležitá pro aplikaci výsledků VaV v praxi a efektivnější využití znalostního potenciálu obou stran pro inovace, je v ČR velmi omezená. Zatímco v EU27 bylo v roce 2010 ze soukromých domácích zdrojů financováno 10,2 % výdajů vládního sektoru, v ČR to bylo jen 4,7 %. Ještě výraznější rozdíl je patrný ve vysokoškolském sektoru (8,1 % v EU27 oproti 1,1 % v ČR).</w:t>
      </w:r>
      <w:r w:rsidRPr="000B521F">
        <w:rPr>
          <w:rStyle w:val="Znakapoznpodarou"/>
          <w:rFonts w:ascii="Times New Roman" w:hAnsi="Times New Roman" w:cs="Times New Roman"/>
          <w:sz w:val="24"/>
          <w:szCs w:val="24"/>
        </w:rPr>
        <w:footnoteReference w:id="42"/>
      </w:r>
    </w:p>
    <w:p w:rsidR="007032DF" w:rsidRPr="000B521F" w:rsidRDefault="007032DF"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Absence efektivní interakce mezi veřejným výzkumem a aplikační sférou (zejména podniky) vytváří úzké hrdlo v celkové efektivitě národního inovačního systému a přenosu znalostí a technologií do praxe. Důsledky nízké kvality a intenzity interakce (zejména efektivní spolupráce) mezi veřejným výzkumem a praxí (zejména podniky):</w:t>
      </w:r>
    </w:p>
    <w:p w:rsidR="008206A4" w:rsidRPr="000B521F" w:rsidRDefault="007032DF" w:rsidP="0059011D">
      <w:pPr>
        <w:pStyle w:val="Odstavecseseznamem"/>
        <w:numPr>
          <w:ilvl w:val="0"/>
          <w:numId w:val="77"/>
        </w:numPr>
        <w:autoSpaceDE w:val="0"/>
        <w:autoSpaceDN w:val="0"/>
        <w:adjustRightInd w:val="0"/>
        <w:spacing w:after="120" w:line="240" w:lineRule="auto"/>
        <w:ind w:left="284" w:hanging="284"/>
        <w:jc w:val="both"/>
        <w:rPr>
          <w:rFonts w:ascii="Times New Roman" w:hAnsi="Times New Roman" w:cs="Times New Roman"/>
          <w:sz w:val="24"/>
          <w:szCs w:val="24"/>
        </w:rPr>
      </w:pPr>
      <w:r w:rsidRPr="000B521F">
        <w:rPr>
          <w:rFonts w:ascii="Times New Roman" w:hAnsi="Times New Roman" w:cs="Times New Roman"/>
          <w:sz w:val="24"/>
          <w:szCs w:val="24"/>
        </w:rPr>
        <w:t>Výzkumné organizace provádějí výzkum a vývoj bez hlubší znalosti podnětů z praxe.</w:t>
      </w:r>
    </w:p>
    <w:p w:rsidR="008206A4" w:rsidRPr="000B521F" w:rsidRDefault="007032DF" w:rsidP="0059011D">
      <w:pPr>
        <w:pStyle w:val="Odstavecseseznamem"/>
        <w:numPr>
          <w:ilvl w:val="0"/>
          <w:numId w:val="77"/>
        </w:numPr>
        <w:autoSpaceDE w:val="0"/>
        <w:autoSpaceDN w:val="0"/>
        <w:adjustRightInd w:val="0"/>
        <w:spacing w:after="120" w:line="240" w:lineRule="auto"/>
        <w:ind w:left="284" w:hanging="284"/>
        <w:jc w:val="both"/>
        <w:rPr>
          <w:rFonts w:ascii="Times New Roman" w:hAnsi="Times New Roman" w:cs="Times New Roman"/>
          <w:sz w:val="24"/>
          <w:szCs w:val="24"/>
        </w:rPr>
      </w:pPr>
      <w:r w:rsidRPr="000B521F">
        <w:rPr>
          <w:rFonts w:ascii="Times New Roman" w:hAnsi="Times New Roman" w:cs="Times New Roman"/>
          <w:sz w:val="24"/>
          <w:szCs w:val="24"/>
        </w:rPr>
        <w:t xml:space="preserve">Podniky preferují výzkum a vývoj včetně inovačních aktivit bez většího využití znalostního a institucionálního potenciálu veřejného výzkumného sektoru. </w:t>
      </w:r>
    </w:p>
    <w:p w:rsidR="008206A4" w:rsidRPr="000B521F" w:rsidRDefault="007032DF" w:rsidP="0059011D">
      <w:pPr>
        <w:pStyle w:val="Odstavecseseznamem"/>
        <w:numPr>
          <w:ilvl w:val="0"/>
          <w:numId w:val="77"/>
        </w:numPr>
        <w:autoSpaceDE w:val="0"/>
        <w:autoSpaceDN w:val="0"/>
        <w:adjustRightInd w:val="0"/>
        <w:spacing w:after="120" w:line="240" w:lineRule="auto"/>
        <w:ind w:left="284" w:hanging="284"/>
        <w:jc w:val="both"/>
        <w:rPr>
          <w:rFonts w:ascii="Times New Roman" w:hAnsi="Times New Roman" w:cs="Times New Roman"/>
          <w:sz w:val="24"/>
          <w:szCs w:val="24"/>
        </w:rPr>
      </w:pPr>
      <w:r w:rsidRPr="000B521F">
        <w:rPr>
          <w:rFonts w:ascii="Times New Roman" w:hAnsi="Times New Roman" w:cs="Times New Roman"/>
          <w:sz w:val="24"/>
          <w:szCs w:val="24"/>
        </w:rPr>
        <w:t xml:space="preserve">Dochází tak k suboptimálnímu využívání výsledků VaV v inovacích, které by přispívaly k posilování konkurenceschopnosti české ekonomiky. </w:t>
      </w:r>
    </w:p>
    <w:p w:rsidR="007032DF" w:rsidRPr="000B521F" w:rsidRDefault="007032DF" w:rsidP="0059011D">
      <w:pPr>
        <w:autoSpaceDE w:val="0"/>
        <w:autoSpaceDN w:val="0"/>
        <w:adjustRightInd w:val="0"/>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Neprovázané investice do výzkumných organizací a podniků tento stav mohou dále prohlubovat. Přestože v ČR existuje infrastruktura zaměřená na podporu transferu znalostí a technologií z veřejného výzkumu do praxe, problémem je nedostatek kvalitních a kompetentních pracovníků (manažerů i specialistů) i relativní nedostatek finančních prostředků pro zajištění kvalitních služeb této infrastruktury. Současně je v ČR omezený počet firem zaměřujících svůj výzkum na oblasti technologicky náročné, zejména s využitím kapacit a výsledků výzkumných organizací.</w:t>
      </w:r>
    </w:p>
    <w:p w:rsidR="00404797" w:rsidRPr="000B521F" w:rsidRDefault="00404797" w:rsidP="0059011D">
      <w:pPr>
        <w:autoSpaceDE w:val="0"/>
        <w:autoSpaceDN w:val="0"/>
        <w:adjustRightInd w:val="0"/>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Pro</w:t>
      </w:r>
      <w:r w:rsidR="005B09B6" w:rsidRPr="000B521F">
        <w:rPr>
          <w:rFonts w:ascii="Times New Roman" w:hAnsi="Times New Roman" w:cs="Times New Roman"/>
          <w:sz w:val="24"/>
          <w:szCs w:val="24"/>
        </w:rPr>
        <w:t xml:space="preserve"> zvýšení</w:t>
      </w:r>
      <w:r w:rsidRPr="000B521F">
        <w:rPr>
          <w:rFonts w:ascii="Times New Roman" w:hAnsi="Times New Roman" w:cs="Times New Roman"/>
          <w:sz w:val="24"/>
          <w:szCs w:val="24"/>
        </w:rPr>
        <w:t xml:space="preserve"> konkurenceschopnost</w:t>
      </w:r>
      <w:r w:rsidR="005B09B6" w:rsidRPr="000B521F">
        <w:rPr>
          <w:rFonts w:ascii="Times New Roman" w:hAnsi="Times New Roman" w:cs="Times New Roman"/>
          <w:sz w:val="24"/>
          <w:szCs w:val="24"/>
        </w:rPr>
        <w:t>i</w:t>
      </w:r>
      <w:r w:rsidRPr="000B521F">
        <w:rPr>
          <w:rFonts w:ascii="Times New Roman" w:hAnsi="Times New Roman" w:cs="Times New Roman"/>
          <w:sz w:val="24"/>
          <w:szCs w:val="24"/>
        </w:rPr>
        <w:t xml:space="preserve"> průmyslu je důležité zavádění</w:t>
      </w:r>
      <w:r w:rsidR="0051083F" w:rsidRPr="000B521F">
        <w:rPr>
          <w:rFonts w:ascii="Times New Roman" w:hAnsi="Times New Roman" w:cs="Times New Roman"/>
          <w:sz w:val="24"/>
          <w:szCs w:val="24"/>
        </w:rPr>
        <w:t xml:space="preserve"> tzv. „klíčových technologií“ (</w:t>
      </w:r>
      <w:r w:rsidRPr="000B521F">
        <w:rPr>
          <w:rFonts w:ascii="Times New Roman" w:hAnsi="Times New Roman" w:cs="Times New Roman"/>
          <w:sz w:val="24"/>
          <w:szCs w:val="24"/>
        </w:rPr>
        <w:t>key</w:t>
      </w:r>
      <w:r w:rsidR="001940FE" w:rsidRPr="000B521F">
        <w:rPr>
          <w:rFonts w:ascii="Times New Roman" w:hAnsi="Times New Roman" w:cs="Times New Roman"/>
          <w:sz w:val="24"/>
          <w:szCs w:val="24"/>
        </w:rPr>
        <w:t xml:space="preserve"> </w:t>
      </w:r>
      <w:r w:rsidRPr="000B521F">
        <w:rPr>
          <w:rFonts w:ascii="Times New Roman" w:hAnsi="Times New Roman" w:cs="Times New Roman"/>
          <w:sz w:val="24"/>
          <w:szCs w:val="24"/>
        </w:rPr>
        <w:t>enabling</w:t>
      </w:r>
      <w:r w:rsidR="0051083F" w:rsidRPr="000B521F">
        <w:rPr>
          <w:rFonts w:ascii="Times New Roman" w:hAnsi="Times New Roman" w:cs="Times New Roman"/>
          <w:sz w:val="24"/>
          <w:szCs w:val="24"/>
        </w:rPr>
        <w:t xml:space="preserve"> technologies </w:t>
      </w:r>
      <w:r w:rsidR="00264AE0">
        <w:rPr>
          <w:rFonts w:ascii="Times New Roman" w:hAnsi="Times New Roman" w:cs="Times New Roman"/>
          <w:color w:val="000000"/>
          <w:sz w:val="24"/>
          <w:szCs w:val="24"/>
        </w:rPr>
        <w:t>–</w:t>
      </w:r>
      <w:r w:rsidR="0051083F" w:rsidRPr="000B521F">
        <w:rPr>
          <w:rFonts w:ascii="Times New Roman" w:hAnsi="Times New Roman" w:cs="Times New Roman"/>
          <w:sz w:val="24"/>
          <w:szCs w:val="24"/>
        </w:rPr>
        <w:t xml:space="preserve"> KET</w:t>
      </w:r>
      <w:r w:rsidRPr="000B521F">
        <w:rPr>
          <w:rFonts w:ascii="Times New Roman" w:hAnsi="Times New Roman" w:cs="Times New Roman"/>
          <w:sz w:val="24"/>
          <w:szCs w:val="24"/>
        </w:rPr>
        <w:t>)</w:t>
      </w:r>
      <w:r w:rsidR="00896D40" w:rsidRPr="000B521F">
        <w:rPr>
          <w:rFonts w:ascii="Times New Roman" w:hAnsi="Times New Roman" w:cs="Times New Roman"/>
          <w:sz w:val="24"/>
          <w:szCs w:val="24"/>
        </w:rPr>
        <w:t xml:space="preserve"> do výrobních procesů a produktů</w:t>
      </w:r>
      <w:r w:rsidRPr="000B521F">
        <w:rPr>
          <w:rFonts w:ascii="Times New Roman" w:hAnsi="Times New Roman" w:cs="Times New Roman"/>
          <w:sz w:val="24"/>
          <w:szCs w:val="24"/>
        </w:rPr>
        <w:t xml:space="preserve">. </w:t>
      </w:r>
      <w:r w:rsidR="00896D40" w:rsidRPr="000B521F">
        <w:rPr>
          <w:rFonts w:ascii="Times New Roman" w:hAnsi="Times New Roman" w:cs="Times New Roman"/>
          <w:sz w:val="24"/>
          <w:szCs w:val="24"/>
        </w:rPr>
        <w:t xml:space="preserve">Pro efektivní rozvoj a </w:t>
      </w:r>
      <w:r w:rsidR="00896D40" w:rsidRPr="000B521F">
        <w:rPr>
          <w:rFonts w:ascii="Times New Roman" w:hAnsi="Times New Roman" w:cs="Times New Roman"/>
          <w:sz w:val="24"/>
          <w:szCs w:val="24"/>
        </w:rPr>
        <w:lastRenderedPageBreak/>
        <w:t>uplatnění klíčových technologií</w:t>
      </w:r>
      <w:r w:rsidR="0051083F" w:rsidRPr="000B521F">
        <w:rPr>
          <w:rFonts w:ascii="Times New Roman" w:hAnsi="Times New Roman" w:cs="Times New Roman"/>
          <w:sz w:val="24"/>
          <w:szCs w:val="24"/>
        </w:rPr>
        <w:t xml:space="preserve"> </w:t>
      </w:r>
      <w:r w:rsidRPr="000B521F">
        <w:rPr>
          <w:rFonts w:ascii="Times New Roman" w:hAnsi="Times New Roman" w:cs="Times New Roman"/>
          <w:sz w:val="24"/>
          <w:szCs w:val="24"/>
        </w:rPr>
        <w:t xml:space="preserve">byly identifikovány tři pilíře </w:t>
      </w:r>
      <w:r w:rsidR="0093459A" w:rsidRPr="000B521F">
        <w:rPr>
          <w:rFonts w:ascii="Times New Roman" w:hAnsi="Times New Roman" w:cs="Times New Roman"/>
          <w:sz w:val="24"/>
          <w:szCs w:val="24"/>
        </w:rPr>
        <w:t>předpokladů</w:t>
      </w:r>
      <w:r w:rsidR="00896D40" w:rsidRPr="000B521F">
        <w:rPr>
          <w:rFonts w:ascii="Times New Roman" w:hAnsi="Times New Roman" w:cs="Times New Roman"/>
          <w:sz w:val="24"/>
          <w:szCs w:val="24"/>
        </w:rPr>
        <w:t>:</w:t>
      </w:r>
      <w:r w:rsidR="005B09B6" w:rsidRPr="000B521F">
        <w:rPr>
          <w:rFonts w:ascii="Times New Roman" w:eastAsia="Times New Roman" w:hAnsi="Times New Roman" w:cs="Times New Roman"/>
          <w:sz w:val="24"/>
          <w:szCs w:val="24"/>
        </w:rPr>
        <w:t>(i) kvalitní technologický výzkum, (ii) vývoj produktu zaměřený na funkční ověření a (iii) pokročilá moderní výrobní základna</w:t>
      </w:r>
      <w:r w:rsidRPr="000B521F">
        <w:rPr>
          <w:rFonts w:ascii="Times New Roman" w:hAnsi="Times New Roman" w:cs="Times New Roman"/>
          <w:sz w:val="24"/>
          <w:szCs w:val="24"/>
        </w:rPr>
        <w:t xml:space="preserve"> Identifikované rozvojové potřeby refl</w:t>
      </w:r>
      <w:r w:rsidR="0093459A" w:rsidRPr="000B521F">
        <w:rPr>
          <w:rFonts w:ascii="Times New Roman" w:hAnsi="Times New Roman" w:cs="Times New Roman"/>
          <w:sz w:val="24"/>
          <w:szCs w:val="24"/>
        </w:rPr>
        <w:t>ektují zejména první dva pilíře. První a</w:t>
      </w:r>
      <w:r w:rsidRPr="000B521F">
        <w:rPr>
          <w:rFonts w:ascii="Times New Roman" w:hAnsi="Times New Roman" w:cs="Times New Roman"/>
          <w:sz w:val="24"/>
          <w:szCs w:val="24"/>
        </w:rPr>
        <w:t xml:space="preserve"> třetí pilíř jsou významně reflektovány</w:t>
      </w:r>
      <w:r w:rsidR="0051083F" w:rsidRPr="000B521F">
        <w:rPr>
          <w:rFonts w:ascii="Times New Roman" w:hAnsi="Times New Roman" w:cs="Times New Roman"/>
          <w:sz w:val="24"/>
          <w:szCs w:val="24"/>
        </w:rPr>
        <w:t xml:space="preserve"> </w:t>
      </w:r>
      <w:r w:rsidR="005B09B6" w:rsidRPr="000B521F">
        <w:rPr>
          <w:rFonts w:ascii="Times New Roman" w:hAnsi="Times New Roman" w:cs="Times New Roman"/>
          <w:sz w:val="24"/>
          <w:szCs w:val="24"/>
        </w:rPr>
        <w:t>v oblasti Konkurenceschopné podniky</w:t>
      </w:r>
      <w:r w:rsidRPr="000B521F">
        <w:rPr>
          <w:rFonts w:ascii="Times New Roman" w:hAnsi="Times New Roman" w:cs="Times New Roman"/>
          <w:sz w:val="24"/>
          <w:szCs w:val="24"/>
        </w:rPr>
        <w:t>.</w:t>
      </w:r>
    </w:p>
    <w:p w:rsidR="007032DF" w:rsidRPr="000B521F" w:rsidRDefault="007032DF" w:rsidP="0059011D">
      <w:pPr>
        <w:spacing w:after="120" w:line="240" w:lineRule="auto"/>
        <w:jc w:val="both"/>
        <w:rPr>
          <w:rFonts w:ascii="Times New Roman" w:hAnsi="Times New Roman" w:cs="Times New Roman"/>
          <w:i/>
          <w:sz w:val="24"/>
          <w:szCs w:val="24"/>
        </w:rPr>
      </w:pPr>
      <w:r w:rsidRPr="000B521F">
        <w:rPr>
          <w:rFonts w:ascii="Times New Roman" w:hAnsi="Times New Roman" w:cs="Times New Roman"/>
          <w:i/>
          <w:sz w:val="24"/>
          <w:szCs w:val="24"/>
        </w:rPr>
        <w:t>Potřeby rozvoje:</w:t>
      </w:r>
    </w:p>
    <w:p w:rsidR="008206A4" w:rsidRPr="000B521F" w:rsidRDefault="007032DF" w:rsidP="0059011D">
      <w:pPr>
        <w:pStyle w:val="Odstavecseseznamem"/>
        <w:numPr>
          <w:ilvl w:val="0"/>
          <w:numId w:val="76"/>
        </w:numPr>
        <w:spacing w:after="0" w:line="240" w:lineRule="auto"/>
        <w:ind w:left="284" w:hanging="284"/>
        <w:jc w:val="both"/>
        <w:rPr>
          <w:rFonts w:ascii="Times New Roman" w:hAnsi="Times New Roman" w:cs="Times New Roman"/>
          <w:sz w:val="24"/>
          <w:szCs w:val="24"/>
        </w:rPr>
      </w:pPr>
      <w:r w:rsidRPr="000B521F">
        <w:rPr>
          <w:rFonts w:ascii="Times New Roman" w:hAnsi="Times New Roman" w:cs="Times New Roman"/>
          <w:sz w:val="24"/>
          <w:szCs w:val="24"/>
        </w:rPr>
        <w:t xml:space="preserve">Personálně zajistit </w:t>
      </w:r>
      <w:r w:rsidRPr="000B521F">
        <w:rPr>
          <w:rFonts w:ascii="Times New Roman" w:hAnsi="Times New Roman" w:cs="Times New Roman"/>
          <w:b/>
          <w:sz w:val="24"/>
          <w:szCs w:val="24"/>
        </w:rPr>
        <w:t>kvalitní služby infrastruktury pro přenos znalostí výsledků VaV do praxe</w:t>
      </w:r>
      <w:r w:rsidRPr="000B521F">
        <w:rPr>
          <w:rFonts w:ascii="Times New Roman" w:hAnsi="Times New Roman" w:cs="Times New Roman"/>
          <w:sz w:val="24"/>
          <w:szCs w:val="24"/>
        </w:rPr>
        <w:t xml:space="preserve"> a vytvořit systém hodnocení a financování veřejného výzkumu, který bude motivovat k produkci výsledků uplatnitelných v inovacích.</w:t>
      </w:r>
    </w:p>
    <w:p w:rsidR="008206A4" w:rsidRPr="000B521F" w:rsidRDefault="007032DF" w:rsidP="0059011D">
      <w:pPr>
        <w:pStyle w:val="Odstavecseseznamem"/>
        <w:numPr>
          <w:ilvl w:val="0"/>
          <w:numId w:val="76"/>
        </w:numPr>
        <w:spacing w:line="240" w:lineRule="auto"/>
        <w:ind w:left="284" w:hanging="284"/>
        <w:jc w:val="both"/>
        <w:rPr>
          <w:rFonts w:ascii="Times New Roman" w:hAnsi="Times New Roman" w:cs="Times New Roman"/>
          <w:sz w:val="24"/>
          <w:szCs w:val="24"/>
        </w:rPr>
      </w:pPr>
      <w:r w:rsidRPr="000B521F">
        <w:rPr>
          <w:rFonts w:ascii="Times New Roman" w:hAnsi="Times New Roman" w:cs="Times New Roman"/>
          <w:b/>
          <w:sz w:val="24"/>
          <w:szCs w:val="24"/>
        </w:rPr>
        <w:t>Využít výzkumně-vývojové kapacity podniků a výzkumných organizací</w:t>
      </w:r>
      <w:r w:rsidRPr="000B521F">
        <w:rPr>
          <w:rFonts w:ascii="Times New Roman" w:hAnsi="Times New Roman" w:cs="Times New Roman"/>
          <w:sz w:val="24"/>
          <w:szCs w:val="24"/>
        </w:rPr>
        <w:t xml:space="preserve"> s cílem zavedení nových aplikací na trhu v technologicky náročnějších oblastech. </w:t>
      </w:r>
    </w:p>
    <w:p w:rsidR="00F3719F" w:rsidRDefault="007032DF">
      <w:pPr>
        <w:pStyle w:val="Odstavecseseznamem"/>
        <w:numPr>
          <w:ilvl w:val="0"/>
          <w:numId w:val="76"/>
        </w:numPr>
        <w:spacing w:line="240" w:lineRule="auto"/>
        <w:ind w:left="284" w:hanging="284"/>
        <w:jc w:val="both"/>
        <w:rPr>
          <w:rFonts w:ascii="Times New Roman" w:hAnsi="Times New Roman" w:cs="Times New Roman"/>
          <w:sz w:val="24"/>
          <w:szCs w:val="24"/>
        </w:rPr>
      </w:pPr>
      <w:r w:rsidRPr="000B521F">
        <w:rPr>
          <w:rFonts w:ascii="Times New Roman" w:hAnsi="Times New Roman" w:cs="Times New Roman"/>
          <w:b/>
          <w:sz w:val="24"/>
          <w:szCs w:val="24"/>
        </w:rPr>
        <w:t>Zvýšit kvalitu a intenzitu spolupráce veřejného a soukromého sektoru</w:t>
      </w:r>
      <w:r w:rsidRPr="000B521F">
        <w:rPr>
          <w:rFonts w:ascii="Times New Roman" w:hAnsi="Times New Roman" w:cs="Times New Roman"/>
          <w:sz w:val="24"/>
          <w:szCs w:val="24"/>
        </w:rPr>
        <w:t xml:space="preserve"> podporou aktivit horizontální mobility, vzájemného zapojení výzkumných organizací a podniků v projektech výzkumu a vývoje, zapojení veřejného sektoru při iniciaci inovací.</w:t>
      </w:r>
    </w:p>
    <w:p w:rsidR="00F91B79" w:rsidRPr="00F91B79" w:rsidRDefault="00F91B79" w:rsidP="00F91B79">
      <w:pPr>
        <w:pStyle w:val="Odstavecseseznamem"/>
        <w:spacing w:line="240" w:lineRule="auto"/>
        <w:ind w:left="284"/>
        <w:jc w:val="both"/>
        <w:rPr>
          <w:rFonts w:ascii="Times New Roman" w:hAnsi="Times New Roman" w:cs="Times New Roman"/>
          <w:sz w:val="24"/>
          <w:szCs w:val="24"/>
        </w:rPr>
      </w:pPr>
    </w:p>
    <w:p w:rsidR="00F91B79" w:rsidRPr="00F4309A" w:rsidRDefault="00842329" w:rsidP="00F91B79">
      <w:pPr>
        <w:pStyle w:val="Odstavecseseznamem"/>
        <w:spacing w:line="240" w:lineRule="auto"/>
        <w:ind w:left="0"/>
        <w:jc w:val="both"/>
        <w:rPr>
          <w:rFonts w:ascii="Times New Roman" w:hAnsi="Times New Roman" w:cs="Times New Roman"/>
          <w:sz w:val="24"/>
          <w:szCs w:val="24"/>
        </w:rPr>
      </w:pPr>
      <w:r w:rsidRPr="00842329">
        <w:rPr>
          <w:rFonts w:ascii="Times New Roman" w:eastAsia="Times New Roman" w:hAnsi="Times New Roman" w:cs="Times New Roman"/>
          <w:sz w:val="24"/>
          <w:szCs w:val="24"/>
        </w:rPr>
        <w:t>V oblasti komercializace výsledků výzkumu a vývoje budou identifikované potřeby částečně řešeny také prostřednictvím finančních nástrojů.</w:t>
      </w:r>
    </w:p>
    <w:p w:rsidR="0015622A" w:rsidRPr="000B521F" w:rsidRDefault="0015622A" w:rsidP="0059011D">
      <w:pPr>
        <w:pStyle w:val="Odstavecseseznamem"/>
        <w:spacing w:line="240" w:lineRule="auto"/>
        <w:ind w:left="0"/>
        <w:jc w:val="both"/>
        <w:rPr>
          <w:rFonts w:ascii="Times New Roman" w:hAnsi="Times New Roman" w:cs="Times New Roman"/>
          <w:sz w:val="24"/>
          <w:szCs w:val="24"/>
        </w:rPr>
      </w:pPr>
    </w:p>
    <w:p w:rsidR="007032DF" w:rsidRPr="000B521F" w:rsidRDefault="0015622A" w:rsidP="0059011D">
      <w:pPr>
        <w:spacing w:after="120" w:line="240" w:lineRule="auto"/>
        <w:rPr>
          <w:rFonts w:ascii="Times New Roman" w:hAnsi="Times New Roman" w:cs="Times New Roman"/>
          <w:b/>
          <w:i/>
          <w:sz w:val="24"/>
          <w:szCs w:val="24"/>
        </w:rPr>
      </w:pPr>
      <w:r w:rsidRPr="000B521F">
        <w:rPr>
          <w:rFonts w:ascii="Times New Roman" w:hAnsi="Times New Roman" w:cs="Times New Roman"/>
          <w:b/>
          <w:i/>
          <w:sz w:val="24"/>
          <w:szCs w:val="24"/>
        </w:rPr>
        <w:t>4.</w:t>
      </w:r>
      <w:r w:rsidR="007032DF" w:rsidRPr="000B521F">
        <w:rPr>
          <w:rFonts w:ascii="Times New Roman" w:hAnsi="Times New Roman" w:cs="Times New Roman"/>
          <w:b/>
          <w:i/>
          <w:sz w:val="24"/>
          <w:szCs w:val="24"/>
        </w:rPr>
        <w:t xml:space="preserve"> Nedostatek kvalitních lidských zdrojů pro VaV</w:t>
      </w:r>
    </w:p>
    <w:p w:rsidR="007032DF" w:rsidRPr="000B521F" w:rsidRDefault="007032DF"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Dostupnost lidských zdrojů pro VaV je problémem projevujícím se na několika úrovních:</w:t>
      </w:r>
    </w:p>
    <w:p w:rsidR="008206A4" w:rsidRPr="000B521F" w:rsidRDefault="007032DF" w:rsidP="0059011D">
      <w:pPr>
        <w:pStyle w:val="Odstavecseseznamem"/>
        <w:numPr>
          <w:ilvl w:val="0"/>
          <w:numId w:val="77"/>
        </w:numPr>
        <w:autoSpaceDE w:val="0"/>
        <w:autoSpaceDN w:val="0"/>
        <w:adjustRightInd w:val="0"/>
        <w:spacing w:after="0" w:line="240" w:lineRule="auto"/>
        <w:ind w:left="284" w:hanging="284"/>
        <w:jc w:val="both"/>
        <w:rPr>
          <w:rFonts w:ascii="Times New Roman" w:hAnsi="Times New Roman" w:cs="Times New Roman"/>
          <w:sz w:val="24"/>
          <w:szCs w:val="24"/>
        </w:rPr>
      </w:pPr>
      <w:r w:rsidRPr="000B521F">
        <w:rPr>
          <w:rFonts w:ascii="Times New Roman" w:hAnsi="Times New Roman" w:cs="Times New Roman"/>
          <w:b/>
          <w:sz w:val="24"/>
          <w:szCs w:val="24"/>
        </w:rPr>
        <w:t>Relativně nižší počet výzkumníků</w:t>
      </w:r>
      <w:r w:rsidRPr="000B521F">
        <w:rPr>
          <w:rFonts w:ascii="Times New Roman" w:hAnsi="Times New Roman" w:cs="Times New Roman"/>
          <w:sz w:val="24"/>
          <w:szCs w:val="24"/>
        </w:rPr>
        <w:t>, přičemž nejvíce chybějící skupinou jsou výzkumní pracovníci s mezinárodními zkušenostmi střední generace.</w:t>
      </w:r>
    </w:p>
    <w:p w:rsidR="008206A4" w:rsidRPr="000B521F" w:rsidRDefault="007032DF" w:rsidP="0059011D">
      <w:pPr>
        <w:pStyle w:val="Odstavecseseznamem"/>
        <w:numPr>
          <w:ilvl w:val="0"/>
          <w:numId w:val="77"/>
        </w:numPr>
        <w:autoSpaceDE w:val="0"/>
        <w:autoSpaceDN w:val="0"/>
        <w:adjustRightInd w:val="0"/>
        <w:spacing w:after="0" w:line="240" w:lineRule="auto"/>
        <w:ind w:left="284" w:hanging="284"/>
        <w:jc w:val="both"/>
        <w:rPr>
          <w:rFonts w:ascii="Times New Roman" w:hAnsi="Times New Roman" w:cs="Times New Roman"/>
          <w:sz w:val="24"/>
          <w:szCs w:val="24"/>
        </w:rPr>
      </w:pPr>
      <w:r w:rsidRPr="000B521F">
        <w:rPr>
          <w:rFonts w:ascii="Times New Roman" w:hAnsi="Times New Roman" w:cs="Times New Roman"/>
          <w:b/>
          <w:sz w:val="24"/>
          <w:szCs w:val="24"/>
        </w:rPr>
        <w:t>Velmi nízký počet žen</w:t>
      </w:r>
      <w:r w:rsidRPr="000B521F">
        <w:rPr>
          <w:rFonts w:ascii="Times New Roman" w:hAnsi="Times New Roman" w:cs="Times New Roman"/>
          <w:sz w:val="24"/>
          <w:szCs w:val="24"/>
        </w:rPr>
        <w:t xml:space="preserve"> - dochází tak neefektivnímu využití potenciálu kvalifikovaných a vzdělaných žen pro VaV. </w:t>
      </w:r>
    </w:p>
    <w:p w:rsidR="008206A4" w:rsidRPr="000B521F" w:rsidRDefault="007032DF" w:rsidP="0059011D">
      <w:pPr>
        <w:pStyle w:val="Odstavecseseznamem"/>
        <w:numPr>
          <w:ilvl w:val="0"/>
          <w:numId w:val="77"/>
        </w:numPr>
        <w:autoSpaceDE w:val="0"/>
        <w:autoSpaceDN w:val="0"/>
        <w:adjustRightInd w:val="0"/>
        <w:spacing w:after="0" w:line="240" w:lineRule="auto"/>
        <w:ind w:left="284" w:hanging="284"/>
        <w:jc w:val="both"/>
        <w:rPr>
          <w:rFonts w:ascii="Times New Roman" w:hAnsi="Times New Roman" w:cs="Times New Roman"/>
          <w:sz w:val="24"/>
          <w:szCs w:val="24"/>
        </w:rPr>
      </w:pPr>
      <w:r w:rsidRPr="000B521F">
        <w:rPr>
          <w:rFonts w:ascii="Times New Roman" w:hAnsi="Times New Roman" w:cs="Times New Roman"/>
          <w:b/>
          <w:sz w:val="24"/>
          <w:szCs w:val="24"/>
        </w:rPr>
        <w:t>Nízký počet absolventů doktorského studia</w:t>
      </w:r>
      <w:r w:rsidRPr="000B521F">
        <w:rPr>
          <w:rFonts w:ascii="Times New Roman" w:hAnsi="Times New Roman" w:cs="Times New Roman"/>
          <w:sz w:val="24"/>
          <w:szCs w:val="24"/>
        </w:rPr>
        <w:t xml:space="preserve">, kteří jsou hlavním zdrojem odborníků pro VaV. </w:t>
      </w:r>
    </w:p>
    <w:p w:rsidR="008206A4" w:rsidRPr="000B521F" w:rsidRDefault="007032DF" w:rsidP="0059011D">
      <w:pPr>
        <w:pStyle w:val="Odstavecseseznamem"/>
        <w:numPr>
          <w:ilvl w:val="0"/>
          <w:numId w:val="77"/>
        </w:numPr>
        <w:autoSpaceDE w:val="0"/>
        <w:autoSpaceDN w:val="0"/>
        <w:adjustRightInd w:val="0"/>
        <w:spacing w:after="0" w:line="240" w:lineRule="auto"/>
        <w:ind w:left="284" w:hanging="284"/>
        <w:jc w:val="both"/>
        <w:rPr>
          <w:rFonts w:ascii="Times New Roman" w:hAnsi="Times New Roman" w:cs="Times New Roman"/>
          <w:sz w:val="24"/>
          <w:szCs w:val="24"/>
        </w:rPr>
      </w:pPr>
      <w:r w:rsidRPr="000B521F">
        <w:rPr>
          <w:rFonts w:ascii="Times New Roman" w:hAnsi="Times New Roman" w:cs="Times New Roman"/>
          <w:b/>
          <w:sz w:val="24"/>
          <w:szCs w:val="24"/>
        </w:rPr>
        <w:t>Malá schopnost přitáhnout zahraniční odborníky</w:t>
      </w:r>
      <w:r w:rsidRPr="000B521F">
        <w:rPr>
          <w:rFonts w:ascii="Times New Roman" w:hAnsi="Times New Roman" w:cs="Times New Roman"/>
          <w:sz w:val="24"/>
          <w:szCs w:val="24"/>
        </w:rPr>
        <w:t xml:space="preserve"> do českého výzkumu a technologicky náročných odvětví, přičemž zároveň dochází k odlivu špičkových domácích výzkumníků do zahraničí. Dochází tak k posilování uzavřenosti českého výzkumu a souvisejících bariéry pro zvýšení kvality výzkumu na mezinárodně srovnatelnou úroveň (viz také výše). </w:t>
      </w:r>
    </w:p>
    <w:p w:rsidR="008206A4" w:rsidRPr="000B521F" w:rsidRDefault="007032DF" w:rsidP="0059011D">
      <w:pPr>
        <w:pStyle w:val="Odstavecseseznamem"/>
        <w:numPr>
          <w:ilvl w:val="0"/>
          <w:numId w:val="77"/>
        </w:numPr>
        <w:autoSpaceDE w:val="0"/>
        <w:autoSpaceDN w:val="0"/>
        <w:adjustRightInd w:val="0"/>
        <w:spacing w:after="0" w:line="240" w:lineRule="auto"/>
        <w:ind w:left="284" w:hanging="284"/>
        <w:jc w:val="both"/>
        <w:rPr>
          <w:rFonts w:ascii="Times New Roman" w:hAnsi="Times New Roman" w:cs="Times New Roman"/>
          <w:sz w:val="24"/>
          <w:szCs w:val="24"/>
        </w:rPr>
      </w:pPr>
      <w:r w:rsidRPr="000B521F">
        <w:rPr>
          <w:rFonts w:ascii="Times New Roman" w:hAnsi="Times New Roman" w:cs="Times New Roman"/>
          <w:b/>
          <w:sz w:val="24"/>
          <w:szCs w:val="24"/>
        </w:rPr>
        <w:t>Nízká mezisektorová mobilita</w:t>
      </w:r>
      <w:r w:rsidRPr="000B521F">
        <w:rPr>
          <w:rFonts w:ascii="Times New Roman" w:hAnsi="Times New Roman" w:cs="Times New Roman"/>
          <w:sz w:val="24"/>
          <w:szCs w:val="24"/>
        </w:rPr>
        <w:t xml:space="preserve"> – jde o limitující faktor pro přenos znalostí a zkušeností mezi výzkumnou a aplikační sférou.</w:t>
      </w:r>
    </w:p>
    <w:p w:rsidR="007032DF" w:rsidRPr="000B521F" w:rsidRDefault="006363EB" w:rsidP="0059011D">
      <w:pPr>
        <w:spacing w:after="120" w:line="240" w:lineRule="auto"/>
        <w:jc w:val="both"/>
        <w:rPr>
          <w:rFonts w:ascii="Times New Roman" w:hAnsi="Times New Roman" w:cs="Times New Roman"/>
          <w:i/>
          <w:sz w:val="24"/>
          <w:szCs w:val="24"/>
        </w:rPr>
      </w:pPr>
      <w:r w:rsidRPr="000B521F">
        <w:rPr>
          <w:rFonts w:ascii="Times New Roman" w:hAnsi="Times New Roman" w:cs="Times New Roman"/>
          <w:i/>
          <w:sz w:val="24"/>
          <w:szCs w:val="24"/>
        </w:rPr>
        <w:t>P</w:t>
      </w:r>
      <w:r w:rsidR="007032DF" w:rsidRPr="000B521F">
        <w:rPr>
          <w:rFonts w:ascii="Times New Roman" w:hAnsi="Times New Roman" w:cs="Times New Roman"/>
          <w:i/>
          <w:sz w:val="24"/>
          <w:szCs w:val="24"/>
        </w:rPr>
        <w:t>otřeby</w:t>
      </w:r>
      <w:r w:rsidRPr="000B521F">
        <w:rPr>
          <w:rFonts w:ascii="Times New Roman" w:hAnsi="Times New Roman" w:cs="Times New Roman"/>
          <w:i/>
          <w:sz w:val="24"/>
          <w:szCs w:val="24"/>
        </w:rPr>
        <w:t xml:space="preserve"> rozvoje</w:t>
      </w:r>
      <w:r w:rsidR="007032DF" w:rsidRPr="000B521F">
        <w:rPr>
          <w:rFonts w:ascii="Times New Roman" w:hAnsi="Times New Roman" w:cs="Times New Roman"/>
          <w:i/>
          <w:sz w:val="24"/>
          <w:szCs w:val="24"/>
        </w:rPr>
        <w:t>:</w:t>
      </w:r>
    </w:p>
    <w:p w:rsidR="008206A4" w:rsidRPr="000B521F" w:rsidRDefault="006363EB" w:rsidP="0059011D">
      <w:pPr>
        <w:pStyle w:val="Odstavecseseznamem"/>
        <w:numPr>
          <w:ilvl w:val="0"/>
          <w:numId w:val="77"/>
        </w:numPr>
        <w:autoSpaceDE w:val="0"/>
        <w:autoSpaceDN w:val="0"/>
        <w:adjustRightInd w:val="0"/>
        <w:spacing w:after="0" w:line="240" w:lineRule="auto"/>
        <w:ind w:left="284" w:hanging="284"/>
        <w:jc w:val="both"/>
        <w:rPr>
          <w:rFonts w:ascii="Times New Roman" w:hAnsi="Times New Roman" w:cs="Times New Roman"/>
          <w:sz w:val="24"/>
          <w:szCs w:val="24"/>
        </w:rPr>
      </w:pPr>
      <w:r w:rsidRPr="000B521F">
        <w:rPr>
          <w:rFonts w:ascii="Times New Roman" w:hAnsi="Times New Roman" w:cs="Times New Roman"/>
          <w:sz w:val="24"/>
          <w:szCs w:val="24"/>
        </w:rPr>
        <w:t xml:space="preserve">Rozvoj lidských zdrojů ve VaV, </w:t>
      </w:r>
      <w:r w:rsidR="007032DF" w:rsidRPr="000B521F">
        <w:rPr>
          <w:rFonts w:ascii="Times New Roman" w:hAnsi="Times New Roman" w:cs="Times New Roman"/>
          <w:sz w:val="24"/>
          <w:szCs w:val="24"/>
        </w:rPr>
        <w:t>výzkumně a aplikačně orientovaného vysokoškolského vzdělávání</w:t>
      </w:r>
      <w:r w:rsidR="00535D8E">
        <w:rPr>
          <w:rFonts w:ascii="Times New Roman" w:hAnsi="Times New Roman" w:cs="Times New Roman"/>
          <w:sz w:val="24"/>
          <w:szCs w:val="24"/>
        </w:rPr>
        <w:t>.</w:t>
      </w:r>
    </w:p>
    <w:p w:rsidR="008206A4" w:rsidRPr="000B521F" w:rsidRDefault="006363EB" w:rsidP="0059011D">
      <w:pPr>
        <w:pStyle w:val="Odstavecseseznamem"/>
        <w:numPr>
          <w:ilvl w:val="0"/>
          <w:numId w:val="77"/>
        </w:numPr>
        <w:autoSpaceDE w:val="0"/>
        <w:autoSpaceDN w:val="0"/>
        <w:adjustRightInd w:val="0"/>
        <w:spacing w:after="0" w:line="240" w:lineRule="auto"/>
        <w:ind w:left="284" w:hanging="284"/>
        <w:jc w:val="both"/>
        <w:rPr>
          <w:rFonts w:ascii="Times New Roman" w:hAnsi="Times New Roman" w:cs="Times New Roman"/>
          <w:sz w:val="24"/>
          <w:szCs w:val="24"/>
        </w:rPr>
      </w:pPr>
      <w:r w:rsidRPr="000B521F">
        <w:rPr>
          <w:rFonts w:ascii="Times New Roman" w:hAnsi="Times New Roman" w:cs="Times New Roman"/>
          <w:sz w:val="24"/>
          <w:szCs w:val="24"/>
        </w:rPr>
        <w:t>Z</w:t>
      </w:r>
      <w:r w:rsidR="007032DF" w:rsidRPr="000B521F">
        <w:rPr>
          <w:rFonts w:ascii="Times New Roman" w:hAnsi="Times New Roman" w:cs="Times New Roman"/>
          <w:sz w:val="24"/>
          <w:szCs w:val="24"/>
        </w:rPr>
        <w:t>výšení atraktivity výzkumného prostředí pro příchod špičkových výzkumných a akademických pracovníků ze zahraničí a ze soukromého sektoru</w:t>
      </w:r>
      <w:r w:rsidR="00535D8E">
        <w:rPr>
          <w:rFonts w:ascii="Times New Roman" w:hAnsi="Times New Roman" w:cs="Times New Roman"/>
          <w:sz w:val="24"/>
          <w:szCs w:val="24"/>
        </w:rPr>
        <w:t>.</w:t>
      </w:r>
    </w:p>
    <w:p w:rsidR="008206A4" w:rsidRPr="000B521F" w:rsidRDefault="00861380" w:rsidP="0059011D">
      <w:pPr>
        <w:pStyle w:val="Odstavecseseznamem"/>
        <w:numPr>
          <w:ilvl w:val="0"/>
          <w:numId w:val="77"/>
        </w:numPr>
        <w:autoSpaceDE w:val="0"/>
        <w:autoSpaceDN w:val="0"/>
        <w:adjustRightInd w:val="0"/>
        <w:spacing w:after="0" w:line="240" w:lineRule="auto"/>
        <w:ind w:left="284" w:hanging="284"/>
        <w:jc w:val="both"/>
        <w:rPr>
          <w:rFonts w:ascii="Times New Roman" w:hAnsi="Times New Roman" w:cs="Times New Roman"/>
          <w:sz w:val="24"/>
          <w:szCs w:val="24"/>
        </w:rPr>
      </w:pPr>
      <w:r w:rsidRPr="000B521F">
        <w:rPr>
          <w:rFonts w:ascii="Times New Roman" w:hAnsi="Times New Roman" w:cs="Times New Roman"/>
          <w:sz w:val="24"/>
          <w:szCs w:val="24"/>
        </w:rPr>
        <w:t xml:space="preserve"> P</w:t>
      </w:r>
      <w:r w:rsidR="007032DF" w:rsidRPr="000B521F">
        <w:rPr>
          <w:rFonts w:ascii="Times New Roman" w:hAnsi="Times New Roman" w:cs="Times New Roman"/>
          <w:sz w:val="24"/>
          <w:szCs w:val="24"/>
        </w:rPr>
        <w:t>opularizace výzkumu, která zvýší zájem dětí, mládeže a veřejnosti o výzkum a jeho výsledky</w:t>
      </w:r>
      <w:r w:rsidR="00535D8E">
        <w:rPr>
          <w:rFonts w:ascii="Times New Roman" w:hAnsi="Times New Roman" w:cs="Times New Roman"/>
          <w:sz w:val="24"/>
          <w:szCs w:val="24"/>
        </w:rPr>
        <w:t>.</w:t>
      </w:r>
    </w:p>
    <w:p w:rsidR="007032DF" w:rsidRPr="000B521F" w:rsidRDefault="007032DF" w:rsidP="0059011D">
      <w:pPr>
        <w:spacing w:after="120" w:line="240" w:lineRule="auto"/>
        <w:rPr>
          <w:rFonts w:ascii="Times New Roman" w:hAnsi="Times New Roman" w:cs="Times New Roman"/>
          <w:b/>
          <w:i/>
          <w:sz w:val="24"/>
          <w:szCs w:val="24"/>
        </w:rPr>
      </w:pPr>
    </w:p>
    <w:p w:rsidR="007032DF" w:rsidRPr="000B521F" w:rsidRDefault="0015622A" w:rsidP="0059011D">
      <w:pPr>
        <w:spacing w:after="120" w:line="240" w:lineRule="auto"/>
        <w:rPr>
          <w:rFonts w:ascii="Times New Roman" w:hAnsi="Times New Roman" w:cs="Times New Roman"/>
          <w:b/>
          <w:sz w:val="24"/>
          <w:szCs w:val="24"/>
        </w:rPr>
      </w:pPr>
      <w:r w:rsidRPr="000B521F">
        <w:rPr>
          <w:rFonts w:ascii="Times New Roman" w:hAnsi="Times New Roman" w:cs="Times New Roman"/>
          <w:b/>
          <w:i/>
          <w:sz w:val="24"/>
          <w:szCs w:val="24"/>
        </w:rPr>
        <w:t>5.</w:t>
      </w:r>
      <w:r w:rsidR="007032DF" w:rsidRPr="000B521F">
        <w:rPr>
          <w:rFonts w:ascii="Times New Roman" w:hAnsi="Times New Roman" w:cs="Times New Roman"/>
          <w:b/>
          <w:i/>
          <w:sz w:val="24"/>
          <w:szCs w:val="24"/>
        </w:rPr>
        <w:t xml:space="preserve"> Nedostatečná kvalita řízení výzkumu na národní a institucionální úrovni</w:t>
      </w:r>
    </w:p>
    <w:p w:rsidR="007032DF" w:rsidRPr="000B521F" w:rsidRDefault="007032DF" w:rsidP="0059011D">
      <w:pPr>
        <w:autoSpaceDE w:val="0"/>
        <w:autoSpaceDN w:val="0"/>
        <w:adjustRightInd w:val="0"/>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Limitujícím faktorem pro realizaci kvalitního výzkumu jsou v ČR nedostatky ve strategickém řízení výzkumu na národní úrovni i na úrovni jednotlivých VaV institucí. </w:t>
      </w:r>
    </w:p>
    <w:p w:rsidR="008206A4" w:rsidRPr="000B521F" w:rsidRDefault="007032DF" w:rsidP="0059011D">
      <w:pPr>
        <w:pStyle w:val="Odstavecseseznamem"/>
        <w:numPr>
          <w:ilvl w:val="0"/>
          <w:numId w:val="77"/>
        </w:numPr>
        <w:autoSpaceDE w:val="0"/>
        <w:autoSpaceDN w:val="0"/>
        <w:adjustRightInd w:val="0"/>
        <w:spacing w:after="0" w:line="240" w:lineRule="auto"/>
        <w:ind w:left="284" w:hanging="284"/>
        <w:jc w:val="both"/>
        <w:rPr>
          <w:rFonts w:ascii="Times New Roman" w:hAnsi="Times New Roman" w:cs="Times New Roman"/>
          <w:sz w:val="24"/>
          <w:szCs w:val="24"/>
        </w:rPr>
      </w:pPr>
      <w:r w:rsidRPr="000B521F">
        <w:rPr>
          <w:rFonts w:ascii="Times New Roman" w:hAnsi="Times New Roman" w:cs="Times New Roman"/>
          <w:sz w:val="24"/>
          <w:szCs w:val="24"/>
        </w:rPr>
        <w:lastRenderedPageBreak/>
        <w:t>Systém hodnocení výzkumných organizací v ČR není optimální</w:t>
      </w:r>
      <w:r w:rsidRPr="000B521F">
        <w:rPr>
          <w:rStyle w:val="Znakapoznpodarou"/>
          <w:rFonts w:ascii="Times New Roman" w:hAnsi="Times New Roman" w:cs="Times New Roman"/>
          <w:sz w:val="24"/>
          <w:szCs w:val="24"/>
        </w:rPr>
        <w:footnoteReference w:id="43"/>
      </w:r>
      <w:r w:rsidRPr="000B521F">
        <w:rPr>
          <w:rFonts w:ascii="Times New Roman" w:hAnsi="Times New Roman" w:cs="Times New Roman"/>
          <w:sz w:val="24"/>
          <w:szCs w:val="24"/>
        </w:rPr>
        <w:t>. Po původním systému výzkumných záměrů byl v roce 2010 aplikován systém hodnocení výzkumných organizací nazývaný Metodika</w:t>
      </w:r>
      <w:r w:rsidRPr="000B521F">
        <w:rPr>
          <w:rStyle w:val="Znakapoznpodarou"/>
          <w:rFonts w:ascii="Times New Roman" w:hAnsi="Times New Roman" w:cs="Times New Roman"/>
          <w:sz w:val="24"/>
          <w:szCs w:val="24"/>
        </w:rPr>
        <w:footnoteReference w:id="44"/>
      </w:r>
      <w:r w:rsidRPr="000B521F">
        <w:rPr>
          <w:rFonts w:ascii="Times New Roman" w:hAnsi="Times New Roman" w:cs="Times New Roman"/>
          <w:sz w:val="24"/>
          <w:szCs w:val="24"/>
        </w:rPr>
        <w:t>, který je nyní založen na kombinaci hodnocení výstupů VaV zejm. v základním výzkumu (a u patentů) a na ekvivalentu vysoutěžených prostředků ve většině aplikovaného výzkumu. Pomocí tohoto systému se podařilo v posledních letech dosáhnout zvýšení kvantity některých výstupů (právě výše zmiňované publikace v impaktovaných časopisech a patenty), ale nyní je nutné jeho nastavení s větším důrazem na kvalitu výsledků a jejich skutečnou aplikaci v praxi. Systém hodnocení výzkumných organizací tak prochází v současnosti změnami založenými právě na zohlednění efektivity praktických dopadů prováděného výzkumu a zavedení prvku peer-review hodnocení vybraných výsledků hodnocené organizace.</w:t>
      </w:r>
    </w:p>
    <w:p w:rsidR="008206A4" w:rsidRPr="000B521F" w:rsidRDefault="007032DF" w:rsidP="0059011D">
      <w:pPr>
        <w:pStyle w:val="Odstavecseseznamem"/>
        <w:numPr>
          <w:ilvl w:val="0"/>
          <w:numId w:val="77"/>
        </w:numPr>
        <w:autoSpaceDE w:val="0"/>
        <w:autoSpaceDN w:val="0"/>
        <w:adjustRightInd w:val="0"/>
        <w:spacing w:after="0" w:line="240" w:lineRule="auto"/>
        <w:ind w:left="284" w:hanging="284"/>
        <w:jc w:val="both"/>
        <w:rPr>
          <w:rFonts w:ascii="Times New Roman" w:hAnsi="Times New Roman" w:cs="Times New Roman"/>
          <w:sz w:val="24"/>
          <w:szCs w:val="24"/>
        </w:rPr>
      </w:pPr>
      <w:r w:rsidRPr="000B521F">
        <w:rPr>
          <w:rFonts w:ascii="Times New Roman" w:hAnsi="Times New Roman" w:cs="Times New Roman"/>
          <w:sz w:val="24"/>
          <w:szCs w:val="24"/>
        </w:rPr>
        <w:t xml:space="preserve">Na národní úrovni též nebyly implementovány dlouhodobě platné systémy pro evaluaci nástrojů výzkumné a inovační politiky, pro spolupráci public-to-public v oblasti VaV a další systémy zefektivňující a stabilizující výzkumné prostředí. </w:t>
      </w:r>
    </w:p>
    <w:p w:rsidR="008206A4" w:rsidRPr="000B521F" w:rsidRDefault="007032DF" w:rsidP="0059011D">
      <w:pPr>
        <w:pStyle w:val="Odstavecseseznamem"/>
        <w:numPr>
          <w:ilvl w:val="0"/>
          <w:numId w:val="77"/>
        </w:numPr>
        <w:autoSpaceDE w:val="0"/>
        <w:autoSpaceDN w:val="0"/>
        <w:adjustRightInd w:val="0"/>
        <w:spacing w:after="0" w:line="240" w:lineRule="auto"/>
        <w:ind w:left="284" w:hanging="284"/>
        <w:jc w:val="both"/>
        <w:rPr>
          <w:rFonts w:ascii="Times New Roman" w:hAnsi="Times New Roman" w:cs="Times New Roman"/>
          <w:sz w:val="24"/>
          <w:szCs w:val="24"/>
        </w:rPr>
      </w:pPr>
      <w:r w:rsidRPr="000B521F">
        <w:rPr>
          <w:rFonts w:ascii="Times New Roman" w:hAnsi="Times New Roman" w:cs="Times New Roman"/>
          <w:sz w:val="24"/>
          <w:szCs w:val="24"/>
        </w:rPr>
        <w:t>Na úrovni výzkumných organizací přetrvávají nedostatky ve strategickém a projektovém řízení projevující se v nedostatečném strategickém směrování výzkumné činnosti, omezených motivačních podmínkách pro kariérní růst mladých talentů a pro realizaci ambiciózního výzkumu či málo rozvinutých podpůrných službách pro realizaci vysoce kvalitního výzkumu a pro internacionalizaci výzkumných aktivit.</w:t>
      </w:r>
    </w:p>
    <w:p w:rsidR="007032DF" w:rsidRPr="000B521F" w:rsidRDefault="006363EB" w:rsidP="0059011D">
      <w:pPr>
        <w:spacing w:after="120" w:line="240" w:lineRule="auto"/>
        <w:jc w:val="both"/>
        <w:rPr>
          <w:rFonts w:ascii="Times New Roman" w:hAnsi="Times New Roman" w:cs="Times New Roman"/>
          <w:i/>
          <w:sz w:val="24"/>
          <w:szCs w:val="24"/>
        </w:rPr>
      </w:pPr>
      <w:r w:rsidRPr="000B521F">
        <w:rPr>
          <w:rFonts w:ascii="Times New Roman" w:hAnsi="Times New Roman" w:cs="Times New Roman"/>
          <w:i/>
          <w:sz w:val="24"/>
          <w:szCs w:val="24"/>
        </w:rPr>
        <w:t>P</w:t>
      </w:r>
      <w:r w:rsidR="007032DF" w:rsidRPr="000B521F">
        <w:rPr>
          <w:rFonts w:ascii="Times New Roman" w:hAnsi="Times New Roman" w:cs="Times New Roman"/>
          <w:i/>
          <w:sz w:val="24"/>
          <w:szCs w:val="24"/>
        </w:rPr>
        <w:t>otřeby</w:t>
      </w:r>
      <w:r w:rsidRPr="000B521F">
        <w:rPr>
          <w:rFonts w:ascii="Times New Roman" w:hAnsi="Times New Roman" w:cs="Times New Roman"/>
          <w:i/>
          <w:sz w:val="24"/>
          <w:szCs w:val="24"/>
        </w:rPr>
        <w:t xml:space="preserve"> rozvoje</w:t>
      </w:r>
      <w:r w:rsidR="007032DF" w:rsidRPr="000B521F">
        <w:rPr>
          <w:rFonts w:ascii="Times New Roman" w:hAnsi="Times New Roman" w:cs="Times New Roman"/>
          <w:i/>
          <w:sz w:val="24"/>
          <w:szCs w:val="24"/>
        </w:rPr>
        <w:t>:</w:t>
      </w:r>
    </w:p>
    <w:p w:rsidR="008206A4" w:rsidRPr="000B521F" w:rsidRDefault="007032DF" w:rsidP="0059011D">
      <w:pPr>
        <w:pStyle w:val="Odstavecseseznamem"/>
        <w:numPr>
          <w:ilvl w:val="0"/>
          <w:numId w:val="77"/>
        </w:numPr>
        <w:autoSpaceDE w:val="0"/>
        <w:autoSpaceDN w:val="0"/>
        <w:adjustRightInd w:val="0"/>
        <w:spacing w:after="0" w:line="240" w:lineRule="auto"/>
        <w:ind w:left="284" w:hanging="284"/>
        <w:jc w:val="both"/>
        <w:rPr>
          <w:rFonts w:ascii="Times New Roman" w:hAnsi="Times New Roman" w:cs="Times New Roman"/>
          <w:sz w:val="24"/>
          <w:szCs w:val="24"/>
        </w:rPr>
      </w:pPr>
      <w:r w:rsidRPr="000B521F">
        <w:rPr>
          <w:rFonts w:ascii="Times New Roman" w:hAnsi="Times New Roman" w:cs="Times New Roman"/>
          <w:sz w:val="24"/>
          <w:szCs w:val="24"/>
        </w:rPr>
        <w:t>Vytvořit a zavést systémové nástroje strategického řízení výzkumu na národní úrovni a na úrovni jednotlivých výzkumných organizací. V souladu se Specifickými doporučeními Rady k NPR 2013 tak zvýšit podíl finančních prostředků přidělovaných výzkumným institucím podle jejich výkonu.</w:t>
      </w:r>
    </w:p>
    <w:p w:rsidR="0029267A" w:rsidRPr="000B521F" w:rsidRDefault="0029267A" w:rsidP="0059011D">
      <w:pPr>
        <w:pStyle w:val="Odstavecseseznamem"/>
        <w:autoSpaceDE w:val="0"/>
        <w:autoSpaceDN w:val="0"/>
        <w:adjustRightInd w:val="0"/>
        <w:spacing w:after="0" w:line="240" w:lineRule="auto"/>
        <w:ind w:left="0"/>
        <w:jc w:val="both"/>
        <w:rPr>
          <w:rFonts w:ascii="Times New Roman" w:hAnsi="Times New Roman" w:cs="Times New Roman"/>
          <w:sz w:val="24"/>
          <w:szCs w:val="24"/>
        </w:rPr>
      </w:pPr>
    </w:p>
    <w:p w:rsidR="006363EB" w:rsidRPr="000B521F" w:rsidRDefault="0015622A" w:rsidP="0059011D">
      <w:pPr>
        <w:pStyle w:val="Normln1"/>
        <w:spacing w:after="0" w:line="240" w:lineRule="auto"/>
        <w:rPr>
          <w:rFonts w:ascii="Times New Roman" w:hAnsi="Times New Roman" w:cs="Times New Roman"/>
          <w:b/>
          <w:i/>
          <w:sz w:val="24"/>
        </w:rPr>
      </w:pPr>
      <w:r w:rsidRPr="000B521F">
        <w:rPr>
          <w:rFonts w:ascii="Times New Roman" w:hAnsi="Times New Roman" w:cs="Times New Roman"/>
          <w:b/>
          <w:i/>
          <w:sz w:val="24"/>
        </w:rPr>
        <w:t>6.</w:t>
      </w:r>
      <w:r w:rsidR="00996E1E" w:rsidRPr="000B521F">
        <w:rPr>
          <w:rFonts w:ascii="Times New Roman" w:hAnsi="Times New Roman" w:cs="Times New Roman"/>
          <w:b/>
          <w:i/>
          <w:sz w:val="24"/>
        </w:rPr>
        <w:t xml:space="preserve"> Nedostatečné využívání výsledků VaV v o</w:t>
      </w:r>
      <w:r w:rsidR="0029267A" w:rsidRPr="000B521F">
        <w:rPr>
          <w:rFonts w:ascii="Times New Roman" w:hAnsi="Times New Roman" w:cs="Times New Roman"/>
          <w:b/>
          <w:i/>
          <w:sz w:val="24"/>
        </w:rPr>
        <w:t>blast zemědělství</w:t>
      </w:r>
    </w:p>
    <w:p w:rsidR="00AD4618" w:rsidRPr="000B521F" w:rsidRDefault="0029267A" w:rsidP="00264AE0">
      <w:pPr>
        <w:pStyle w:val="Normln1"/>
        <w:spacing w:after="0" w:line="240" w:lineRule="auto"/>
        <w:jc w:val="both"/>
        <w:rPr>
          <w:rFonts w:ascii="Times New Roman" w:hAnsi="Times New Roman" w:cs="Times New Roman"/>
          <w:sz w:val="24"/>
        </w:rPr>
      </w:pPr>
      <w:r w:rsidRPr="000B521F">
        <w:rPr>
          <w:rFonts w:ascii="Times New Roman" w:hAnsi="Times New Roman" w:cs="Times New Roman"/>
          <w:sz w:val="24"/>
        </w:rPr>
        <w:t>Obecný stav VaV se plně promítá i v oblasti zemědělství i přesto, že zde existuje dlouhodobě specifický resortní výzkum. Velkým problémem existujících systémů transferu znalostí je jejich roztříštěnost, nepružnost a rovněž neochota podnikatelské sféry podílet se na nákladech spojených s transferem znalostí.  V této oblasti vidíme příležitost pro uplatnění principů Evropského inovativního partnerství a vznik a rozvoj činnosti jeho operačních skupin</w:t>
      </w:r>
      <w:r w:rsidR="00535D8E">
        <w:rPr>
          <w:rFonts w:ascii="Times New Roman" w:hAnsi="Times New Roman" w:cs="Times New Roman"/>
          <w:sz w:val="24"/>
        </w:rPr>
        <w:t>.</w:t>
      </w:r>
    </w:p>
    <w:p w:rsidR="0029267A" w:rsidRPr="000B521F" w:rsidRDefault="0029267A" w:rsidP="0059011D">
      <w:pPr>
        <w:pStyle w:val="Normln1"/>
        <w:spacing w:after="0" w:line="240" w:lineRule="auto"/>
        <w:rPr>
          <w:rFonts w:ascii="Times New Roman" w:hAnsi="Times New Roman" w:cs="Times New Roman"/>
          <w:sz w:val="24"/>
        </w:rPr>
      </w:pPr>
    </w:p>
    <w:p w:rsidR="0029267A" w:rsidRPr="000B521F" w:rsidRDefault="0029267A" w:rsidP="0059011D">
      <w:pPr>
        <w:spacing w:after="120" w:line="240" w:lineRule="auto"/>
        <w:jc w:val="both"/>
        <w:rPr>
          <w:rFonts w:ascii="Times New Roman" w:hAnsi="Times New Roman" w:cs="Times New Roman"/>
          <w:i/>
          <w:sz w:val="24"/>
          <w:szCs w:val="24"/>
        </w:rPr>
      </w:pPr>
      <w:r w:rsidRPr="000B521F">
        <w:rPr>
          <w:rFonts w:ascii="Times New Roman" w:hAnsi="Times New Roman" w:cs="Times New Roman"/>
          <w:i/>
          <w:sz w:val="24"/>
          <w:szCs w:val="24"/>
        </w:rPr>
        <w:t>Potřeba rozvoje</w:t>
      </w:r>
      <w:r w:rsidR="00E922B2" w:rsidRPr="000B521F">
        <w:rPr>
          <w:rFonts w:ascii="Times New Roman" w:hAnsi="Times New Roman" w:cs="Times New Roman"/>
          <w:i/>
          <w:sz w:val="24"/>
          <w:szCs w:val="24"/>
        </w:rPr>
        <w:t>:</w:t>
      </w:r>
    </w:p>
    <w:p w:rsidR="008206A4" w:rsidRPr="000B521F" w:rsidRDefault="0029267A" w:rsidP="0059011D">
      <w:pPr>
        <w:pStyle w:val="Odstavecseseznamem"/>
        <w:numPr>
          <w:ilvl w:val="0"/>
          <w:numId w:val="105"/>
        </w:numPr>
        <w:tabs>
          <w:tab w:val="left" w:pos="851"/>
        </w:tabs>
        <w:autoSpaceDE w:val="0"/>
        <w:autoSpaceDN w:val="0"/>
        <w:adjustRightInd w:val="0"/>
        <w:spacing w:after="0" w:line="240" w:lineRule="auto"/>
        <w:ind w:left="851"/>
        <w:jc w:val="both"/>
        <w:rPr>
          <w:rFonts w:ascii="Times New Roman" w:hAnsi="Times New Roman" w:cs="Times New Roman"/>
          <w:sz w:val="24"/>
          <w:szCs w:val="24"/>
        </w:rPr>
      </w:pPr>
      <w:r w:rsidRPr="000B521F">
        <w:rPr>
          <w:rFonts w:ascii="Times New Roman" w:hAnsi="Times New Roman" w:cs="Times New Roman"/>
          <w:sz w:val="24"/>
          <w:szCs w:val="24"/>
        </w:rPr>
        <w:t>Úzkou spoluprací praxe s výzkumem podpořit adaptaci výsledků výzkumu na konkrétní potřeby, využít inovace pro zvýšení přidané hodnoty a urychlit zavedení nejmodernějších poznatků ochrany životního prostředí do praxe.</w:t>
      </w:r>
    </w:p>
    <w:p w:rsidR="008206A4" w:rsidRPr="000B521F" w:rsidRDefault="00403868" w:rsidP="0059011D">
      <w:pPr>
        <w:pStyle w:val="Odstavecseseznamem"/>
        <w:numPr>
          <w:ilvl w:val="0"/>
          <w:numId w:val="105"/>
        </w:numPr>
        <w:tabs>
          <w:tab w:val="left" w:pos="851"/>
        </w:tabs>
        <w:autoSpaceDE w:val="0"/>
        <w:autoSpaceDN w:val="0"/>
        <w:adjustRightInd w:val="0"/>
        <w:spacing w:after="0" w:line="240" w:lineRule="auto"/>
        <w:ind w:left="851"/>
        <w:jc w:val="both"/>
        <w:rPr>
          <w:rFonts w:ascii="Times New Roman" w:hAnsi="Times New Roman" w:cs="Times New Roman"/>
          <w:sz w:val="24"/>
          <w:szCs w:val="24"/>
        </w:rPr>
      </w:pPr>
      <w:r w:rsidRPr="000B521F">
        <w:rPr>
          <w:rFonts w:ascii="Times New Roman" w:hAnsi="Times New Roman" w:cs="Times New Roman"/>
          <w:sz w:val="24"/>
          <w:szCs w:val="24"/>
        </w:rPr>
        <w:t xml:space="preserve">Umožnit poskytování poradenských služeb </w:t>
      </w:r>
      <w:r w:rsidR="00DC3561" w:rsidRPr="000B521F">
        <w:rPr>
          <w:rFonts w:ascii="Times New Roman" w:hAnsi="Times New Roman" w:cs="Times New Roman"/>
          <w:sz w:val="24"/>
          <w:szCs w:val="24"/>
        </w:rPr>
        <w:t>využívajících</w:t>
      </w:r>
      <w:r w:rsidR="0000216D" w:rsidRPr="000B521F">
        <w:rPr>
          <w:rFonts w:ascii="Times New Roman" w:hAnsi="Times New Roman" w:cs="Times New Roman"/>
          <w:sz w:val="24"/>
          <w:szCs w:val="24"/>
        </w:rPr>
        <w:t xml:space="preserve"> výsledků VaV v zemědělství a lesnictví</w:t>
      </w:r>
      <w:r w:rsidR="00DC3561" w:rsidRPr="000B521F">
        <w:rPr>
          <w:rFonts w:ascii="Times New Roman" w:hAnsi="Times New Roman" w:cs="Times New Roman"/>
          <w:sz w:val="24"/>
          <w:szCs w:val="24"/>
        </w:rPr>
        <w:t>, zahrnujících aktuální témata</w:t>
      </w:r>
      <w:r w:rsidR="00264AE0">
        <w:rPr>
          <w:rFonts w:ascii="Times New Roman" w:hAnsi="Times New Roman" w:cs="Times New Roman"/>
          <w:sz w:val="24"/>
          <w:szCs w:val="24"/>
        </w:rPr>
        <w:t>.</w:t>
      </w:r>
    </w:p>
    <w:p w:rsidR="0029267A" w:rsidRPr="000B521F" w:rsidRDefault="0000216D" w:rsidP="0059011D">
      <w:pPr>
        <w:pStyle w:val="Odstavecseseznamem"/>
        <w:numPr>
          <w:ilvl w:val="0"/>
          <w:numId w:val="105"/>
        </w:numPr>
        <w:spacing w:after="0" w:line="240" w:lineRule="auto"/>
        <w:ind w:left="851" w:hanging="425"/>
        <w:rPr>
          <w:rFonts w:ascii="Times New Roman" w:eastAsia="Times New Roman" w:hAnsi="Times New Roman" w:cs="Times New Roman"/>
          <w:sz w:val="24"/>
          <w:szCs w:val="24"/>
          <w:lang w:eastAsia="cs-CZ"/>
        </w:rPr>
      </w:pPr>
      <w:r w:rsidRPr="000B521F">
        <w:rPr>
          <w:rFonts w:ascii="Times New Roman" w:hAnsi="Times New Roman" w:cs="Times New Roman"/>
          <w:sz w:val="24"/>
          <w:szCs w:val="24"/>
        </w:rPr>
        <w:t>Vznik a rozvoj činnosti operačních skupin</w:t>
      </w:r>
      <w:r w:rsidR="00DC3561" w:rsidRPr="000B521F">
        <w:rPr>
          <w:rFonts w:ascii="Times New Roman" w:hAnsi="Times New Roman" w:cs="Times New Roman"/>
          <w:sz w:val="24"/>
          <w:szCs w:val="24"/>
        </w:rPr>
        <w:t xml:space="preserve"> podle</w:t>
      </w:r>
      <w:r w:rsidRPr="000B521F">
        <w:rPr>
          <w:rFonts w:ascii="Times New Roman" w:hAnsi="Times New Roman" w:cs="Times New Roman"/>
          <w:sz w:val="24"/>
          <w:szCs w:val="24"/>
        </w:rPr>
        <w:t xml:space="preserve"> principů Evropského inovativního partnerství</w:t>
      </w:r>
      <w:r w:rsidR="00264AE0">
        <w:rPr>
          <w:rFonts w:ascii="Times New Roman" w:hAnsi="Times New Roman" w:cs="Times New Roman"/>
          <w:sz w:val="24"/>
          <w:szCs w:val="24"/>
        </w:rPr>
        <w:t>.</w:t>
      </w:r>
    </w:p>
    <w:p w:rsidR="0029267A" w:rsidRPr="000B521F" w:rsidRDefault="0029267A" w:rsidP="0059011D">
      <w:pPr>
        <w:pStyle w:val="Normln1"/>
        <w:spacing w:after="0" w:line="240" w:lineRule="auto"/>
        <w:rPr>
          <w:rFonts w:ascii="Times New Roman" w:hAnsi="Times New Roman" w:cs="Times New Roman"/>
          <w:b/>
          <w:sz w:val="24"/>
        </w:rPr>
      </w:pPr>
    </w:p>
    <w:p w:rsidR="00AD4618" w:rsidRPr="000B521F" w:rsidRDefault="00AD4618" w:rsidP="005B6699">
      <w:pPr>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Specifické potřeby a výzvy přeshraničních regionů:</w:t>
      </w:r>
    </w:p>
    <w:p w:rsidR="008206A4" w:rsidRPr="000B521F" w:rsidRDefault="00B410AB" w:rsidP="005B6699">
      <w:pPr>
        <w:pStyle w:val="Odstavecseseznamem"/>
        <w:numPr>
          <w:ilvl w:val="0"/>
          <w:numId w:val="96"/>
        </w:numPr>
        <w:spacing w:after="120" w:line="240" w:lineRule="auto"/>
        <w:ind w:left="714" w:hanging="357"/>
        <w:jc w:val="both"/>
        <w:rPr>
          <w:rFonts w:ascii="Times New Roman" w:hAnsi="Times New Roman" w:cs="Times New Roman"/>
          <w:sz w:val="24"/>
          <w:szCs w:val="24"/>
        </w:rPr>
      </w:pPr>
      <w:r w:rsidRPr="000B521F">
        <w:rPr>
          <w:rFonts w:ascii="Times New Roman" w:hAnsi="Times New Roman" w:cs="Times New Roman"/>
          <w:sz w:val="24"/>
          <w:szCs w:val="24"/>
        </w:rPr>
        <w:lastRenderedPageBreak/>
        <w:t>Vysokým potenciálem je zejména sdílení VaI infrastruktury, jež je zpravidla velmi nákladná a její přeshraniční využití/sdílení tak přináší značné úspory z rozsahu a současně zvyšuje potenciál pro další rozšiřování kapacit VaI v příhraničí.</w:t>
      </w:r>
    </w:p>
    <w:p w:rsidR="008206A4" w:rsidRPr="000B521F" w:rsidRDefault="00B410AB" w:rsidP="005B6699">
      <w:pPr>
        <w:pStyle w:val="Odstavecseseznamem"/>
        <w:numPr>
          <w:ilvl w:val="0"/>
          <w:numId w:val="96"/>
        </w:numPr>
        <w:spacing w:after="120" w:line="240" w:lineRule="auto"/>
        <w:ind w:left="714" w:hanging="357"/>
        <w:jc w:val="both"/>
        <w:rPr>
          <w:rFonts w:ascii="Times New Roman" w:hAnsi="Times New Roman" w:cs="Times New Roman"/>
          <w:b/>
          <w:sz w:val="24"/>
          <w:szCs w:val="24"/>
        </w:rPr>
      </w:pPr>
      <w:r w:rsidRPr="000B521F">
        <w:rPr>
          <w:rFonts w:ascii="Times New Roman" w:hAnsi="Times New Roman" w:cs="Times New Roman"/>
          <w:sz w:val="24"/>
          <w:szCs w:val="24"/>
        </w:rPr>
        <w:t xml:space="preserve">Spolupráce specializací a odborných týmů existujících na obou stranách hranice skýtá vysoký potenciál v oblasti základního i aplikovaného výzkumu (zvýšení účasti MSP na výsledcích VaI, využití v praxi, pozitivní dopady na trh práce, dodavatelské vztahy, atp.). </w:t>
      </w:r>
    </w:p>
    <w:p w:rsidR="007032DF" w:rsidRPr="000B521F" w:rsidRDefault="007032DF" w:rsidP="0059011D">
      <w:pPr>
        <w:pStyle w:val="Tabulka"/>
        <w:spacing w:before="120" w:after="60"/>
        <w:rPr>
          <w:szCs w:val="20"/>
        </w:rPr>
      </w:pPr>
      <w:r w:rsidRPr="000B521F">
        <w:rPr>
          <w:szCs w:val="20"/>
        </w:rPr>
        <w:t>Vazby na dokumenty EU</w:t>
      </w:r>
    </w:p>
    <w:p w:rsidR="007032DF" w:rsidRPr="0059011D" w:rsidRDefault="007032DF" w:rsidP="00264AE0">
      <w:pPr>
        <w:spacing w:after="120" w:line="240" w:lineRule="auto"/>
        <w:jc w:val="both"/>
        <w:rPr>
          <w:rFonts w:ascii="Times New Roman" w:hAnsi="Times New Roman" w:cs="Times New Roman"/>
          <w:sz w:val="24"/>
          <w:szCs w:val="24"/>
        </w:rPr>
      </w:pPr>
      <w:r w:rsidRPr="0059011D">
        <w:rPr>
          <w:rFonts w:ascii="Times New Roman" w:hAnsi="Times New Roman" w:cs="Times New Roman"/>
          <w:sz w:val="24"/>
          <w:szCs w:val="24"/>
        </w:rPr>
        <w:t xml:space="preserve">Identifikované potřeby rozvoje jsou v souladu s relevantními dokumenty EU. Zvýšení efektivity veřejných investic do VaV včetně podpory spolupráce mezi veřejnými výzkumnými organizacemi a podniky přispěje k dosažení cílů Strategie Evropa2020 – bez adekvátního zvýšení podnikových výdajů na VaV by nebylo možné dosáhnout cíle 3% HDP při stávajícím stavu veřejných financí. Současně pro zvýšení inovační výkonnosti ČR je nezbytné efektivní fungování veřejných výzkumných institucí, větší využití výsledků VaV (zejména komercializace) v praxi a také větší míra spolupráce veřejného a soukromého sektoru. </w:t>
      </w:r>
    </w:p>
    <w:tbl>
      <w:tblPr>
        <w:tblW w:w="8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1682"/>
        <w:gridCol w:w="7196"/>
      </w:tblGrid>
      <w:tr w:rsidR="007032DF" w:rsidRPr="000B521F" w:rsidTr="00761093">
        <w:trPr>
          <w:trHeight w:val="310"/>
        </w:trPr>
        <w:tc>
          <w:tcPr>
            <w:tcW w:w="1682" w:type="dxa"/>
            <w:shd w:val="clear" w:color="auto" w:fill="8DB3E2" w:themeFill="text2" w:themeFillTint="66"/>
            <w:tcMar>
              <w:top w:w="100" w:type="dxa"/>
              <w:left w:w="108" w:type="dxa"/>
              <w:bottom w:w="100" w:type="dxa"/>
              <w:right w:w="108" w:type="dxa"/>
            </w:tcMar>
            <w:vAlign w:val="center"/>
          </w:tcPr>
          <w:p w:rsidR="007032DF" w:rsidRPr="000B521F" w:rsidRDefault="007032DF" w:rsidP="0059011D">
            <w:pPr>
              <w:pStyle w:val="Normln1"/>
              <w:spacing w:before="60" w:after="60" w:line="240" w:lineRule="auto"/>
              <w:rPr>
                <w:rFonts w:ascii="Times New Roman" w:hAnsi="Times New Roman" w:cs="Times New Roman"/>
                <w:sz w:val="20"/>
                <w:szCs w:val="20"/>
              </w:rPr>
            </w:pPr>
            <w:r w:rsidRPr="000B521F">
              <w:rPr>
                <w:rFonts w:ascii="Times New Roman" w:hAnsi="Times New Roman" w:cs="Times New Roman"/>
                <w:b/>
                <w:sz w:val="20"/>
                <w:szCs w:val="20"/>
              </w:rPr>
              <w:t>Strategie Evropa 2020</w:t>
            </w:r>
          </w:p>
        </w:tc>
        <w:tc>
          <w:tcPr>
            <w:tcW w:w="7196" w:type="dxa"/>
            <w:tcMar>
              <w:top w:w="100" w:type="dxa"/>
              <w:left w:w="108" w:type="dxa"/>
              <w:bottom w:w="100" w:type="dxa"/>
              <w:right w:w="108" w:type="dxa"/>
            </w:tcMar>
            <w:vAlign w:val="center"/>
          </w:tcPr>
          <w:p w:rsidR="007032DF" w:rsidRPr="000B521F" w:rsidRDefault="007032DF" w:rsidP="0059011D">
            <w:pPr>
              <w:pStyle w:val="Normln1"/>
              <w:spacing w:before="60" w:after="60" w:line="240" w:lineRule="auto"/>
              <w:jc w:val="both"/>
              <w:rPr>
                <w:rFonts w:ascii="Times New Roman" w:hAnsi="Times New Roman" w:cs="Times New Roman"/>
                <w:sz w:val="20"/>
                <w:szCs w:val="20"/>
              </w:rPr>
            </w:pPr>
            <w:r w:rsidRPr="000B521F">
              <w:rPr>
                <w:rFonts w:ascii="Times New Roman" w:hAnsi="Times New Roman" w:cs="Times New Roman"/>
                <w:sz w:val="20"/>
                <w:szCs w:val="20"/>
              </w:rPr>
              <w:t xml:space="preserve">Dosáhnout cíle investovat do výzkumu a vývoje 3 % HDP, zejména zlepšováním podmínek pro investice soukromého sektoru do výzkumu a vývoje, efektivnějšího zaměření veřejných investic do VaV a využitím nových ukazatelů pro sledování inovací. </w:t>
            </w:r>
          </w:p>
        </w:tc>
      </w:tr>
      <w:tr w:rsidR="007032DF" w:rsidRPr="000B521F" w:rsidTr="00761093">
        <w:trPr>
          <w:trHeight w:val="6455"/>
        </w:trPr>
        <w:tc>
          <w:tcPr>
            <w:tcW w:w="1682" w:type="dxa"/>
            <w:shd w:val="clear" w:color="auto" w:fill="8DB3E2" w:themeFill="text2" w:themeFillTint="66"/>
            <w:tcMar>
              <w:top w:w="100" w:type="dxa"/>
              <w:left w:w="108" w:type="dxa"/>
              <w:bottom w:w="100" w:type="dxa"/>
              <w:right w:w="108" w:type="dxa"/>
            </w:tcMar>
            <w:vAlign w:val="center"/>
          </w:tcPr>
          <w:p w:rsidR="007032DF" w:rsidRPr="000B521F" w:rsidRDefault="007032DF" w:rsidP="0059011D">
            <w:pPr>
              <w:pStyle w:val="Normln1"/>
              <w:spacing w:before="60" w:after="60" w:line="240" w:lineRule="auto"/>
              <w:rPr>
                <w:rFonts w:ascii="Times New Roman" w:hAnsi="Times New Roman" w:cs="Times New Roman"/>
                <w:sz w:val="20"/>
                <w:szCs w:val="20"/>
              </w:rPr>
            </w:pPr>
            <w:r w:rsidRPr="000B521F">
              <w:rPr>
                <w:rFonts w:ascii="Times New Roman" w:hAnsi="Times New Roman" w:cs="Times New Roman"/>
                <w:b/>
                <w:sz w:val="20"/>
                <w:szCs w:val="20"/>
              </w:rPr>
              <w:t>Společný strategický rámec</w:t>
            </w:r>
          </w:p>
        </w:tc>
        <w:tc>
          <w:tcPr>
            <w:tcW w:w="7196" w:type="dxa"/>
            <w:tcMar>
              <w:top w:w="100" w:type="dxa"/>
              <w:left w:w="108" w:type="dxa"/>
              <w:bottom w:w="100" w:type="dxa"/>
              <w:right w:w="108" w:type="dxa"/>
            </w:tcMar>
            <w:vAlign w:val="center"/>
          </w:tcPr>
          <w:p w:rsidR="007032DF" w:rsidRPr="000B521F" w:rsidRDefault="007032DF" w:rsidP="0059011D">
            <w:pPr>
              <w:pStyle w:val="Normln1"/>
              <w:spacing w:before="60" w:after="60" w:line="240" w:lineRule="auto"/>
              <w:jc w:val="both"/>
              <w:rPr>
                <w:rFonts w:ascii="Times New Roman" w:hAnsi="Times New Roman" w:cs="Times New Roman"/>
                <w:sz w:val="20"/>
                <w:szCs w:val="20"/>
              </w:rPr>
            </w:pPr>
            <w:r w:rsidRPr="000B521F">
              <w:rPr>
                <w:rFonts w:ascii="Times New Roman" w:hAnsi="Times New Roman" w:cs="Times New Roman"/>
                <w:sz w:val="20"/>
                <w:szCs w:val="20"/>
              </w:rPr>
              <w:t>Příloha 1, 4.3 - Horizont 2020 a ostatní centrálně řízené programy EU v oblastech výzkumu a inovací: přijetí doplňkových opatření, zaměřených na uvolnění jejich potenciálu pro excelenci, výzkum a inovace způsobem, který je doplňkový a vytváří synergie s programem Horizon 2020, zejména prostřednictvím společného financování:</w:t>
            </w:r>
          </w:p>
          <w:p w:rsidR="008206A4" w:rsidRPr="000B521F" w:rsidRDefault="007032DF" w:rsidP="0059011D">
            <w:pPr>
              <w:pStyle w:val="Normln1"/>
              <w:numPr>
                <w:ilvl w:val="0"/>
                <w:numId w:val="73"/>
              </w:numPr>
              <w:spacing w:before="40" w:after="40" w:line="240" w:lineRule="auto"/>
              <w:ind w:left="318" w:hanging="260"/>
              <w:jc w:val="both"/>
              <w:rPr>
                <w:rFonts w:ascii="Times New Roman" w:hAnsi="Times New Roman" w:cs="Times New Roman"/>
                <w:sz w:val="20"/>
                <w:szCs w:val="20"/>
              </w:rPr>
            </w:pPr>
            <w:r w:rsidRPr="000B521F">
              <w:rPr>
                <w:rFonts w:ascii="Times New Roman" w:hAnsi="Times New Roman" w:cs="Times New Roman"/>
                <w:sz w:val="20"/>
                <w:szCs w:val="20"/>
              </w:rPr>
              <w:t>propojování nových center excelence a inovativních regionů v méně vyvinutých a z pohledu VaV v méně výkonných členských státech se špičkovými partnery kdekoli v Evropě;</w:t>
            </w:r>
          </w:p>
          <w:p w:rsidR="008206A4" w:rsidRPr="000B521F" w:rsidRDefault="007032DF" w:rsidP="0059011D">
            <w:pPr>
              <w:pStyle w:val="Normln1"/>
              <w:numPr>
                <w:ilvl w:val="0"/>
                <w:numId w:val="73"/>
              </w:numPr>
              <w:spacing w:before="40" w:after="40" w:line="240" w:lineRule="auto"/>
              <w:ind w:left="318" w:hanging="260"/>
              <w:jc w:val="both"/>
              <w:rPr>
                <w:rFonts w:ascii="Times New Roman" w:hAnsi="Times New Roman" w:cs="Times New Roman"/>
                <w:sz w:val="20"/>
                <w:szCs w:val="20"/>
              </w:rPr>
            </w:pPr>
            <w:r w:rsidRPr="000B521F">
              <w:rPr>
                <w:rFonts w:ascii="Times New Roman" w:hAnsi="Times New Roman" w:cs="Times New Roman"/>
                <w:sz w:val="20"/>
                <w:szCs w:val="20"/>
              </w:rPr>
              <w:t>vytváření vazeb s inovativními klastry a oceňování excelence v méně rozvinutých regionech;</w:t>
            </w:r>
          </w:p>
          <w:p w:rsidR="008206A4" w:rsidRPr="000B521F" w:rsidRDefault="007032DF" w:rsidP="0059011D">
            <w:pPr>
              <w:pStyle w:val="Normln1"/>
              <w:numPr>
                <w:ilvl w:val="0"/>
                <w:numId w:val="73"/>
              </w:numPr>
              <w:spacing w:before="40" w:after="40" w:line="240" w:lineRule="auto"/>
              <w:ind w:left="318" w:hanging="260"/>
              <w:jc w:val="both"/>
              <w:rPr>
                <w:rFonts w:ascii="Times New Roman" w:hAnsi="Times New Roman" w:cs="Times New Roman"/>
                <w:sz w:val="20"/>
                <w:szCs w:val="20"/>
              </w:rPr>
            </w:pPr>
            <w:r w:rsidRPr="000B521F">
              <w:rPr>
                <w:rFonts w:ascii="Times New Roman" w:hAnsi="Times New Roman" w:cs="Times New Roman"/>
                <w:sz w:val="20"/>
                <w:szCs w:val="20"/>
              </w:rPr>
              <w:t xml:space="preserve">vytváření "ERA Chairs" za účelem přilákání vynikajících akademiků, zejména do méně rozvinutých regionů; </w:t>
            </w:r>
          </w:p>
          <w:p w:rsidR="008206A4" w:rsidRPr="000B521F" w:rsidRDefault="007032DF" w:rsidP="0059011D">
            <w:pPr>
              <w:pStyle w:val="Normln1"/>
              <w:numPr>
                <w:ilvl w:val="0"/>
                <w:numId w:val="73"/>
              </w:numPr>
              <w:spacing w:before="40" w:after="40" w:line="240" w:lineRule="auto"/>
              <w:ind w:left="318" w:hanging="260"/>
              <w:jc w:val="both"/>
              <w:rPr>
                <w:rFonts w:ascii="Times New Roman" w:hAnsi="Times New Roman" w:cs="Times New Roman"/>
                <w:sz w:val="20"/>
                <w:szCs w:val="20"/>
              </w:rPr>
            </w:pPr>
            <w:r w:rsidRPr="000B521F">
              <w:rPr>
                <w:rFonts w:ascii="Times New Roman" w:hAnsi="Times New Roman" w:cs="Times New Roman"/>
                <w:sz w:val="20"/>
                <w:szCs w:val="20"/>
              </w:rPr>
              <w:t>podpora přístupu k mezinárodním sítím výzkumníků a inovátorů, kteří jsou zapojeni do ERA, nebo z méně rozvinutých regionů;</w:t>
            </w:r>
          </w:p>
          <w:p w:rsidR="008206A4" w:rsidRPr="000B521F" w:rsidRDefault="007032DF" w:rsidP="0059011D">
            <w:pPr>
              <w:pStyle w:val="Normln1"/>
              <w:numPr>
                <w:ilvl w:val="0"/>
                <w:numId w:val="73"/>
              </w:numPr>
              <w:spacing w:before="40" w:after="40" w:line="240" w:lineRule="auto"/>
              <w:ind w:left="318" w:hanging="260"/>
              <w:jc w:val="both"/>
              <w:rPr>
                <w:rFonts w:ascii="Times New Roman" w:hAnsi="Times New Roman" w:cs="Times New Roman"/>
                <w:sz w:val="20"/>
                <w:szCs w:val="20"/>
              </w:rPr>
            </w:pPr>
            <w:r w:rsidRPr="000B521F">
              <w:rPr>
                <w:rFonts w:ascii="Times New Roman" w:hAnsi="Times New Roman" w:cs="Times New Roman"/>
                <w:sz w:val="20"/>
                <w:szCs w:val="20"/>
              </w:rPr>
              <w:t>podle možností přispívat k</w:t>
            </w:r>
            <w:r w:rsidR="00DA1222" w:rsidRPr="000B521F">
              <w:rPr>
                <w:rFonts w:ascii="Times New Roman" w:hAnsi="Times New Roman" w:cs="Times New Roman"/>
                <w:sz w:val="20"/>
                <w:szCs w:val="20"/>
              </w:rPr>
              <w:t> </w:t>
            </w:r>
            <w:r w:rsidRPr="000B521F">
              <w:rPr>
                <w:rFonts w:ascii="Times New Roman" w:hAnsi="Times New Roman" w:cs="Times New Roman"/>
                <w:sz w:val="20"/>
                <w:szCs w:val="20"/>
              </w:rPr>
              <w:t>European</w:t>
            </w:r>
            <w:r w:rsidR="00DA1222" w:rsidRPr="000B521F">
              <w:rPr>
                <w:rFonts w:ascii="Times New Roman" w:hAnsi="Times New Roman" w:cs="Times New Roman"/>
                <w:sz w:val="20"/>
                <w:szCs w:val="20"/>
              </w:rPr>
              <w:t xml:space="preserve"> </w:t>
            </w:r>
            <w:r w:rsidRPr="000B521F">
              <w:rPr>
                <w:rFonts w:ascii="Times New Roman" w:hAnsi="Times New Roman" w:cs="Times New Roman"/>
                <w:sz w:val="20"/>
                <w:szCs w:val="20"/>
              </w:rPr>
              <w:t>Innovation</w:t>
            </w:r>
            <w:r w:rsidR="00DA1222" w:rsidRPr="000B521F">
              <w:rPr>
                <w:rFonts w:ascii="Times New Roman" w:hAnsi="Times New Roman" w:cs="Times New Roman"/>
                <w:sz w:val="20"/>
                <w:szCs w:val="20"/>
              </w:rPr>
              <w:t xml:space="preserve"> </w:t>
            </w:r>
            <w:r w:rsidRPr="000B521F">
              <w:rPr>
                <w:rFonts w:ascii="Times New Roman" w:hAnsi="Times New Roman" w:cs="Times New Roman"/>
                <w:sz w:val="20"/>
                <w:szCs w:val="20"/>
              </w:rPr>
              <w:t>Partnerships;</w:t>
            </w:r>
          </w:p>
          <w:p w:rsidR="008206A4" w:rsidRPr="000B521F" w:rsidRDefault="007032DF" w:rsidP="0059011D">
            <w:pPr>
              <w:pStyle w:val="Normln1"/>
              <w:numPr>
                <w:ilvl w:val="0"/>
                <w:numId w:val="73"/>
              </w:numPr>
              <w:spacing w:before="40" w:after="40" w:line="240" w:lineRule="auto"/>
              <w:ind w:left="318" w:hanging="260"/>
              <w:jc w:val="both"/>
              <w:rPr>
                <w:rFonts w:ascii="Times New Roman" w:hAnsi="Times New Roman" w:cs="Times New Roman"/>
                <w:sz w:val="20"/>
                <w:szCs w:val="20"/>
              </w:rPr>
            </w:pPr>
            <w:r w:rsidRPr="000B521F">
              <w:rPr>
                <w:rFonts w:ascii="Times New Roman" w:hAnsi="Times New Roman" w:cs="Times New Roman"/>
                <w:sz w:val="20"/>
                <w:szCs w:val="20"/>
              </w:rPr>
              <w:t>příprava národních institucí a/nebo klastrů excelence na účast ve znalostních a inovačních společenstvích (Knowledge and Innovation</w:t>
            </w:r>
            <w:r w:rsidR="00DA1222" w:rsidRPr="000B521F">
              <w:rPr>
                <w:rFonts w:ascii="Times New Roman" w:hAnsi="Times New Roman" w:cs="Times New Roman"/>
                <w:sz w:val="20"/>
                <w:szCs w:val="20"/>
              </w:rPr>
              <w:t xml:space="preserve"> </w:t>
            </w:r>
            <w:r w:rsidRPr="000B521F">
              <w:rPr>
                <w:rFonts w:ascii="Times New Roman" w:hAnsi="Times New Roman" w:cs="Times New Roman"/>
                <w:sz w:val="20"/>
                <w:szCs w:val="20"/>
              </w:rPr>
              <w:t>Communities - KICs) Evropského institutu Inovací a Technologií (EIT), a</w:t>
            </w:r>
          </w:p>
          <w:p w:rsidR="008206A4" w:rsidRPr="000B521F" w:rsidRDefault="007032DF" w:rsidP="0059011D">
            <w:pPr>
              <w:pStyle w:val="Normln1"/>
              <w:numPr>
                <w:ilvl w:val="0"/>
                <w:numId w:val="73"/>
              </w:numPr>
              <w:spacing w:before="40" w:after="40" w:line="240" w:lineRule="auto"/>
              <w:ind w:left="318" w:hanging="260"/>
              <w:jc w:val="both"/>
              <w:rPr>
                <w:rFonts w:ascii="Times New Roman" w:hAnsi="Times New Roman" w:cs="Times New Roman"/>
                <w:sz w:val="20"/>
                <w:szCs w:val="20"/>
              </w:rPr>
            </w:pPr>
            <w:r w:rsidRPr="000B521F">
              <w:rPr>
                <w:rFonts w:ascii="Times New Roman" w:hAnsi="Times New Roman" w:cs="Times New Roman"/>
                <w:sz w:val="20"/>
                <w:szCs w:val="20"/>
              </w:rPr>
              <w:t>pořádání mezinárodních programů mobility špičkových výzkumníků za spolufinancování z "Marie Sklodowska-Curie Actions"</w:t>
            </w:r>
            <w:r w:rsidR="00535D8E">
              <w:rPr>
                <w:rFonts w:ascii="Times New Roman" w:hAnsi="Times New Roman" w:cs="Times New Roman"/>
                <w:sz w:val="20"/>
                <w:szCs w:val="20"/>
              </w:rPr>
              <w:t>.</w:t>
            </w:r>
          </w:p>
          <w:p w:rsidR="007032DF" w:rsidRPr="000B521F" w:rsidRDefault="007032DF" w:rsidP="0059011D">
            <w:pPr>
              <w:pStyle w:val="Normln1"/>
              <w:spacing w:before="40" w:after="40" w:line="240" w:lineRule="auto"/>
              <w:jc w:val="both"/>
              <w:rPr>
                <w:rFonts w:ascii="Times New Roman" w:hAnsi="Times New Roman" w:cs="Times New Roman"/>
                <w:sz w:val="20"/>
                <w:szCs w:val="20"/>
              </w:rPr>
            </w:pPr>
            <w:r w:rsidRPr="000B521F">
              <w:rPr>
                <w:rFonts w:ascii="Times New Roman" w:hAnsi="Times New Roman" w:cs="Times New Roman"/>
                <w:sz w:val="20"/>
                <w:szCs w:val="20"/>
              </w:rPr>
              <w:t>Příloha 1, 4.3 - Horizont 2020 a ostatní centrálně řízené programy EU v oblastech výzkumu a inovací; zpracování (v relevantních případech) národní strategie „chytré specializace – i jako součást národního nebo regionálního strategického rámce výzkumu a inovací pro „chytrou specializaci“ (včetně zapojení národních nebo regionálních řídící orgánů a zainteresovaných stran, např. univerzit a dalších institucí pro vyšší vzdělání, partnerů z průmyslu a sociální sféry).</w:t>
            </w:r>
          </w:p>
        </w:tc>
      </w:tr>
      <w:tr w:rsidR="007032DF" w:rsidRPr="000B521F" w:rsidTr="00761093">
        <w:trPr>
          <w:trHeight w:val="400"/>
        </w:trPr>
        <w:tc>
          <w:tcPr>
            <w:tcW w:w="1682" w:type="dxa"/>
            <w:shd w:val="clear" w:color="auto" w:fill="8DB3E2" w:themeFill="text2" w:themeFillTint="66"/>
            <w:tcMar>
              <w:top w:w="100" w:type="dxa"/>
              <w:left w:w="108" w:type="dxa"/>
              <w:bottom w:w="100" w:type="dxa"/>
              <w:right w:w="108" w:type="dxa"/>
            </w:tcMar>
            <w:vAlign w:val="center"/>
          </w:tcPr>
          <w:p w:rsidR="007032DF" w:rsidRPr="000B521F" w:rsidRDefault="007032DF" w:rsidP="0059011D">
            <w:pPr>
              <w:pStyle w:val="Normln1"/>
              <w:spacing w:before="60" w:after="60" w:line="240" w:lineRule="auto"/>
              <w:rPr>
                <w:rFonts w:ascii="Times New Roman" w:hAnsi="Times New Roman" w:cs="Times New Roman"/>
                <w:sz w:val="20"/>
                <w:szCs w:val="20"/>
              </w:rPr>
            </w:pPr>
            <w:r w:rsidRPr="000B521F">
              <w:rPr>
                <w:rFonts w:ascii="Times New Roman" w:hAnsi="Times New Roman" w:cs="Times New Roman"/>
                <w:b/>
                <w:sz w:val="20"/>
                <w:szCs w:val="20"/>
              </w:rPr>
              <w:t>Tematické cíle</w:t>
            </w:r>
          </w:p>
        </w:tc>
        <w:tc>
          <w:tcPr>
            <w:tcW w:w="7196" w:type="dxa"/>
            <w:tcMar>
              <w:top w:w="100" w:type="dxa"/>
              <w:left w:w="108" w:type="dxa"/>
              <w:bottom w:w="100" w:type="dxa"/>
              <w:right w:w="108" w:type="dxa"/>
            </w:tcMar>
            <w:vAlign w:val="center"/>
          </w:tcPr>
          <w:p w:rsidR="007032DF" w:rsidRPr="000B521F" w:rsidRDefault="007032DF" w:rsidP="0059011D">
            <w:pPr>
              <w:pStyle w:val="Normln1"/>
              <w:spacing w:before="60" w:after="60" w:line="240" w:lineRule="auto"/>
              <w:jc w:val="both"/>
              <w:rPr>
                <w:rFonts w:ascii="Times New Roman" w:hAnsi="Times New Roman" w:cs="Times New Roman"/>
                <w:sz w:val="20"/>
                <w:szCs w:val="20"/>
              </w:rPr>
            </w:pPr>
            <w:r w:rsidRPr="000B521F">
              <w:rPr>
                <w:rFonts w:ascii="Times New Roman" w:hAnsi="Times New Roman" w:cs="Times New Roman"/>
                <w:sz w:val="20"/>
                <w:szCs w:val="20"/>
              </w:rPr>
              <w:t>1. Posílení výzkumu, technologického rozvoje a inovací</w:t>
            </w:r>
            <w:r w:rsidR="00535D8E">
              <w:rPr>
                <w:rFonts w:ascii="Times New Roman" w:hAnsi="Times New Roman" w:cs="Times New Roman"/>
                <w:sz w:val="20"/>
                <w:szCs w:val="20"/>
              </w:rPr>
              <w:t>.</w:t>
            </w:r>
          </w:p>
        </w:tc>
      </w:tr>
      <w:tr w:rsidR="007032DF" w:rsidRPr="000B521F" w:rsidTr="00761093">
        <w:tc>
          <w:tcPr>
            <w:tcW w:w="1682" w:type="dxa"/>
            <w:shd w:val="clear" w:color="auto" w:fill="8DB3E2" w:themeFill="text2" w:themeFillTint="66"/>
            <w:tcMar>
              <w:top w:w="100" w:type="dxa"/>
              <w:left w:w="108" w:type="dxa"/>
              <w:bottom w:w="100" w:type="dxa"/>
              <w:right w:w="108" w:type="dxa"/>
            </w:tcMar>
            <w:vAlign w:val="center"/>
          </w:tcPr>
          <w:p w:rsidR="007032DF" w:rsidRPr="000B521F" w:rsidRDefault="007032DF" w:rsidP="0059011D">
            <w:pPr>
              <w:pStyle w:val="Normln1"/>
              <w:spacing w:before="60" w:after="60" w:line="240" w:lineRule="auto"/>
              <w:rPr>
                <w:rFonts w:ascii="Times New Roman" w:hAnsi="Times New Roman" w:cs="Times New Roman"/>
                <w:sz w:val="20"/>
                <w:szCs w:val="20"/>
              </w:rPr>
            </w:pPr>
            <w:r w:rsidRPr="000B521F">
              <w:rPr>
                <w:rFonts w:ascii="Times New Roman" w:hAnsi="Times New Roman" w:cs="Times New Roman"/>
                <w:b/>
                <w:sz w:val="20"/>
                <w:szCs w:val="20"/>
              </w:rPr>
              <w:t xml:space="preserve">Specifická doporučení </w:t>
            </w:r>
            <w:r w:rsidRPr="000B521F">
              <w:rPr>
                <w:rFonts w:ascii="Times New Roman" w:hAnsi="Times New Roman" w:cs="Times New Roman"/>
                <w:b/>
                <w:sz w:val="20"/>
                <w:szCs w:val="20"/>
              </w:rPr>
              <w:lastRenderedPageBreak/>
              <w:t>Rady</w:t>
            </w:r>
          </w:p>
        </w:tc>
        <w:tc>
          <w:tcPr>
            <w:tcW w:w="7196" w:type="dxa"/>
            <w:tcMar>
              <w:top w:w="100" w:type="dxa"/>
              <w:left w:w="108" w:type="dxa"/>
              <w:bottom w:w="100" w:type="dxa"/>
              <w:right w:w="108" w:type="dxa"/>
            </w:tcMar>
            <w:vAlign w:val="center"/>
          </w:tcPr>
          <w:p w:rsidR="007032DF" w:rsidRPr="000B521F" w:rsidRDefault="007032DF" w:rsidP="0059011D">
            <w:pPr>
              <w:pStyle w:val="Normln1"/>
              <w:spacing w:before="60" w:after="60" w:line="240" w:lineRule="auto"/>
              <w:jc w:val="both"/>
              <w:rPr>
                <w:rFonts w:ascii="Times New Roman" w:hAnsi="Times New Roman" w:cs="Times New Roman"/>
                <w:sz w:val="20"/>
                <w:szCs w:val="20"/>
              </w:rPr>
            </w:pPr>
            <w:r w:rsidRPr="000B521F">
              <w:rPr>
                <w:rFonts w:ascii="Times New Roman" w:hAnsi="Times New Roman" w:cs="Times New Roman"/>
                <w:sz w:val="20"/>
                <w:szCs w:val="20"/>
              </w:rPr>
              <w:lastRenderedPageBreak/>
              <w:t xml:space="preserve">6. Vytvořit ucelený hodnotící rámec vzdělávání na základních školách a podniknout cílené kroky na podporu škol, jež vykazují slabší výsledky. Přijmout opatření ke </w:t>
            </w:r>
            <w:r w:rsidRPr="000B521F">
              <w:rPr>
                <w:rFonts w:ascii="Times New Roman" w:hAnsi="Times New Roman" w:cs="Times New Roman"/>
                <w:sz w:val="20"/>
                <w:szCs w:val="20"/>
              </w:rPr>
              <w:lastRenderedPageBreak/>
              <w:t>zlepšení systému akreditace a financování vysokých škol. Zvýšit podíl finančních prostředků přidělovaných výzkumným institucím podle jejich výkonu.</w:t>
            </w:r>
          </w:p>
        </w:tc>
      </w:tr>
    </w:tbl>
    <w:p w:rsidR="007032DF" w:rsidRPr="000B521F" w:rsidRDefault="007032DF" w:rsidP="0059011D">
      <w:pPr>
        <w:pStyle w:val="Tabulka"/>
        <w:spacing w:before="120" w:after="60"/>
        <w:rPr>
          <w:szCs w:val="20"/>
        </w:rPr>
      </w:pPr>
      <w:r w:rsidRPr="000B521F">
        <w:rPr>
          <w:szCs w:val="20"/>
        </w:rPr>
        <w:lastRenderedPageBreak/>
        <w:t>Vazby na dokumenty ČR</w:t>
      </w:r>
    </w:p>
    <w:p w:rsidR="007032DF" w:rsidRPr="0059011D" w:rsidRDefault="007032DF" w:rsidP="005B6699">
      <w:pPr>
        <w:spacing w:after="120" w:line="240" w:lineRule="auto"/>
        <w:rPr>
          <w:rFonts w:ascii="Times New Roman" w:hAnsi="Times New Roman" w:cs="Times New Roman"/>
          <w:b/>
          <w:sz w:val="24"/>
          <w:szCs w:val="24"/>
        </w:rPr>
      </w:pPr>
      <w:r w:rsidRPr="0059011D">
        <w:rPr>
          <w:rFonts w:ascii="Times New Roman" w:hAnsi="Times New Roman" w:cs="Times New Roman"/>
          <w:sz w:val="24"/>
          <w:szCs w:val="24"/>
        </w:rPr>
        <w:t xml:space="preserve">Identifikované problémy a potřeby rozvoje jsou reflektovány ve všech národních strategických dokumentech na různé úrovni. </w:t>
      </w:r>
    </w:p>
    <w:tbl>
      <w:tblPr>
        <w:tblW w:w="8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A0" w:firstRow="1" w:lastRow="0" w:firstColumn="1" w:lastColumn="0" w:noHBand="0" w:noVBand="0"/>
      </w:tblPr>
      <w:tblGrid>
        <w:gridCol w:w="2128"/>
        <w:gridCol w:w="6750"/>
      </w:tblGrid>
      <w:tr w:rsidR="007032DF" w:rsidRPr="000B521F" w:rsidTr="00761093">
        <w:trPr>
          <w:trHeight w:val="380"/>
        </w:trPr>
        <w:tc>
          <w:tcPr>
            <w:tcW w:w="2128" w:type="dxa"/>
            <w:shd w:val="clear" w:color="auto" w:fill="8DB3E2" w:themeFill="text2" w:themeFillTint="66"/>
            <w:tcMar>
              <w:top w:w="100" w:type="dxa"/>
              <w:left w:w="108" w:type="dxa"/>
              <w:bottom w:w="100" w:type="dxa"/>
              <w:right w:w="108" w:type="dxa"/>
            </w:tcMar>
            <w:vAlign w:val="center"/>
          </w:tcPr>
          <w:p w:rsidR="007032DF" w:rsidRPr="000B521F" w:rsidRDefault="007032DF" w:rsidP="0059011D">
            <w:pPr>
              <w:pStyle w:val="Normln1"/>
              <w:spacing w:before="60" w:after="60" w:line="240" w:lineRule="auto"/>
              <w:rPr>
                <w:rFonts w:ascii="Times New Roman" w:hAnsi="Times New Roman" w:cs="Times New Roman"/>
                <w:sz w:val="20"/>
                <w:szCs w:val="20"/>
              </w:rPr>
            </w:pPr>
            <w:r w:rsidRPr="000B521F">
              <w:rPr>
                <w:rFonts w:ascii="Times New Roman" w:hAnsi="Times New Roman" w:cs="Times New Roman"/>
                <w:b/>
                <w:sz w:val="20"/>
                <w:szCs w:val="20"/>
              </w:rPr>
              <w:t>Národní program reforem</w:t>
            </w:r>
          </w:p>
        </w:tc>
        <w:tc>
          <w:tcPr>
            <w:tcW w:w="6750" w:type="dxa"/>
            <w:tcMar>
              <w:top w:w="100" w:type="dxa"/>
              <w:left w:w="108" w:type="dxa"/>
              <w:bottom w:w="100" w:type="dxa"/>
              <w:right w:w="108" w:type="dxa"/>
            </w:tcMar>
            <w:vAlign w:val="center"/>
          </w:tcPr>
          <w:p w:rsidR="007032DF" w:rsidRPr="000B521F" w:rsidRDefault="007032DF" w:rsidP="0059011D">
            <w:pPr>
              <w:pStyle w:val="Normln1"/>
              <w:spacing w:before="60" w:after="60" w:line="240" w:lineRule="auto"/>
              <w:jc w:val="both"/>
              <w:rPr>
                <w:rFonts w:ascii="Times New Roman" w:hAnsi="Times New Roman" w:cs="Times New Roman"/>
                <w:sz w:val="20"/>
                <w:szCs w:val="20"/>
              </w:rPr>
            </w:pPr>
            <w:r w:rsidRPr="000B521F">
              <w:rPr>
                <w:rFonts w:ascii="Times New Roman" w:hAnsi="Times New Roman" w:cs="Times New Roman"/>
                <w:sz w:val="20"/>
                <w:szCs w:val="20"/>
              </w:rPr>
              <w:t>3.4.1. Rozvoj podmínek pro excelentní výzkum 3.4.2. Rozvoj spolupráce mezi podnikovou sférou a výzkumnými institucemi 3.4.3. Inovační podnikání a rozvoj start-up; Seed fond.</w:t>
            </w:r>
          </w:p>
          <w:p w:rsidR="007032DF" w:rsidRPr="000B521F" w:rsidRDefault="007032DF" w:rsidP="0059011D">
            <w:pPr>
              <w:pStyle w:val="Normln1"/>
              <w:spacing w:before="60" w:after="60" w:line="240" w:lineRule="auto"/>
              <w:jc w:val="both"/>
              <w:rPr>
                <w:rFonts w:ascii="Times New Roman" w:hAnsi="Times New Roman" w:cs="Times New Roman"/>
                <w:sz w:val="20"/>
                <w:szCs w:val="20"/>
              </w:rPr>
            </w:pPr>
            <w:r w:rsidRPr="000B521F">
              <w:rPr>
                <w:rFonts w:ascii="Times New Roman" w:hAnsi="Times New Roman" w:cs="Times New Roman"/>
                <w:sz w:val="20"/>
                <w:szCs w:val="20"/>
              </w:rPr>
              <w:t>3.2.2 Udržitelný průmyslový sektor; 3.2.2.2 Průmyslová politika</w:t>
            </w:r>
          </w:p>
        </w:tc>
      </w:tr>
      <w:tr w:rsidR="007032DF" w:rsidRPr="000B521F" w:rsidTr="00761093">
        <w:trPr>
          <w:trHeight w:val="400"/>
        </w:trPr>
        <w:tc>
          <w:tcPr>
            <w:tcW w:w="2128" w:type="dxa"/>
            <w:shd w:val="clear" w:color="auto" w:fill="8DB3E2" w:themeFill="text2" w:themeFillTint="66"/>
            <w:tcMar>
              <w:top w:w="100" w:type="dxa"/>
              <w:left w:w="108" w:type="dxa"/>
              <w:bottom w:w="100" w:type="dxa"/>
              <w:right w:w="108" w:type="dxa"/>
            </w:tcMar>
            <w:vAlign w:val="center"/>
          </w:tcPr>
          <w:p w:rsidR="007032DF" w:rsidRPr="000B521F" w:rsidRDefault="007032DF" w:rsidP="0059011D">
            <w:pPr>
              <w:pStyle w:val="Normln1"/>
              <w:spacing w:before="60" w:after="60" w:line="240" w:lineRule="auto"/>
              <w:rPr>
                <w:rFonts w:ascii="Times New Roman" w:hAnsi="Times New Roman" w:cs="Times New Roman"/>
                <w:sz w:val="20"/>
                <w:szCs w:val="20"/>
              </w:rPr>
            </w:pPr>
            <w:r w:rsidRPr="000B521F">
              <w:rPr>
                <w:rFonts w:ascii="Times New Roman" w:hAnsi="Times New Roman" w:cs="Times New Roman"/>
                <w:b/>
                <w:sz w:val="20"/>
                <w:szCs w:val="20"/>
              </w:rPr>
              <w:t>Strategie mezinárodní konkurenceschopnosti ČR</w:t>
            </w:r>
          </w:p>
        </w:tc>
        <w:tc>
          <w:tcPr>
            <w:tcW w:w="6750" w:type="dxa"/>
            <w:tcMar>
              <w:top w:w="100" w:type="dxa"/>
              <w:left w:w="108" w:type="dxa"/>
              <w:bottom w:w="100" w:type="dxa"/>
              <w:right w:w="108" w:type="dxa"/>
            </w:tcMar>
            <w:vAlign w:val="center"/>
          </w:tcPr>
          <w:p w:rsidR="007032DF" w:rsidRPr="000B521F" w:rsidRDefault="007032DF" w:rsidP="0059011D">
            <w:pPr>
              <w:pStyle w:val="Normln1"/>
              <w:spacing w:before="60" w:after="60" w:line="240" w:lineRule="auto"/>
              <w:jc w:val="both"/>
              <w:rPr>
                <w:rFonts w:ascii="Times New Roman" w:hAnsi="Times New Roman" w:cs="Times New Roman"/>
                <w:sz w:val="20"/>
                <w:szCs w:val="20"/>
              </w:rPr>
            </w:pPr>
            <w:r w:rsidRPr="000B521F">
              <w:rPr>
                <w:rFonts w:ascii="Times New Roman" w:hAnsi="Times New Roman" w:cs="Times New Roman"/>
                <w:sz w:val="20"/>
                <w:szCs w:val="20"/>
              </w:rPr>
              <w:t>9. Inovace - zvýšení inovační poptávky firem, zvýšení vzájemné informovanosti a spolupráce mezi podnikovým a akademickým sektorem, rozvoj excelentního výzkumu, podpora podnikání a výzkumu do klíčových technologických oblastí, efektivní řízení a koordinace rozvojových politik a nástrojů podpory inovačního podnikání a VaV.</w:t>
            </w:r>
          </w:p>
          <w:p w:rsidR="007032DF" w:rsidRPr="000B521F" w:rsidRDefault="007032DF" w:rsidP="0059011D">
            <w:pPr>
              <w:pStyle w:val="Normln1"/>
              <w:spacing w:before="60" w:after="60" w:line="240" w:lineRule="auto"/>
              <w:jc w:val="both"/>
              <w:rPr>
                <w:rFonts w:ascii="Times New Roman" w:hAnsi="Times New Roman" w:cs="Times New Roman"/>
                <w:sz w:val="20"/>
                <w:szCs w:val="20"/>
              </w:rPr>
            </w:pPr>
            <w:r w:rsidRPr="000B521F">
              <w:rPr>
                <w:rFonts w:ascii="Times New Roman" w:hAnsi="Times New Roman" w:cs="Times New Roman"/>
                <w:sz w:val="20"/>
                <w:szCs w:val="20"/>
              </w:rPr>
              <w:t>Inovace: Rozvoj spolupráce pro transfer znalostí mezi podniky a akademickým sektorem – pre-seed grantové schéma, program Knowledge transfer partnership, rozvoj personálních kapacit a služeb CTT; Podpora spolupráce mezi podniky – rozvoj a manažerské řízení klastrů</w:t>
            </w:r>
            <w:r w:rsidR="00535D8E">
              <w:rPr>
                <w:rFonts w:ascii="Times New Roman" w:hAnsi="Times New Roman" w:cs="Times New Roman"/>
                <w:sz w:val="20"/>
                <w:szCs w:val="20"/>
              </w:rPr>
              <w:t>.</w:t>
            </w:r>
          </w:p>
        </w:tc>
      </w:tr>
      <w:tr w:rsidR="007032DF" w:rsidRPr="000B521F" w:rsidTr="00761093">
        <w:tc>
          <w:tcPr>
            <w:tcW w:w="2128" w:type="dxa"/>
            <w:shd w:val="clear" w:color="auto" w:fill="8DB3E2" w:themeFill="text2" w:themeFillTint="66"/>
            <w:tcMar>
              <w:top w:w="100" w:type="dxa"/>
              <w:left w:w="108" w:type="dxa"/>
              <w:bottom w:w="100" w:type="dxa"/>
              <w:right w:w="108" w:type="dxa"/>
            </w:tcMar>
            <w:vAlign w:val="center"/>
          </w:tcPr>
          <w:p w:rsidR="007032DF" w:rsidRPr="000B521F" w:rsidRDefault="007032DF" w:rsidP="00264AE0">
            <w:pPr>
              <w:pStyle w:val="Normln1"/>
              <w:spacing w:before="60" w:after="60" w:line="240" w:lineRule="auto"/>
              <w:rPr>
                <w:rFonts w:ascii="Times New Roman" w:hAnsi="Times New Roman" w:cs="Times New Roman"/>
                <w:sz w:val="20"/>
                <w:szCs w:val="20"/>
              </w:rPr>
            </w:pPr>
            <w:r w:rsidRPr="000B521F">
              <w:rPr>
                <w:rFonts w:ascii="Times New Roman" w:hAnsi="Times New Roman" w:cs="Times New Roman"/>
                <w:b/>
                <w:sz w:val="20"/>
                <w:szCs w:val="20"/>
              </w:rPr>
              <w:t>Strategie regionálního rozvoje ČR 2014</w:t>
            </w:r>
            <w:r w:rsidR="00264AE0">
              <w:rPr>
                <w:rFonts w:ascii="Times New Roman" w:hAnsi="Times New Roman" w:cs="Times New Roman"/>
                <w:b/>
                <w:sz w:val="20"/>
                <w:szCs w:val="20"/>
              </w:rPr>
              <w:t>–</w:t>
            </w:r>
            <w:r w:rsidRPr="000B521F">
              <w:rPr>
                <w:rFonts w:ascii="Times New Roman" w:hAnsi="Times New Roman" w:cs="Times New Roman"/>
                <w:b/>
                <w:sz w:val="20"/>
                <w:szCs w:val="20"/>
              </w:rPr>
              <w:t>2020</w:t>
            </w:r>
          </w:p>
        </w:tc>
        <w:tc>
          <w:tcPr>
            <w:tcW w:w="6750" w:type="dxa"/>
            <w:tcMar>
              <w:top w:w="100" w:type="dxa"/>
              <w:left w:w="108" w:type="dxa"/>
              <w:bottom w:w="100" w:type="dxa"/>
              <w:right w:w="108" w:type="dxa"/>
            </w:tcMar>
            <w:vAlign w:val="center"/>
          </w:tcPr>
          <w:p w:rsidR="007032DF" w:rsidRPr="000B521F" w:rsidRDefault="007032DF" w:rsidP="0059011D">
            <w:pPr>
              <w:pStyle w:val="Normln1"/>
              <w:spacing w:before="60" w:after="60" w:line="240" w:lineRule="auto"/>
              <w:jc w:val="both"/>
              <w:rPr>
                <w:rFonts w:ascii="Times New Roman" w:hAnsi="Times New Roman" w:cs="Times New Roman"/>
                <w:sz w:val="20"/>
                <w:szCs w:val="20"/>
              </w:rPr>
            </w:pPr>
            <w:r w:rsidRPr="000B521F">
              <w:rPr>
                <w:rFonts w:ascii="Times New Roman" w:hAnsi="Times New Roman" w:cs="Times New Roman"/>
                <w:sz w:val="20"/>
                <w:szCs w:val="20"/>
              </w:rPr>
              <w:t>Priorita 1 Využití potenciálu rozvojových území (opatření 1.1 Podpora transferu znalostí mezi výzkumným a podnikatelským sektorem, 1.2 Rozvoj univerzit a výzkumných institucí).</w:t>
            </w:r>
          </w:p>
        </w:tc>
      </w:tr>
      <w:tr w:rsidR="007032DF" w:rsidRPr="000B521F" w:rsidTr="00761093">
        <w:tc>
          <w:tcPr>
            <w:tcW w:w="2128" w:type="dxa"/>
            <w:shd w:val="clear" w:color="auto" w:fill="8DB3E2" w:themeFill="text2" w:themeFillTint="66"/>
            <w:tcMar>
              <w:top w:w="100" w:type="dxa"/>
              <w:left w:w="108" w:type="dxa"/>
              <w:bottom w:w="100" w:type="dxa"/>
              <w:right w:w="108" w:type="dxa"/>
            </w:tcMar>
            <w:vAlign w:val="center"/>
          </w:tcPr>
          <w:p w:rsidR="007032DF" w:rsidRPr="000B521F" w:rsidRDefault="007032DF" w:rsidP="0059011D">
            <w:pPr>
              <w:pStyle w:val="Normln1"/>
              <w:spacing w:before="60" w:after="60" w:line="240" w:lineRule="auto"/>
              <w:rPr>
                <w:rFonts w:ascii="Times New Roman" w:hAnsi="Times New Roman" w:cs="Times New Roman"/>
                <w:sz w:val="20"/>
                <w:szCs w:val="20"/>
              </w:rPr>
            </w:pPr>
            <w:r w:rsidRPr="000B521F">
              <w:rPr>
                <w:rFonts w:ascii="Times New Roman" w:hAnsi="Times New Roman" w:cs="Times New Roman"/>
                <w:b/>
                <w:sz w:val="20"/>
                <w:szCs w:val="20"/>
              </w:rPr>
              <w:t>Národní politika výzkumu, vývoje a inovací</w:t>
            </w:r>
            <w:r w:rsidR="00A6498B" w:rsidRPr="000B521F">
              <w:rPr>
                <w:rFonts w:ascii="Times New Roman" w:hAnsi="Times New Roman" w:cs="Times New Roman"/>
                <w:b/>
                <w:sz w:val="20"/>
                <w:szCs w:val="20"/>
              </w:rPr>
              <w:t xml:space="preserve"> (aktualizace s výhledem do roku 2020)</w:t>
            </w:r>
          </w:p>
        </w:tc>
        <w:tc>
          <w:tcPr>
            <w:tcW w:w="6750" w:type="dxa"/>
            <w:tcMar>
              <w:top w:w="100" w:type="dxa"/>
              <w:left w:w="108" w:type="dxa"/>
              <w:bottom w:w="100" w:type="dxa"/>
              <w:right w:w="108" w:type="dxa"/>
            </w:tcMar>
            <w:vAlign w:val="center"/>
          </w:tcPr>
          <w:p w:rsidR="00A6498B" w:rsidRPr="000B521F" w:rsidRDefault="00A6498B" w:rsidP="0059011D">
            <w:pPr>
              <w:pStyle w:val="Normln1"/>
              <w:spacing w:before="60" w:after="60" w:line="240" w:lineRule="auto"/>
              <w:jc w:val="both"/>
              <w:rPr>
                <w:rFonts w:ascii="Times New Roman" w:hAnsi="Times New Roman" w:cs="Times New Roman"/>
                <w:sz w:val="20"/>
                <w:szCs w:val="20"/>
              </w:rPr>
            </w:pPr>
            <w:r w:rsidRPr="000B521F">
              <w:rPr>
                <w:rFonts w:ascii="Times New Roman" w:hAnsi="Times New Roman" w:cs="Times New Roman"/>
                <w:sz w:val="20"/>
                <w:szCs w:val="20"/>
              </w:rPr>
              <w:t>Cíl 1 „Kvalitní a produktivní výzkumný systém“</w:t>
            </w:r>
            <w:r w:rsidR="00535D8E">
              <w:rPr>
                <w:rFonts w:ascii="Times New Roman" w:hAnsi="Times New Roman" w:cs="Times New Roman"/>
                <w:sz w:val="20"/>
                <w:szCs w:val="20"/>
              </w:rPr>
              <w:t>.</w:t>
            </w:r>
          </w:p>
          <w:p w:rsidR="00A6498B" w:rsidRPr="000B521F" w:rsidRDefault="00A6498B" w:rsidP="0059011D">
            <w:pPr>
              <w:pStyle w:val="Normln1"/>
              <w:spacing w:before="60" w:after="60" w:line="240" w:lineRule="auto"/>
              <w:jc w:val="both"/>
              <w:rPr>
                <w:rFonts w:ascii="Times New Roman" w:hAnsi="Times New Roman" w:cs="Times New Roman"/>
                <w:sz w:val="20"/>
                <w:szCs w:val="20"/>
              </w:rPr>
            </w:pPr>
            <w:r w:rsidRPr="000B521F">
              <w:rPr>
                <w:rFonts w:ascii="Times New Roman" w:hAnsi="Times New Roman" w:cs="Times New Roman"/>
                <w:sz w:val="20"/>
                <w:szCs w:val="20"/>
              </w:rPr>
              <w:t>Cíl 2 „Efektivní šíření znalostí a jejich využívání v inovacích“</w:t>
            </w:r>
            <w:r w:rsidR="00535D8E">
              <w:rPr>
                <w:rFonts w:ascii="Times New Roman" w:hAnsi="Times New Roman" w:cs="Times New Roman"/>
                <w:sz w:val="20"/>
                <w:szCs w:val="20"/>
              </w:rPr>
              <w:t>.</w:t>
            </w:r>
          </w:p>
          <w:p w:rsidR="00A6498B" w:rsidRPr="000B521F" w:rsidRDefault="005924F3" w:rsidP="0059011D">
            <w:pPr>
              <w:pStyle w:val="Normln1"/>
              <w:spacing w:before="60" w:after="60" w:line="240" w:lineRule="auto"/>
              <w:jc w:val="both"/>
              <w:rPr>
                <w:rFonts w:ascii="Times New Roman" w:hAnsi="Times New Roman" w:cs="Times New Roman"/>
                <w:sz w:val="20"/>
                <w:szCs w:val="20"/>
              </w:rPr>
            </w:pPr>
            <w:r w:rsidRPr="000B521F">
              <w:rPr>
                <w:rFonts w:ascii="Times New Roman" w:hAnsi="Times New Roman" w:cs="Times New Roman"/>
                <w:sz w:val="20"/>
                <w:szCs w:val="20"/>
              </w:rPr>
              <w:t>Cíl 3</w:t>
            </w:r>
            <w:r w:rsidR="00A6498B" w:rsidRPr="000B521F">
              <w:rPr>
                <w:rFonts w:ascii="Times New Roman" w:hAnsi="Times New Roman" w:cs="Times New Roman"/>
                <w:sz w:val="20"/>
                <w:szCs w:val="20"/>
              </w:rPr>
              <w:t xml:space="preserve"> „Inovující podniky“</w:t>
            </w:r>
            <w:r w:rsidR="00535D8E">
              <w:rPr>
                <w:rFonts w:ascii="Times New Roman" w:hAnsi="Times New Roman" w:cs="Times New Roman"/>
                <w:sz w:val="20"/>
                <w:szCs w:val="20"/>
              </w:rPr>
              <w:t>.</w:t>
            </w:r>
          </w:p>
          <w:p w:rsidR="007032DF" w:rsidRPr="000B521F" w:rsidRDefault="005924F3" w:rsidP="0059011D">
            <w:pPr>
              <w:pStyle w:val="Normln1"/>
              <w:spacing w:before="60" w:after="60" w:line="240" w:lineRule="auto"/>
              <w:jc w:val="both"/>
              <w:rPr>
                <w:rFonts w:ascii="Times New Roman" w:hAnsi="Times New Roman" w:cs="Times New Roman"/>
                <w:sz w:val="20"/>
                <w:szCs w:val="20"/>
              </w:rPr>
            </w:pPr>
            <w:r w:rsidRPr="000B521F">
              <w:rPr>
                <w:rFonts w:ascii="Times New Roman" w:hAnsi="Times New Roman" w:cs="Times New Roman"/>
                <w:sz w:val="20"/>
                <w:szCs w:val="20"/>
              </w:rPr>
              <w:t>Cíl 4</w:t>
            </w:r>
            <w:r w:rsidR="00A6498B" w:rsidRPr="000B521F">
              <w:rPr>
                <w:rFonts w:ascii="Times New Roman" w:hAnsi="Times New Roman" w:cs="Times New Roman"/>
                <w:sz w:val="20"/>
                <w:szCs w:val="20"/>
              </w:rPr>
              <w:t xml:space="preserve"> „Stabilní, efektivní a strategicky řízený systém VaVaI“</w:t>
            </w:r>
            <w:r w:rsidR="00535D8E">
              <w:rPr>
                <w:rFonts w:ascii="Times New Roman" w:hAnsi="Times New Roman" w:cs="Times New Roman"/>
                <w:sz w:val="20"/>
                <w:szCs w:val="20"/>
              </w:rPr>
              <w:t>.</w:t>
            </w:r>
          </w:p>
        </w:tc>
      </w:tr>
      <w:tr w:rsidR="007032DF" w:rsidRPr="000B521F" w:rsidTr="00761093">
        <w:tc>
          <w:tcPr>
            <w:tcW w:w="2128" w:type="dxa"/>
            <w:shd w:val="clear" w:color="auto" w:fill="8DB3E2" w:themeFill="text2" w:themeFillTint="66"/>
            <w:tcMar>
              <w:top w:w="100" w:type="dxa"/>
              <w:left w:w="108" w:type="dxa"/>
              <w:bottom w:w="100" w:type="dxa"/>
              <w:right w:w="108" w:type="dxa"/>
            </w:tcMar>
            <w:vAlign w:val="center"/>
          </w:tcPr>
          <w:p w:rsidR="007032DF" w:rsidRPr="000B521F" w:rsidRDefault="007032DF" w:rsidP="0059011D">
            <w:pPr>
              <w:pStyle w:val="Normln1"/>
              <w:spacing w:before="60" w:after="60" w:line="240" w:lineRule="auto"/>
              <w:rPr>
                <w:rFonts w:ascii="Times New Roman" w:hAnsi="Times New Roman" w:cs="Times New Roman"/>
                <w:sz w:val="20"/>
                <w:szCs w:val="20"/>
              </w:rPr>
            </w:pPr>
            <w:r w:rsidRPr="000B521F">
              <w:rPr>
                <w:rFonts w:ascii="Times New Roman" w:hAnsi="Times New Roman" w:cs="Times New Roman"/>
                <w:b/>
                <w:sz w:val="20"/>
                <w:szCs w:val="20"/>
              </w:rPr>
              <w:t>Národní inovační strategie</w:t>
            </w:r>
          </w:p>
        </w:tc>
        <w:tc>
          <w:tcPr>
            <w:tcW w:w="6750" w:type="dxa"/>
            <w:tcMar>
              <w:top w:w="100" w:type="dxa"/>
              <w:left w:w="108" w:type="dxa"/>
              <w:bottom w:w="100" w:type="dxa"/>
              <w:right w:w="108" w:type="dxa"/>
            </w:tcMar>
            <w:vAlign w:val="center"/>
          </w:tcPr>
          <w:p w:rsidR="007032DF" w:rsidRPr="000B521F" w:rsidRDefault="007032DF" w:rsidP="0059011D">
            <w:pPr>
              <w:pStyle w:val="Normln1"/>
              <w:spacing w:before="60" w:after="60" w:line="240" w:lineRule="auto"/>
              <w:jc w:val="both"/>
              <w:rPr>
                <w:rFonts w:ascii="Times New Roman" w:hAnsi="Times New Roman" w:cs="Times New Roman"/>
                <w:sz w:val="20"/>
                <w:szCs w:val="20"/>
              </w:rPr>
            </w:pPr>
            <w:r w:rsidRPr="000B521F">
              <w:rPr>
                <w:rFonts w:ascii="Times New Roman" w:hAnsi="Times New Roman" w:cs="Times New Roman"/>
                <w:sz w:val="20"/>
                <w:szCs w:val="20"/>
              </w:rPr>
              <w:t>Prioritní osa „Excelentní výzkum“ (Efektivní využívání veřejných prostředků na výzkum a vývoj; Špičkové výzkumné infrastruktury; Evropský výzkumný prostor – cesta k excelenci ve výzkumu).</w:t>
            </w:r>
          </w:p>
          <w:p w:rsidR="007032DF" w:rsidRPr="000B521F" w:rsidRDefault="007032DF" w:rsidP="0059011D">
            <w:pPr>
              <w:pStyle w:val="Normln1"/>
              <w:spacing w:before="60" w:after="60" w:line="240" w:lineRule="auto"/>
              <w:jc w:val="both"/>
              <w:rPr>
                <w:rFonts w:ascii="Times New Roman" w:hAnsi="Times New Roman" w:cs="Times New Roman"/>
                <w:sz w:val="20"/>
                <w:szCs w:val="20"/>
              </w:rPr>
            </w:pPr>
            <w:r w:rsidRPr="000B521F">
              <w:rPr>
                <w:rFonts w:ascii="Times New Roman" w:hAnsi="Times New Roman" w:cs="Times New Roman"/>
                <w:sz w:val="20"/>
                <w:szCs w:val="20"/>
              </w:rPr>
              <w:t>Prioritní osa „Rozvoj spolupráce pro transfer znalostí mezi podnikovým a akademickým sektorem“ (Zlepšení vnitřních podmínek a celkové připravenosti akademických institucí na spolupráci s podniky a komercializaci výsledků výzkumu; Podpora spolupráce podniků a VaV institucí; Zvýšení kvality a rozvoj nových služeb podpůrné inovační infrastruktury).</w:t>
            </w:r>
          </w:p>
          <w:p w:rsidR="007032DF" w:rsidRPr="000B521F" w:rsidRDefault="007032DF" w:rsidP="0059011D">
            <w:pPr>
              <w:pStyle w:val="Normln1"/>
              <w:spacing w:before="60" w:after="60" w:line="240" w:lineRule="auto"/>
              <w:jc w:val="both"/>
              <w:rPr>
                <w:rFonts w:ascii="Times New Roman" w:hAnsi="Times New Roman" w:cs="Times New Roman"/>
                <w:sz w:val="20"/>
                <w:szCs w:val="20"/>
              </w:rPr>
            </w:pPr>
            <w:r w:rsidRPr="000B521F">
              <w:rPr>
                <w:rFonts w:ascii="Times New Roman" w:hAnsi="Times New Roman" w:cs="Times New Roman"/>
                <w:sz w:val="20"/>
                <w:szCs w:val="20"/>
              </w:rPr>
              <w:t>Prioritní osa „Inovační podnikání“</w:t>
            </w:r>
            <w:r w:rsidR="00535D8E">
              <w:rPr>
                <w:rFonts w:ascii="Times New Roman" w:hAnsi="Times New Roman" w:cs="Times New Roman"/>
                <w:sz w:val="20"/>
                <w:szCs w:val="20"/>
              </w:rPr>
              <w:t>.</w:t>
            </w:r>
          </w:p>
          <w:p w:rsidR="007032DF" w:rsidRPr="000B521F" w:rsidRDefault="007032DF" w:rsidP="0059011D">
            <w:pPr>
              <w:pStyle w:val="Normln1"/>
              <w:spacing w:before="60" w:after="60" w:line="240" w:lineRule="auto"/>
              <w:jc w:val="both"/>
              <w:rPr>
                <w:rFonts w:ascii="Times New Roman" w:hAnsi="Times New Roman" w:cs="Times New Roman"/>
                <w:sz w:val="20"/>
                <w:szCs w:val="20"/>
              </w:rPr>
            </w:pPr>
            <w:r w:rsidRPr="000B521F">
              <w:rPr>
                <w:rFonts w:ascii="Times New Roman" w:hAnsi="Times New Roman" w:cs="Times New Roman"/>
                <w:sz w:val="20"/>
                <w:szCs w:val="20"/>
              </w:rPr>
              <w:t>Prioritní osa „Lidé: hlavní nositelé nových nápadů a iniciátoři změn“</w:t>
            </w:r>
            <w:r w:rsidR="00535D8E">
              <w:rPr>
                <w:rFonts w:ascii="Times New Roman" w:hAnsi="Times New Roman" w:cs="Times New Roman"/>
                <w:sz w:val="20"/>
                <w:szCs w:val="20"/>
              </w:rPr>
              <w:t>.</w:t>
            </w:r>
          </w:p>
          <w:p w:rsidR="007032DF" w:rsidRPr="000B521F" w:rsidRDefault="007032DF" w:rsidP="0059011D">
            <w:pPr>
              <w:pStyle w:val="Normln1"/>
              <w:spacing w:before="60" w:after="60" w:line="240" w:lineRule="auto"/>
              <w:jc w:val="both"/>
              <w:rPr>
                <w:rFonts w:ascii="Times New Roman" w:hAnsi="Times New Roman" w:cs="Times New Roman"/>
                <w:sz w:val="20"/>
                <w:szCs w:val="20"/>
              </w:rPr>
            </w:pPr>
            <w:r w:rsidRPr="000B521F">
              <w:rPr>
                <w:rFonts w:ascii="Times New Roman" w:hAnsi="Times New Roman" w:cs="Times New Roman"/>
                <w:sz w:val="20"/>
                <w:szCs w:val="20"/>
              </w:rPr>
              <w:t>Analytická část NIS detailně mapuje problematiku kapacit, výkonnosti a potenciálu systému VaV směrem k využití znalostního potenciálu ČR v transferu znalostí do technologických domén a inovací, a to včetně problematiky internacionalizace a otázky lidských zdrojů v ČR v mezinárodním srovnání. Jinak jsou vazby na:</w:t>
            </w:r>
          </w:p>
          <w:p w:rsidR="007032DF" w:rsidRPr="000B521F" w:rsidRDefault="007032DF" w:rsidP="0059011D">
            <w:pPr>
              <w:pStyle w:val="Normln1"/>
              <w:spacing w:before="60" w:after="60" w:line="240" w:lineRule="auto"/>
              <w:jc w:val="both"/>
              <w:rPr>
                <w:rFonts w:ascii="Times New Roman" w:hAnsi="Times New Roman" w:cs="Times New Roman"/>
                <w:sz w:val="20"/>
                <w:szCs w:val="20"/>
              </w:rPr>
            </w:pPr>
            <w:r w:rsidRPr="000B521F">
              <w:rPr>
                <w:rFonts w:ascii="Times New Roman" w:hAnsi="Times New Roman" w:cs="Times New Roman"/>
                <w:sz w:val="20"/>
                <w:szCs w:val="20"/>
              </w:rPr>
              <w:t>Prioritu 4 „Rozvoj spolupráce pro transfer znalostí mezi podnikovým a akademickým sektorem“.</w:t>
            </w:r>
          </w:p>
        </w:tc>
      </w:tr>
    </w:tbl>
    <w:p w:rsidR="007032DF" w:rsidRPr="0059011D" w:rsidRDefault="007032DF" w:rsidP="00264AE0">
      <w:pPr>
        <w:spacing w:after="120" w:line="240" w:lineRule="auto"/>
        <w:jc w:val="both"/>
        <w:rPr>
          <w:rFonts w:ascii="Times New Roman" w:hAnsi="Times New Roman" w:cs="Times New Roman"/>
          <w:sz w:val="24"/>
          <w:szCs w:val="24"/>
        </w:rPr>
      </w:pPr>
      <w:r w:rsidRPr="0059011D">
        <w:rPr>
          <w:rFonts w:ascii="Times New Roman" w:hAnsi="Times New Roman" w:cs="Times New Roman"/>
          <w:sz w:val="24"/>
          <w:szCs w:val="24"/>
        </w:rPr>
        <w:t xml:space="preserve">Další klíčové dokumenty vztahující se k dané problematické oblasti jsou Strategie inteligentní specializace (S3), Národní priority orientovaného výzkumu, experimentálního vývoje a inovací, Dlouhodobý záměr vzdělávací a vědecké, výzkumné, vývojové a inovační, umělecké a další tvůrčí činnosti pro oblast vysokých škol, Koncepce zemědělského aplikovaného </w:t>
      </w:r>
      <w:r w:rsidRPr="0059011D">
        <w:rPr>
          <w:rFonts w:ascii="Times New Roman" w:hAnsi="Times New Roman" w:cs="Times New Roman"/>
          <w:sz w:val="24"/>
          <w:szCs w:val="24"/>
        </w:rPr>
        <w:lastRenderedPageBreak/>
        <w:t>výzkumu a vývoje do roku 2015, Koncepce zdravotnického aplikovaného výzkumu a vývoje do roku 2020, Meziresortní koncepce bezpečnostního výzkumu a vývoje ČR do roku 2015, Mezirezortní koncepce mezinárodní spolupráce ve výzkumu a vývoji do roku 2015, Koncepce obranného aplikovaného výzkumu a vývoje do roku 2015, Meziresortní koncepce aplikovaného výzkumu a vývoje národní kulturní identity do r. 2020, dokumenty krajů v dané oblasti, a další sektorové dokumenty definované v dílčích programech. Na krajské úrovni jsou zpracovány Regionální inovační strategie.</w:t>
      </w:r>
    </w:p>
    <w:p w:rsidR="007032DF" w:rsidRPr="000B521F" w:rsidRDefault="007032DF" w:rsidP="0059011D">
      <w:pPr>
        <w:spacing w:after="120" w:line="240" w:lineRule="auto"/>
        <w:rPr>
          <w:rFonts w:ascii="Times New Roman" w:hAnsi="Times New Roman" w:cs="Times New Roman"/>
          <w:sz w:val="24"/>
          <w:szCs w:val="24"/>
        </w:rPr>
      </w:pPr>
    </w:p>
    <w:p w:rsidR="008206A4" w:rsidRPr="000B521F" w:rsidRDefault="00DC5011" w:rsidP="0059011D">
      <w:pPr>
        <w:pStyle w:val="Nadpis4"/>
        <w:numPr>
          <w:ilvl w:val="3"/>
          <w:numId w:val="14"/>
        </w:numPr>
        <w:spacing w:before="120" w:after="120"/>
        <w:rPr>
          <w:rFonts w:ascii="Times New Roman" w:hAnsi="Times New Roman" w:cs="Times New Roman"/>
          <w:sz w:val="24"/>
          <w:szCs w:val="24"/>
        </w:rPr>
      </w:pPr>
      <w:bookmarkStart w:id="28" w:name="_Toc374702859"/>
      <w:r w:rsidRPr="000B521F">
        <w:rPr>
          <w:rFonts w:ascii="Times New Roman" w:hAnsi="Times New Roman" w:cs="Times New Roman"/>
          <w:sz w:val="24"/>
          <w:szCs w:val="24"/>
        </w:rPr>
        <w:t>Konkurenceschopné podniky</w:t>
      </w:r>
      <w:bookmarkEnd w:id="26"/>
      <w:bookmarkEnd w:id="28"/>
    </w:p>
    <w:p w:rsidR="00DC5011" w:rsidRPr="000B521F" w:rsidRDefault="00DC5011" w:rsidP="0059011D">
      <w:pPr>
        <w:spacing w:after="120" w:line="240" w:lineRule="auto"/>
        <w:rPr>
          <w:rFonts w:ascii="Times New Roman" w:hAnsi="Times New Roman" w:cs="Times New Roman"/>
          <w:b/>
          <w:sz w:val="24"/>
          <w:szCs w:val="24"/>
        </w:rPr>
      </w:pPr>
      <w:r w:rsidRPr="000B521F">
        <w:rPr>
          <w:rFonts w:ascii="Times New Roman" w:hAnsi="Times New Roman" w:cs="Times New Roman"/>
          <w:b/>
          <w:sz w:val="24"/>
          <w:szCs w:val="24"/>
        </w:rPr>
        <w:t>Východiska a charakteristika</w:t>
      </w:r>
    </w:p>
    <w:p w:rsidR="007955A6" w:rsidRPr="000B521F" w:rsidRDefault="007955A6"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Česká ekonomika se v současnosti nachází na prahu přechodu ke konkurenceschopnosti založené na inovacích. Stávající inovační výkonnost podniků je založena zejména na inovacích nových pro firmu, ale nikoliv pro trh</w:t>
      </w:r>
      <w:r w:rsidR="004E0C10" w:rsidRPr="000B521F">
        <w:rPr>
          <w:rStyle w:val="Znakapoznpodarou"/>
          <w:rFonts w:ascii="Times New Roman" w:hAnsi="Times New Roman" w:cs="Times New Roman"/>
          <w:sz w:val="24"/>
          <w:szCs w:val="24"/>
        </w:rPr>
        <w:footnoteReference w:id="45"/>
      </w:r>
      <w:r w:rsidRPr="000B521F">
        <w:rPr>
          <w:rFonts w:ascii="Times New Roman" w:hAnsi="Times New Roman" w:cs="Times New Roman"/>
          <w:sz w:val="24"/>
          <w:szCs w:val="24"/>
        </w:rPr>
        <w:t>. Dopady tohoto typu inovací jsou zásadní pro produktivitu podniků, nicméně dopady na trh práce jsou ambivalentní. V inovacích nových pro trh a to zejména inovacích vyšších řádů, které jsou v jádru technologicky založené konkurenční výhody místní podnikový sektor dosud silně zaostává</w:t>
      </w:r>
      <w:r w:rsidR="004E0C10" w:rsidRPr="000B521F">
        <w:rPr>
          <w:rStyle w:val="Znakapoznpodarou"/>
          <w:rFonts w:ascii="Times New Roman" w:hAnsi="Times New Roman" w:cs="Times New Roman"/>
          <w:sz w:val="24"/>
          <w:szCs w:val="24"/>
        </w:rPr>
        <w:footnoteReference w:id="46"/>
      </w:r>
      <w:r w:rsidRPr="000B521F">
        <w:rPr>
          <w:rFonts w:ascii="Times New Roman" w:hAnsi="Times New Roman" w:cs="Times New Roman"/>
          <w:sz w:val="24"/>
          <w:szCs w:val="24"/>
        </w:rPr>
        <w:t>.Klíčovými předpoklady úspěšného přechodu</w:t>
      </w:r>
      <w:r w:rsidR="00C523EC" w:rsidRPr="000B521F">
        <w:rPr>
          <w:rFonts w:ascii="Times New Roman" w:hAnsi="Times New Roman" w:cs="Times New Roman"/>
          <w:sz w:val="24"/>
          <w:szCs w:val="24"/>
        </w:rPr>
        <w:t xml:space="preserve"> k inovačně založené konkurenceschopnost, která je předpokladem pro tvorbu nových, kvalitních pracovních míst,</w:t>
      </w:r>
      <w:r w:rsidRPr="000B521F">
        <w:rPr>
          <w:rFonts w:ascii="Times New Roman" w:hAnsi="Times New Roman" w:cs="Times New Roman"/>
          <w:sz w:val="24"/>
          <w:szCs w:val="24"/>
        </w:rPr>
        <w:t xml:space="preserve"> jsou rozvoj podnikatelské kultury, podnikatelství vedoucí k vyšší tvorbě nových firem a posílení inovační a exportní výkonnosti endogenního podnikového sektoru.</w:t>
      </w:r>
      <w:r w:rsidR="009964BD" w:rsidRPr="000B521F">
        <w:rPr>
          <w:rFonts w:ascii="Times New Roman" w:hAnsi="Times New Roman" w:cs="Times New Roman"/>
          <w:sz w:val="24"/>
          <w:szCs w:val="24"/>
        </w:rPr>
        <w:t xml:space="preserve"> </w:t>
      </w:r>
    </w:p>
    <w:p w:rsidR="007955A6" w:rsidRPr="000B521F" w:rsidRDefault="007955A6"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Pro pochopení podstaty současných problémů, výzev a příležitostí je nezbytné vidět podnikový sektor Česka z evoluční perspektivy. Zapojení Česka do světové ekonomiky po roce 1989 stálo zejména na těchto vnitřních faktorech: výhodný poměr ceny a kvalifikace pracovní síly, silná průmyslová tradice a relativní technická vyspělost, kvalitní infrastruktura v rámci zemí střední Evropy a slabý domácí sektor schopný pouze velmi omezené konkurence. Atraktivitu těchto podmínek zvyšovala blízkost rozvinutým evropským trhům s výhledem na vstup do EU. Důsledkem byl vysoký příliv přímých zahraničních investic do ČR a návazně silný růst poptávky po subdodavatelích z ČR, z čehož těžily významně domácí podniky. Většina z nich se napojila přímo či zprostředkovaně na zahraniční firmy působící v ČR a okolních zemích</w:t>
      </w:r>
      <w:r w:rsidR="003B7FFA" w:rsidRPr="000B521F">
        <w:rPr>
          <w:rStyle w:val="Znakapoznpodarou"/>
          <w:rFonts w:ascii="Times New Roman" w:hAnsi="Times New Roman" w:cs="Times New Roman"/>
          <w:sz w:val="24"/>
          <w:szCs w:val="24"/>
        </w:rPr>
        <w:footnoteReference w:id="47"/>
      </w:r>
      <w:r w:rsidRPr="000B521F">
        <w:rPr>
          <w:rFonts w:ascii="Times New Roman" w:hAnsi="Times New Roman" w:cs="Times New Roman"/>
          <w:sz w:val="24"/>
          <w:szCs w:val="24"/>
        </w:rPr>
        <w:t xml:space="preserve">. Uvedený vývoj prospěl ekonomice jako celku, i domácím firmám, které získávaly přístup k manažerskému i technickému know-how a zprostředkovaně také přístup na zahraniční trhy. </w:t>
      </w:r>
    </w:p>
    <w:p w:rsidR="007955A6" w:rsidRPr="000B521F" w:rsidRDefault="007955A6"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Vytvořená silná závislost výkonnosti místní ekonomiky na zahraničních firmách má vedle nesporných pozitiv také svá negativa, která se naplno projevují od vypuknutí vážných problémů ve světové ekonomice roku 2008. Celkový objem výroby, investic a tím také zaměstnanosti je značně závislý na rozhodnutích zahraničních firem. Snížení poptávky dosavadních hlavních odběratelů nejsou zejména MSP schopny dostatečně kompenzovat. Jejich vlastní schopnost nacházet a vstupovat na nové trhy (územně i produktově) je omezená. ČR z tohoto důvodu potřebuje</w:t>
      </w:r>
      <w:r w:rsidR="004E0C10" w:rsidRPr="000B521F">
        <w:rPr>
          <w:rFonts w:ascii="Times New Roman" w:hAnsi="Times New Roman" w:cs="Times New Roman"/>
          <w:sz w:val="24"/>
          <w:szCs w:val="24"/>
        </w:rPr>
        <w:t xml:space="preserve"> vedle rozvoje MSP</w:t>
      </w:r>
      <w:r w:rsidRPr="000B521F">
        <w:rPr>
          <w:rFonts w:ascii="Times New Roman" w:hAnsi="Times New Roman" w:cs="Times New Roman"/>
          <w:sz w:val="24"/>
          <w:szCs w:val="24"/>
        </w:rPr>
        <w:t xml:space="preserve"> podpořit</w:t>
      </w:r>
      <w:r w:rsidR="001B1010" w:rsidRPr="000B521F">
        <w:rPr>
          <w:rFonts w:ascii="Times New Roman" w:hAnsi="Times New Roman" w:cs="Times New Roman"/>
          <w:sz w:val="24"/>
          <w:szCs w:val="24"/>
        </w:rPr>
        <w:t xml:space="preserve"> také</w:t>
      </w:r>
      <w:r w:rsidRPr="000B521F">
        <w:rPr>
          <w:rFonts w:ascii="Times New Roman" w:hAnsi="Times New Roman" w:cs="Times New Roman"/>
          <w:sz w:val="24"/>
          <w:szCs w:val="24"/>
        </w:rPr>
        <w:t xml:space="preserve"> růst velkých firem,neboť ty mají mnohem větší kapacitu systematicky investovat do VaV, včetně rozvoje a využití KET,a zvýšit tak inovační výkonnost ekonomiky jako celku. Jejich úspěch zpětně ovlivňuje celkovou poptáv</w:t>
      </w:r>
      <w:r w:rsidR="00764BAE" w:rsidRPr="000B521F">
        <w:rPr>
          <w:rFonts w:ascii="Times New Roman" w:hAnsi="Times New Roman" w:cs="Times New Roman"/>
          <w:sz w:val="24"/>
          <w:szCs w:val="24"/>
        </w:rPr>
        <w:t>ku po produkci a inovacích MSP.</w:t>
      </w:r>
    </w:p>
    <w:p w:rsidR="00764BAE" w:rsidRPr="000B521F" w:rsidRDefault="00764BAE" w:rsidP="0059011D">
      <w:pPr>
        <w:spacing w:after="120" w:line="240" w:lineRule="auto"/>
        <w:jc w:val="both"/>
        <w:rPr>
          <w:rFonts w:ascii="Times New Roman" w:hAnsi="Times New Roman" w:cs="Times New Roman"/>
          <w:sz w:val="24"/>
          <w:szCs w:val="24"/>
        </w:rPr>
      </w:pPr>
    </w:p>
    <w:p w:rsidR="007955A6" w:rsidRPr="000B521F" w:rsidRDefault="007955A6" w:rsidP="0059011D">
      <w:pPr>
        <w:spacing w:after="120" w:line="240" w:lineRule="auto"/>
        <w:rPr>
          <w:rFonts w:ascii="Times New Roman" w:hAnsi="Times New Roman" w:cs="Times New Roman"/>
          <w:b/>
          <w:sz w:val="24"/>
          <w:szCs w:val="24"/>
        </w:rPr>
      </w:pPr>
      <w:r w:rsidRPr="000B521F">
        <w:rPr>
          <w:rFonts w:ascii="Times New Roman" w:hAnsi="Times New Roman" w:cs="Times New Roman"/>
          <w:b/>
          <w:sz w:val="24"/>
          <w:szCs w:val="24"/>
        </w:rPr>
        <w:lastRenderedPageBreak/>
        <w:t>Zkušenosti z programového období 2007–2013 a stav dosažení současných cílů</w:t>
      </w:r>
    </w:p>
    <w:p w:rsidR="007955A6" w:rsidRPr="000B521F" w:rsidRDefault="007955A6" w:rsidP="0059011D">
      <w:pPr>
        <w:autoSpaceDE w:val="0"/>
        <w:autoSpaceDN w:val="0"/>
        <w:adjustRightInd w:val="0"/>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 xml:space="preserve">Investice ve stávajícím programovém období jsou zaměřené na zvýšení motivace k podnikání zvýšením nabídky zvýhodněného financování a zvýhodněných služeb k zahájení podnikatelské činnosti. Součástí podpory je také uplatňování nových finančních nástrojů, jako jsou fondy mikropůjček a fondy rizikového kapitálu, poskytování zvýhodněných úvěrů, nebo bankovní nástroje, tj. poskytování bankovních záruk a úvěrů a podpora začínajícím inovativním firmám prostřednictvím tzv. seed-fondu. Dále je podporováno zakládání, činnost a další rozvoj podnikatelské infrastruktury, jako jsou například stávající průmyslové parky, inovační centra a regenerace brownfields pro pronikání. V neposlední řadě jsou také důležité kvalitní poradenské služby, které napomohou firmám k využití všech tržních příležitostí. </w:t>
      </w:r>
    </w:p>
    <w:p w:rsidR="007955A6" w:rsidRPr="000B521F" w:rsidRDefault="007955A6" w:rsidP="0059011D">
      <w:pPr>
        <w:autoSpaceDE w:val="0"/>
        <w:autoSpaceDN w:val="0"/>
        <w:adjustRightInd w:val="0"/>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ČR se bude muset v programovém období 2014-2020 zaměřit na posilování úlohy inovací ve strategickém rozhodování o ekonomickém životě firem. Současným problémem ČR je neschopnost přesunout výsledky výzkumu do praxe. Je tedy nutné hledat další možnosti, jak tento deficit snížit a jak umožnit rozvoj vzájemného propojování privátní sféry s akademickým prostředím v návaznosti na výzkumné instituce.</w:t>
      </w:r>
    </w:p>
    <w:p w:rsidR="007955A6" w:rsidRPr="000B521F" w:rsidRDefault="007955A6" w:rsidP="0059011D">
      <w:p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Několikanásobné převisy v požadavcích na podporu investičních projektů do zvyšování konkurenceschopnosti v odvětví zemědělství, potravinářství a lesního hospodářství ukazují, že potřeba investic do zemědělské výroby a zpracování přetrvává. Rovněž kvalitu infrastruktury v zemědělství a lesnictví je třeba i nadále zvyšovat zejména s ohledem na stále nedostatečnou míru realizace komplexních pozemkových úprav.</w:t>
      </w:r>
    </w:p>
    <w:p w:rsidR="00764BAE" w:rsidRPr="000B521F" w:rsidRDefault="00764BAE" w:rsidP="0059011D">
      <w:pPr>
        <w:spacing w:after="120" w:line="240" w:lineRule="auto"/>
        <w:jc w:val="both"/>
        <w:rPr>
          <w:rFonts w:ascii="Times New Roman" w:hAnsi="Times New Roman" w:cs="Times New Roman"/>
          <w:color w:val="000000"/>
          <w:sz w:val="24"/>
          <w:szCs w:val="24"/>
        </w:rPr>
      </w:pPr>
    </w:p>
    <w:p w:rsidR="007955A6" w:rsidRPr="000B521F" w:rsidRDefault="007955A6" w:rsidP="0059011D">
      <w:pPr>
        <w:spacing w:after="120" w:line="240" w:lineRule="auto"/>
        <w:rPr>
          <w:rFonts w:ascii="Times New Roman" w:hAnsi="Times New Roman" w:cs="Times New Roman"/>
          <w:b/>
          <w:color w:val="000000"/>
          <w:sz w:val="24"/>
          <w:szCs w:val="24"/>
        </w:rPr>
      </w:pPr>
      <w:r w:rsidRPr="000B521F">
        <w:rPr>
          <w:rFonts w:ascii="Times New Roman" w:hAnsi="Times New Roman" w:cs="Times New Roman"/>
          <w:b/>
          <w:color w:val="000000"/>
          <w:sz w:val="24"/>
          <w:szCs w:val="24"/>
        </w:rPr>
        <w:t>Územní rozdíly</w:t>
      </w:r>
    </w:p>
    <w:p w:rsidR="00C1708C" w:rsidRPr="000B521F" w:rsidRDefault="00C1708C" w:rsidP="0059011D">
      <w:p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 xml:space="preserve">Podpora podnikání a inovací  se odvíjí od potenciálu a socioekonomické úrovně různých typů regionů. Zejména jde o rozdíly mezi metropolitními a nemetropolitními regiony, dále pak o hospodářsky problémové regiony. Významné jsou rovněž rozdíly na úrovni měst a mikroregionů. V jednotlivých územních celcích existují významné rozdíly ve schopnosti místních aktérů mobilizovat vnitřní i vnější zdroje a realizovat sofistikovanou rozvojovou strategii v souladu s konceptem inteligentní specializace. </w:t>
      </w:r>
    </w:p>
    <w:p w:rsidR="00C1708C" w:rsidRPr="000B521F" w:rsidRDefault="00C1708C" w:rsidP="0059011D">
      <w:p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 xml:space="preserve">Vzhledem k rozložení rozhodujících výzkumných a vzdělávacích kapacit jsou tahounem rozvoje podnikání a inovací hlavní metropole s přilehlým funkčně propojeným zázemím. Zejména Praha a Brno, významný rozvoj v posledních letech zaznamenávají také Plzeň a Ostrava, byť hospodářsky postižený Moravskoslezský kraj čelí selektivní migraci, nadprůměrné míře nezaměstnanosti a nízké míře podnikavosti. V těchto metropolitních územích a dalších velkých městech je podstatně vyšší absorpční kapacita v oblasti podpůrných aktivit zaměřených na vyšší řády inovací. Z pohledu podílu MSP je nadprůměrná pozice hl. m. Prahy, kde téměř ¾ z celkové zaměstnanosti připadají na MSP. Podobné postavení vykazují i kraje Jihomoravský a Zlínský. Naopak nejhorší postavení z hlediska postavení podílu MSP na celkové zaměstnanosti je v Moravskoslezském kraji. Pokud jde o vlastní podporu MSP a vstupu lidí do podnikání je potřebnost podpory i absorpční kapacita mezi regiony podstatně rovnoměrněji rozložená s potřebou specifické pozornosti věnované rozvoji podnikavosti ve strukturálně postižených regionech. </w:t>
      </w:r>
    </w:p>
    <w:p w:rsidR="007955A6" w:rsidRPr="000B521F" w:rsidRDefault="00C1708C" w:rsidP="0059011D">
      <w:p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Podpora podnikání na venkově zejména v ekonomicky méně exponovaných regionech (tj. Karlovarský kraj, kraj Vysočina a Olomoucký kraj a periferní oblasti ostatních krajů) trpí řadou negativních jevů (např. odliv talentovaných mladých lidí, nízká intenzita podnik</w:t>
      </w:r>
      <w:r w:rsidR="00994EB0" w:rsidRPr="000B521F">
        <w:rPr>
          <w:rFonts w:ascii="Times New Roman" w:hAnsi="Times New Roman" w:cs="Times New Roman"/>
          <w:color w:val="000000"/>
          <w:sz w:val="24"/>
          <w:szCs w:val="24"/>
        </w:rPr>
        <w:t>ání, vysoká nezaměstnanost ad.)</w:t>
      </w:r>
      <w:r w:rsidR="007955A6" w:rsidRPr="000B521F">
        <w:rPr>
          <w:rFonts w:ascii="Times New Roman" w:hAnsi="Times New Roman" w:cs="Times New Roman"/>
          <w:color w:val="000000"/>
          <w:sz w:val="24"/>
          <w:szCs w:val="24"/>
        </w:rPr>
        <w:t xml:space="preserve">. </w:t>
      </w:r>
    </w:p>
    <w:p w:rsidR="007955A6" w:rsidRPr="000B521F" w:rsidRDefault="00C66051"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lastRenderedPageBreak/>
        <w:t>Specific</w:t>
      </w:r>
      <w:r w:rsidR="00DD31D9" w:rsidRPr="000B521F">
        <w:rPr>
          <w:rFonts w:ascii="Times New Roman" w:hAnsi="Times New Roman" w:cs="Times New Roman"/>
          <w:sz w:val="24"/>
          <w:szCs w:val="24"/>
        </w:rPr>
        <w:t>k</w:t>
      </w:r>
      <w:r w:rsidRPr="000B521F">
        <w:rPr>
          <w:rFonts w:ascii="Times New Roman" w:hAnsi="Times New Roman" w:cs="Times New Roman"/>
          <w:sz w:val="24"/>
          <w:szCs w:val="24"/>
        </w:rPr>
        <w:t>ou součást regionální konkurenceschopnosti představuje odvětví</w:t>
      </w:r>
      <w:r w:rsidR="007955A6" w:rsidRPr="000B521F">
        <w:rPr>
          <w:rFonts w:ascii="Times New Roman" w:hAnsi="Times New Roman" w:cs="Times New Roman"/>
          <w:sz w:val="24"/>
          <w:szCs w:val="24"/>
        </w:rPr>
        <w:t xml:space="preserve"> cestovního ruchu, </w:t>
      </w:r>
      <w:r w:rsidR="00994EB0" w:rsidRPr="000B521F">
        <w:rPr>
          <w:rFonts w:ascii="Times New Roman" w:hAnsi="Times New Roman" w:cs="Times New Roman"/>
          <w:sz w:val="24"/>
          <w:szCs w:val="24"/>
        </w:rPr>
        <w:t>j</w:t>
      </w:r>
      <w:r w:rsidR="007955A6" w:rsidRPr="000B521F">
        <w:rPr>
          <w:rFonts w:ascii="Times New Roman" w:hAnsi="Times New Roman" w:cs="Times New Roman"/>
          <w:sz w:val="24"/>
          <w:szCs w:val="24"/>
        </w:rPr>
        <w:t>ehož vý</w:t>
      </w:r>
      <w:r w:rsidR="00994EB0" w:rsidRPr="000B521F">
        <w:rPr>
          <w:rFonts w:ascii="Times New Roman" w:hAnsi="Times New Roman" w:cs="Times New Roman"/>
          <w:sz w:val="24"/>
          <w:szCs w:val="24"/>
        </w:rPr>
        <w:t>znam stoupá na lokální úrovni a v některých</w:t>
      </w:r>
      <w:r w:rsidR="007955A6" w:rsidRPr="000B521F">
        <w:rPr>
          <w:rFonts w:ascii="Times New Roman" w:hAnsi="Times New Roman" w:cs="Times New Roman"/>
          <w:sz w:val="24"/>
          <w:szCs w:val="24"/>
        </w:rPr>
        <w:t xml:space="preserve"> oblastech představuje hlavní pilíř ekonomické výkonnosti a zaměstnanosti.</w:t>
      </w:r>
      <w:r w:rsidR="00994EB0" w:rsidRPr="000B521F">
        <w:rPr>
          <w:rFonts w:ascii="Times New Roman" w:hAnsi="Times New Roman" w:cs="Times New Roman"/>
          <w:sz w:val="24"/>
          <w:szCs w:val="24"/>
        </w:rPr>
        <w:t xml:space="preserve"> Jelikož faktory, které ovlivňují rozvoj cestovního ruchu jsou odlišné od ostatních odvětví národního hospodářství (přírodní a kulturní hodnoty), má toto odvětví schopnost přispívat k omezování vzniku socioekonomických disparit. </w:t>
      </w:r>
      <w:r w:rsidR="005A2663" w:rsidRPr="000B521F">
        <w:rPr>
          <w:rFonts w:ascii="Times New Roman" w:hAnsi="Times New Roman" w:cs="Times New Roman"/>
          <w:color w:val="000000"/>
          <w:sz w:val="24"/>
          <w:szCs w:val="24"/>
        </w:rPr>
        <w:t>Posílení konkurenceschopnosti odvětví vyžaduje investice do kvality, vzdělávaní a inovací a specifický přístup k malým a středním podnikům, které jsou doménou tohoto odvětví. Investice proto musí směřovat k jejich profesionalizaci a zajištění dostupnosti kapitálu.</w:t>
      </w:r>
      <w:r w:rsidR="007955A6" w:rsidRPr="000B521F">
        <w:rPr>
          <w:rFonts w:ascii="Times New Roman" w:hAnsi="Times New Roman" w:cs="Times New Roman"/>
          <w:sz w:val="24"/>
          <w:szCs w:val="24"/>
        </w:rPr>
        <w:t xml:space="preserve"> </w:t>
      </w:r>
    </w:p>
    <w:p w:rsidR="00DD31D9" w:rsidRPr="000B521F" w:rsidRDefault="00DD31D9" w:rsidP="0059011D">
      <w:pPr>
        <w:spacing w:after="120" w:line="240" w:lineRule="auto"/>
        <w:jc w:val="both"/>
        <w:rPr>
          <w:rFonts w:ascii="Times New Roman" w:hAnsi="Times New Roman" w:cs="Times New Roman"/>
          <w:color w:val="000000"/>
          <w:sz w:val="24"/>
          <w:szCs w:val="24"/>
        </w:rPr>
      </w:pPr>
    </w:p>
    <w:p w:rsidR="007955A6" w:rsidRPr="000B521F" w:rsidRDefault="007955A6" w:rsidP="0059011D">
      <w:pPr>
        <w:spacing w:after="120" w:line="240" w:lineRule="auto"/>
        <w:rPr>
          <w:rFonts w:ascii="Times New Roman" w:hAnsi="Times New Roman" w:cs="Times New Roman"/>
          <w:b/>
          <w:sz w:val="24"/>
          <w:szCs w:val="24"/>
        </w:rPr>
      </w:pPr>
      <w:r w:rsidRPr="000B521F">
        <w:rPr>
          <w:rFonts w:ascii="Times New Roman" w:hAnsi="Times New Roman" w:cs="Times New Roman"/>
          <w:b/>
          <w:sz w:val="24"/>
          <w:szCs w:val="24"/>
        </w:rPr>
        <w:t>Hlavní identifikované problémy a potřeby rozvoje</w:t>
      </w:r>
    </w:p>
    <w:p w:rsidR="007955A6" w:rsidRPr="000B521F" w:rsidRDefault="007955A6" w:rsidP="0059011D">
      <w:pPr>
        <w:spacing w:after="120" w:line="240" w:lineRule="auto"/>
        <w:jc w:val="both"/>
        <w:rPr>
          <w:rFonts w:ascii="Times New Roman" w:hAnsi="Times New Roman" w:cs="Times New Roman"/>
          <w:b/>
          <w:i/>
          <w:sz w:val="24"/>
          <w:szCs w:val="24"/>
        </w:rPr>
      </w:pPr>
      <w:r w:rsidRPr="000B521F">
        <w:rPr>
          <w:rFonts w:ascii="Times New Roman" w:hAnsi="Times New Roman" w:cs="Times New Roman"/>
          <w:b/>
          <w:i/>
          <w:sz w:val="24"/>
          <w:szCs w:val="24"/>
        </w:rPr>
        <w:t>1. Slabý endogenní podnikatelský sektor</w:t>
      </w:r>
    </w:p>
    <w:p w:rsidR="007955A6" w:rsidRPr="000B521F" w:rsidRDefault="007955A6"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Segment domácích firem prošel v posledním desetiletí dynamickým rozvojem. Přesto pouze menší, byť postupně rostoucí, část firem je schopna obchodně a technologicky držet krok s tempem vývoje na světových trzích</w:t>
      </w:r>
      <w:r w:rsidR="003B7FFA" w:rsidRPr="000B521F">
        <w:rPr>
          <w:rStyle w:val="Znakapoznpodarou"/>
          <w:rFonts w:ascii="Times New Roman" w:hAnsi="Times New Roman" w:cs="Times New Roman"/>
          <w:sz w:val="24"/>
          <w:szCs w:val="24"/>
        </w:rPr>
        <w:footnoteReference w:id="48"/>
      </w:r>
      <w:r w:rsidRPr="000B521F">
        <w:rPr>
          <w:rFonts w:ascii="Times New Roman" w:hAnsi="Times New Roman" w:cs="Times New Roman"/>
          <w:sz w:val="24"/>
          <w:szCs w:val="24"/>
        </w:rPr>
        <w:t>. Pomyslným hnacím motorem růstu produktivity, exportu a tím i celkového hospodářského výkonu země je a nadále zůstane segment zahraničních firem. Posílení endogenního segmentu firem je zásadním předpokladem dalšího přiblížení hospodářské výkonnosti předním zemím OECD. Hlavní problémy:</w:t>
      </w:r>
    </w:p>
    <w:p w:rsidR="007955A6" w:rsidRPr="000B521F" w:rsidRDefault="007955A6"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Velmi nízký počet endogenních firem s významným postavením na světových trzích ať už jde o tržní podíl či schopnost posunovat technologickou hranici oboru</w:t>
      </w:r>
      <w:r w:rsidR="003B7FFA" w:rsidRPr="000B521F">
        <w:rPr>
          <w:rStyle w:val="Znakapoznpodarou"/>
          <w:rFonts w:ascii="Times New Roman" w:hAnsi="Times New Roman" w:cs="Times New Roman"/>
          <w:sz w:val="24"/>
          <w:szCs w:val="24"/>
        </w:rPr>
        <w:footnoteReference w:id="49"/>
      </w:r>
      <w:r w:rsidRPr="000B521F">
        <w:rPr>
          <w:rFonts w:ascii="Times New Roman" w:hAnsi="Times New Roman" w:cs="Times New Roman"/>
          <w:sz w:val="24"/>
          <w:szCs w:val="24"/>
        </w:rPr>
        <w:t>. Jelikož přední zahraniční firmy působící v ČR mají své výzkumné a strategické funkce z velké části mimo ČR, způsobuje tento problém slabou inovační poptávku v segmentu inovací vyšších řádů. Tato skutečnost zásadně ovlivňuje celkový potenciál a obsah spolupráce podnikového sektoru s výzkumnými institucemi (viz Výzkumný a inovační systém)</w:t>
      </w:r>
      <w:r w:rsidR="003B7FFA" w:rsidRPr="000B521F">
        <w:rPr>
          <w:rStyle w:val="Znakapoznpodarou"/>
          <w:rFonts w:ascii="Times New Roman" w:hAnsi="Times New Roman" w:cs="Times New Roman"/>
          <w:sz w:val="24"/>
          <w:szCs w:val="24"/>
        </w:rPr>
        <w:footnoteReference w:id="50"/>
      </w:r>
      <w:r w:rsidRPr="000B521F">
        <w:rPr>
          <w:rFonts w:ascii="Times New Roman" w:hAnsi="Times New Roman" w:cs="Times New Roman"/>
          <w:sz w:val="24"/>
          <w:szCs w:val="24"/>
        </w:rPr>
        <w:t xml:space="preserve">. </w:t>
      </w:r>
    </w:p>
    <w:p w:rsidR="007955A6" w:rsidRPr="000B521F" w:rsidRDefault="007955A6"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Většina endogenních průmyslových firem s 250+ zaměstnanci spadá formálně do kategorie „velké“. Nicméně dle reálné finanční síly a ekonomické moci je za velké považovat nelze (zvláště ty s méně než 500 zaměstnanci). Většina těchto firem vznikla z bývalých státních podniků či jejich post-privatizačních následovníků. Jejich typickým znakem byl vnitřní dluh v podobě zastaralé výrobní infrastruktury, energeticky náročných budov atd. S tímto investičním dluhem řada z nich bojuje do současnosti, což je stojí prostředky, které jejich konkurenti mohou věnovat na inovace a související rizikové výzkumné a vývojové aktivity.</w:t>
      </w:r>
    </w:p>
    <w:p w:rsidR="007955A6" w:rsidRPr="000B521F" w:rsidRDefault="007955A6"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Většina MSP má značně omezené netechnické kompetence, zejm. v oblastech, které jsou kritické pro vyhledávání a využívání nových podnikatelských příležitostí (strategické řízení, marketing, inovační management, zahraniční obchod ad.). Tato bariéra limituje jejich schopnost dostat se ze závislosti na omezeném množství velkých odběratelů. Stejně tak omezuje jejich ambice a schopnosti v oblasti inovací. Omezené jsou dále zkušenosti se strategickým řízením firem, zejména řízením dynamického růstu a přechodu z malé rodinné firmy ve velkou mezinárodní firmu. </w:t>
      </w:r>
    </w:p>
    <w:p w:rsidR="007955A6" w:rsidRPr="000B521F" w:rsidRDefault="007955A6" w:rsidP="0059011D">
      <w:pPr>
        <w:spacing w:after="120" w:line="240" w:lineRule="auto"/>
        <w:jc w:val="both"/>
        <w:rPr>
          <w:rFonts w:ascii="Times New Roman" w:hAnsi="Times New Roman" w:cs="Times New Roman"/>
          <w:i/>
          <w:sz w:val="24"/>
          <w:szCs w:val="24"/>
        </w:rPr>
      </w:pPr>
      <w:r w:rsidRPr="000B521F">
        <w:rPr>
          <w:rFonts w:ascii="Times New Roman" w:hAnsi="Times New Roman" w:cs="Times New Roman"/>
          <w:i/>
          <w:sz w:val="24"/>
          <w:szCs w:val="24"/>
        </w:rPr>
        <w:t>Potřeby rozvoje:</w:t>
      </w:r>
    </w:p>
    <w:p w:rsidR="008206A4" w:rsidRPr="000B521F" w:rsidRDefault="007955A6" w:rsidP="0059011D">
      <w:pPr>
        <w:pStyle w:val="Odstavecseseznamem"/>
        <w:numPr>
          <w:ilvl w:val="0"/>
          <w:numId w:val="36"/>
        </w:numPr>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Zvýšit schopnost MSP samostatně se prosazovat na náročných a vzdálených zahraničních trzích</w:t>
      </w:r>
      <w:r w:rsidR="00264AE0">
        <w:rPr>
          <w:rFonts w:ascii="Times New Roman" w:hAnsi="Times New Roman" w:cs="Times New Roman"/>
          <w:sz w:val="24"/>
          <w:szCs w:val="24"/>
        </w:rPr>
        <w:t>.</w:t>
      </w:r>
    </w:p>
    <w:p w:rsidR="008206A4" w:rsidRPr="000B521F" w:rsidRDefault="007955A6" w:rsidP="00EA7965">
      <w:pPr>
        <w:pStyle w:val="Odstavecseseznamem"/>
        <w:numPr>
          <w:ilvl w:val="0"/>
          <w:numId w:val="36"/>
        </w:numPr>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Rozšíření kapacit průmyslového výzkumu a vývoje v</w:t>
      </w:r>
      <w:r w:rsidR="00EA7965">
        <w:rPr>
          <w:rFonts w:ascii="Times New Roman" w:hAnsi="Times New Roman" w:cs="Times New Roman"/>
          <w:sz w:val="24"/>
          <w:szCs w:val="24"/>
        </w:rPr>
        <w:t> </w:t>
      </w:r>
      <w:r w:rsidRPr="000B521F">
        <w:rPr>
          <w:rFonts w:ascii="Times New Roman" w:hAnsi="Times New Roman" w:cs="Times New Roman"/>
          <w:sz w:val="24"/>
          <w:szCs w:val="24"/>
        </w:rPr>
        <w:t>podnicích</w:t>
      </w:r>
      <w:r w:rsidR="00EA7965">
        <w:rPr>
          <w:rFonts w:ascii="Times New Roman" w:hAnsi="Times New Roman" w:cs="Times New Roman"/>
          <w:sz w:val="24"/>
          <w:szCs w:val="24"/>
        </w:rPr>
        <w:t xml:space="preserve">, </w:t>
      </w:r>
      <w:r w:rsidR="00EA7965" w:rsidRPr="00EA7965">
        <w:rPr>
          <w:rFonts w:ascii="Times New Roman" w:hAnsi="Times New Roman" w:cs="Times New Roman"/>
          <w:sz w:val="24"/>
          <w:szCs w:val="24"/>
        </w:rPr>
        <w:t xml:space="preserve">vývoj a zavádění </w:t>
      </w:r>
      <w:r w:rsidR="00F4309A">
        <w:rPr>
          <w:rFonts w:ascii="Times New Roman" w:hAnsi="Times New Roman" w:cs="Times New Roman"/>
          <w:sz w:val="24"/>
          <w:szCs w:val="24"/>
        </w:rPr>
        <w:t>procesních a produktových</w:t>
      </w:r>
      <w:r w:rsidR="00EA7965" w:rsidRPr="00EA7965">
        <w:rPr>
          <w:rFonts w:ascii="Times New Roman" w:hAnsi="Times New Roman" w:cs="Times New Roman"/>
          <w:sz w:val="24"/>
          <w:szCs w:val="24"/>
        </w:rPr>
        <w:t xml:space="preserve"> inovací</w:t>
      </w:r>
    </w:p>
    <w:p w:rsidR="008206A4" w:rsidRPr="000B521F" w:rsidRDefault="007955A6" w:rsidP="0059011D">
      <w:pPr>
        <w:pStyle w:val="Odstavecseseznamem"/>
        <w:numPr>
          <w:ilvl w:val="0"/>
          <w:numId w:val="36"/>
        </w:numPr>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lastRenderedPageBreak/>
        <w:t>Zlepšit strategické řízení MSP, zvýšit jejich aspirace v oblasti inovací a zahraniční expanze a zlepšit řízení inovací, včetně většího využití externích zdrojů znalostí a technologií v souladu s trendem open – innovation</w:t>
      </w:r>
      <w:r w:rsidR="00264AE0">
        <w:rPr>
          <w:rFonts w:ascii="Times New Roman" w:hAnsi="Times New Roman" w:cs="Times New Roman"/>
          <w:sz w:val="24"/>
          <w:szCs w:val="24"/>
        </w:rPr>
        <w:t>.</w:t>
      </w:r>
    </w:p>
    <w:p w:rsidR="008206A4" w:rsidRPr="000B521F" w:rsidRDefault="007955A6" w:rsidP="0059011D">
      <w:pPr>
        <w:pStyle w:val="Odstavecseseznamem"/>
        <w:numPr>
          <w:ilvl w:val="0"/>
          <w:numId w:val="36"/>
        </w:numPr>
        <w:spacing w:line="240" w:lineRule="auto"/>
        <w:jc w:val="both"/>
        <w:rPr>
          <w:rFonts w:ascii="Times New Roman" w:hAnsi="Times New Roman" w:cs="Times New Roman"/>
          <w:sz w:val="24"/>
          <w:szCs w:val="24"/>
        </w:rPr>
      </w:pPr>
      <w:r w:rsidRPr="000B521F">
        <w:rPr>
          <w:rFonts w:ascii="Times New Roman" w:hAnsi="Times New Roman" w:cs="Times New Roman"/>
          <w:sz w:val="24"/>
          <w:szCs w:val="24"/>
        </w:rPr>
        <w:t>Více využít potenciál vzájemné spolupráce firem v oblasti inovací, včetně spolupráce MSP se zahraničními firmami (nejen lokalizovanými v ČR)</w:t>
      </w:r>
      <w:r w:rsidR="00264AE0">
        <w:rPr>
          <w:rFonts w:ascii="Times New Roman" w:hAnsi="Times New Roman" w:cs="Times New Roman"/>
          <w:sz w:val="24"/>
          <w:szCs w:val="24"/>
        </w:rPr>
        <w:t>.</w:t>
      </w:r>
    </w:p>
    <w:p w:rsidR="008206A4" w:rsidRPr="000B521F" w:rsidRDefault="007955A6" w:rsidP="0059011D">
      <w:pPr>
        <w:pStyle w:val="Odstavecseseznamem"/>
        <w:numPr>
          <w:ilvl w:val="0"/>
          <w:numId w:val="36"/>
        </w:numPr>
        <w:spacing w:line="240" w:lineRule="auto"/>
        <w:jc w:val="both"/>
        <w:rPr>
          <w:rFonts w:ascii="Times New Roman" w:hAnsi="Times New Roman" w:cs="Times New Roman"/>
          <w:sz w:val="24"/>
          <w:szCs w:val="24"/>
        </w:rPr>
      </w:pPr>
      <w:r w:rsidRPr="000B521F">
        <w:rPr>
          <w:rFonts w:ascii="Times New Roman" w:hAnsi="Times New Roman" w:cs="Times New Roman"/>
          <w:sz w:val="24"/>
          <w:szCs w:val="24"/>
        </w:rPr>
        <w:t>Rozvoj infrastruktury a služeb podporující potřeby</w:t>
      </w:r>
      <w:r w:rsidR="002816E6">
        <w:rPr>
          <w:rFonts w:ascii="Times New Roman" w:hAnsi="Times New Roman" w:cs="Times New Roman"/>
          <w:sz w:val="24"/>
          <w:szCs w:val="24"/>
        </w:rPr>
        <w:t xml:space="preserve"> rozvoje podniků</w:t>
      </w:r>
      <w:r w:rsidR="00264AE0">
        <w:rPr>
          <w:rFonts w:ascii="Times New Roman" w:hAnsi="Times New Roman" w:cs="Times New Roman"/>
          <w:sz w:val="24"/>
          <w:szCs w:val="24"/>
        </w:rPr>
        <w:t>.</w:t>
      </w:r>
    </w:p>
    <w:p w:rsidR="0015622A" w:rsidRDefault="0015622A" w:rsidP="0059011D">
      <w:pPr>
        <w:pStyle w:val="Odstavecseseznamem"/>
        <w:spacing w:line="240" w:lineRule="auto"/>
        <w:ind w:left="0"/>
        <w:jc w:val="both"/>
        <w:rPr>
          <w:rFonts w:ascii="Times New Roman" w:hAnsi="Times New Roman" w:cs="Times New Roman"/>
          <w:sz w:val="24"/>
          <w:szCs w:val="24"/>
        </w:rPr>
      </w:pPr>
    </w:p>
    <w:p w:rsidR="00F91B79" w:rsidRPr="000B521F" w:rsidRDefault="00F91B79" w:rsidP="0059011D">
      <w:pPr>
        <w:pStyle w:val="Odstavecseseznamem"/>
        <w:spacing w:line="240" w:lineRule="auto"/>
        <w:ind w:left="0"/>
        <w:jc w:val="both"/>
        <w:rPr>
          <w:rFonts w:ascii="Times New Roman" w:hAnsi="Times New Roman" w:cs="Times New Roman"/>
          <w:sz w:val="24"/>
          <w:szCs w:val="24"/>
        </w:rPr>
      </w:pPr>
      <w:r w:rsidRPr="001547C0">
        <w:rPr>
          <w:rFonts w:ascii="Times New Roman" w:eastAsia="Times New Roman" w:hAnsi="Times New Roman" w:cs="Times New Roman"/>
          <w:sz w:val="24"/>
          <w:szCs w:val="24"/>
        </w:rPr>
        <w:t>Zejména v</w:t>
      </w:r>
      <w:r>
        <w:rPr>
          <w:rFonts w:ascii="Times New Roman" w:eastAsia="Times New Roman" w:hAnsi="Times New Roman" w:cs="Times New Roman"/>
          <w:sz w:val="24"/>
          <w:szCs w:val="24"/>
        </w:rPr>
        <w:t> oblastech výzkumu a vývoje v podnicích a</w:t>
      </w:r>
      <w:r w:rsidRPr="001547C0">
        <w:rPr>
          <w:rFonts w:ascii="Times New Roman" w:eastAsia="Times New Roman" w:hAnsi="Times New Roman" w:cs="Times New Roman"/>
          <w:sz w:val="24"/>
          <w:szCs w:val="24"/>
        </w:rPr>
        <w:t xml:space="preserve"> zavádění produktových a procesních inovací budou identifikované potřeby řešeny částečně také prostřednictvím finančních nástrojů</w:t>
      </w:r>
      <w:r>
        <w:rPr>
          <w:rFonts w:ascii="Times New Roman" w:eastAsia="Times New Roman" w:hAnsi="Times New Roman" w:cs="Times New Roman"/>
          <w:sz w:val="24"/>
          <w:szCs w:val="24"/>
        </w:rPr>
        <w:t>.</w:t>
      </w:r>
    </w:p>
    <w:p w:rsidR="007955A6" w:rsidRPr="000B521F" w:rsidRDefault="007955A6" w:rsidP="0059011D">
      <w:pPr>
        <w:spacing w:after="120" w:line="240" w:lineRule="auto"/>
        <w:rPr>
          <w:rFonts w:ascii="Times New Roman" w:hAnsi="Times New Roman" w:cs="Times New Roman"/>
          <w:sz w:val="24"/>
          <w:szCs w:val="24"/>
        </w:rPr>
      </w:pPr>
      <w:r w:rsidRPr="000B521F">
        <w:rPr>
          <w:rFonts w:ascii="Times New Roman" w:hAnsi="Times New Roman" w:cs="Times New Roman"/>
          <w:b/>
          <w:i/>
          <w:sz w:val="24"/>
          <w:szCs w:val="24"/>
        </w:rPr>
        <w:t>2. Podnikatelská kultura, intenzita podnikání a podnikatelské aspirace</w:t>
      </w:r>
    </w:p>
    <w:p w:rsidR="007955A6" w:rsidRPr="000B521F" w:rsidRDefault="007955A6"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Rozvinutá podnikatelská kultura a vysoká míra podnikání jsou klíčovým předpokladem celkového posílení endogenního segmentu firem i vyšší inovační výkonnosti místní ekonomiky. Čtyři dekády centrálního plánování prakticky zničily podnikatelství a s ním související specifické znalosti a dovednosti. Česko v této oblasti čelí těmto problémům:</w:t>
      </w:r>
    </w:p>
    <w:p w:rsidR="007955A6" w:rsidRPr="000B521F" w:rsidRDefault="007955A6"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Nízká tvorba nových, zejm. technologických, firem. Nedostatečná motivace lidí k zakládání vlastních podniků. Přitom tvorba nových firem, zejména technologicky orientovaných, je zásadní ingrediencí pro dlouhodobé posílení endogenního sektoru firem</w:t>
      </w:r>
      <w:r w:rsidR="00EB4CD0" w:rsidRPr="000B521F">
        <w:rPr>
          <w:rStyle w:val="Znakapoznpodarou"/>
          <w:rFonts w:ascii="Times New Roman" w:hAnsi="Times New Roman" w:cs="Times New Roman"/>
          <w:sz w:val="24"/>
          <w:szCs w:val="24"/>
        </w:rPr>
        <w:footnoteReference w:id="51"/>
      </w:r>
      <w:r w:rsidRPr="000B521F">
        <w:rPr>
          <w:rFonts w:ascii="Times New Roman" w:hAnsi="Times New Roman" w:cs="Times New Roman"/>
          <w:sz w:val="24"/>
          <w:szCs w:val="24"/>
        </w:rPr>
        <w:t>.</w:t>
      </w:r>
    </w:p>
    <w:p w:rsidR="007955A6" w:rsidRPr="000B521F" w:rsidRDefault="007955A6"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Přes rozdíly mezi regiony jsou ve společnosti zakořeněny vzorce chování a hodnot, které nepřejí rozvoji podnikání a inovací a přispívají k nízké motivaci pro zahájení vlastního podnikání: Podnikání je většinou společnosti vnímáno jako cesta k materiálnímu bohatství úzké skupiny osob (mnohdy ne zcela morální) a nikoliv jako zdroj rozvoje společnosti, technologií a celkového blahobytu. Rozšířen je názor, že úspěchu lze snadněji dosáhnout prostřednictvím správných kontaktů než vlastní vizí a tvrdou prací na jejím naplnění Obyvatelé ČR jsou také méně ochotní podstupovat riziko a preferují spíše zaměstnanecký poměr před vlastním podnikáním. To se projevuje mj. tím, že absolventi VŠ masově usilují o nalezení zaměstnání v pobočce renomované zahraniční firmy či ve veřejném sektoru namísto aspirace o vytvoření vlastní firmy. </w:t>
      </w:r>
    </w:p>
    <w:p w:rsidR="007955A6" w:rsidRPr="000B521F" w:rsidRDefault="007955A6"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Nedostatečné jsou možnosti vnějšího financování založení a rozvoje MSP</w:t>
      </w:r>
      <w:r w:rsidR="00EB4CD0" w:rsidRPr="000B521F">
        <w:rPr>
          <w:rStyle w:val="Znakapoznpodarou"/>
          <w:rFonts w:ascii="Times New Roman" w:hAnsi="Times New Roman" w:cs="Times New Roman"/>
          <w:sz w:val="24"/>
          <w:szCs w:val="24"/>
        </w:rPr>
        <w:footnoteReference w:id="52"/>
      </w:r>
      <w:r w:rsidRPr="000B521F">
        <w:rPr>
          <w:rFonts w:ascii="Times New Roman" w:hAnsi="Times New Roman" w:cs="Times New Roman"/>
          <w:sz w:val="24"/>
          <w:szCs w:val="24"/>
        </w:rPr>
        <w:t>. Podniky tradičně získávají prostředky na svůj rozvoj prostřednictvím bankovních úvěrů, přičemž malé a začínající firmy mají přístup k úvěrům obtížnější, zvláště v podmínkách zhoršeného rizikového sentimentu bank. V případě zajištění rizikového kapitálu pro rozvoj inovačních firem dochází v ČR k  selhání trhu a podle statistik Eurostatu nedochází v rané fázi podniků ze strany soukromých kapitálových fondů téměř k jejich zainvestování.</w:t>
      </w:r>
    </w:p>
    <w:p w:rsidR="007955A6" w:rsidRPr="000B521F" w:rsidRDefault="007955A6"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i/>
          <w:sz w:val="24"/>
          <w:szCs w:val="24"/>
        </w:rPr>
        <w:t>Potřeby rozvoje</w:t>
      </w:r>
      <w:r w:rsidRPr="000B521F">
        <w:rPr>
          <w:rFonts w:ascii="Times New Roman" w:hAnsi="Times New Roman" w:cs="Times New Roman"/>
          <w:sz w:val="24"/>
          <w:szCs w:val="24"/>
        </w:rPr>
        <w:t>:</w:t>
      </w:r>
    </w:p>
    <w:p w:rsidR="008206A4" w:rsidRPr="000B521F" w:rsidRDefault="007955A6" w:rsidP="0059011D">
      <w:pPr>
        <w:pStyle w:val="Odstavecseseznamem"/>
        <w:numPr>
          <w:ilvl w:val="0"/>
          <w:numId w:val="37"/>
        </w:numPr>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Zvýšit podíl obyvatel poprvé zahajujících vlastní podnikání, stejně jako lidí opakovaně zahajujících vlastní podnikání</w:t>
      </w:r>
    </w:p>
    <w:p w:rsidR="008206A4" w:rsidRPr="000B521F" w:rsidRDefault="007955A6" w:rsidP="0059011D">
      <w:pPr>
        <w:pStyle w:val="Odstavecseseznamem"/>
        <w:numPr>
          <w:ilvl w:val="0"/>
          <w:numId w:val="37"/>
        </w:numPr>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Zvýšit tvorbu nových firem, zejm. ve znalostně intenzivních oblastech</w:t>
      </w:r>
    </w:p>
    <w:p w:rsidR="008206A4" w:rsidRPr="000B521F" w:rsidRDefault="007955A6" w:rsidP="0059011D">
      <w:pPr>
        <w:pStyle w:val="Odstavecseseznamem"/>
        <w:numPr>
          <w:ilvl w:val="0"/>
          <w:numId w:val="37"/>
        </w:numPr>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Zlepšit image podnikání a podnikatelů a jejich přínosu pro společnost</w:t>
      </w:r>
    </w:p>
    <w:p w:rsidR="008206A4" w:rsidRPr="000B521F" w:rsidRDefault="007955A6" w:rsidP="0059011D">
      <w:pPr>
        <w:pStyle w:val="Odstavecseseznamem"/>
        <w:numPr>
          <w:ilvl w:val="0"/>
          <w:numId w:val="37"/>
        </w:numPr>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Zajistit dostupnost kvalitních služeb pro začínající podnikatele</w:t>
      </w:r>
    </w:p>
    <w:p w:rsidR="008206A4" w:rsidRPr="000B521F" w:rsidRDefault="007955A6" w:rsidP="0059011D">
      <w:pPr>
        <w:pStyle w:val="Odstavecseseznamem"/>
        <w:numPr>
          <w:ilvl w:val="0"/>
          <w:numId w:val="37"/>
        </w:numPr>
        <w:spacing w:before="120" w:after="120" w:line="240" w:lineRule="auto"/>
        <w:jc w:val="both"/>
        <w:rPr>
          <w:rFonts w:ascii="Times New Roman" w:hAnsi="Times New Roman" w:cs="Times New Roman"/>
          <w:b/>
          <w:sz w:val="24"/>
          <w:szCs w:val="24"/>
        </w:rPr>
      </w:pPr>
      <w:r w:rsidRPr="000B521F">
        <w:rPr>
          <w:rFonts w:ascii="Times New Roman" w:hAnsi="Times New Roman" w:cs="Times New Roman"/>
          <w:sz w:val="24"/>
          <w:szCs w:val="24"/>
        </w:rPr>
        <w:t>Zvýšit dostupnost vnějšího financování pro začínající podnikatele a inovační podniky, včetně rizikového kapitálu</w:t>
      </w:r>
    </w:p>
    <w:p w:rsidR="00F91B79" w:rsidRPr="00F91B79" w:rsidRDefault="00F91B79" w:rsidP="00F91B79">
      <w:pPr>
        <w:spacing w:before="120" w:after="120" w:line="240" w:lineRule="auto"/>
        <w:ind w:left="142"/>
        <w:jc w:val="both"/>
        <w:rPr>
          <w:rFonts w:ascii="Times New Roman" w:hAnsi="Times New Roman" w:cs="Times New Roman"/>
          <w:sz w:val="24"/>
          <w:szCs w:val="24"/>
        </w:rPr>
      </w:pPr>
      <w:r w:rsidRPr="00F91B79">
        <w:rPr>
          <w:rFonts w:ascii="Times New Roman" w:hAnsi="Times New Roman" w:cs="Times New Roman"/>
          <w:sz w:val="24"/>
          <w:szCs w:val="24"/>
        </w:rPr>
        <w:lastRenderedPageBreak/>
        <w:t>Identifikovaná potřeba v oblasti zajištění dostupného financování pro založení a rozvoj MSP bude řešena také prostřednictvím finančních nástrojů, zejména ve formě rizikového kapitálu, ale také úvěrů a záruk.</w:t>
      </w:r>
    </w:p>
    <w:p w:rsidR="00F3719F" w:rsidRDefault="00F3719F">
      <w:pPr>
        <w:pStyle w:val="Odstavecseseznamem"/>
        <w:spacing w:before="120" w:after="120" w:line="240" w:lineRule="auto"/>
        <w:ind w:left="502"/>
        <w:jc w:val="both"/>
        <w:rPr>
          <w:rFonts w:ascii="Times New Roman" w:hAnsi="Times New Roman" w:cs="Times New Roman"/>
          <w:b/>
          <w:sz w:val="24"/>
          <w:szCs w:val="24"/>
        </w:rPr>
      </w:pPr>
    </w:p>
    <w:p w:rsidR="007955A6" w:rsidRPr="000B521F" w:rsidRDefault="007955A6" w:rsidP="0059011D">
      <w:pPr>
        <w:spacing w:after="120" w:line="240" w:lineRule="auto"/>
        <w:jc w:val="both"/>
        <w:rPr>
          <w:rFonts w:ascii="Times New Roman" w:hAnsi="Times New Roman" w:cs="Times New Roman"/>
          <w:b/>
          <w:sz w:val="24"/>
          <w:szCs w:val="24"/>
        </w:rPr>
      </w:pPr>
      <w:r w:rsidRPr="000B521F">
        <w:rPr>
          <w:rFonts w:ascii="Times New Roman" w:hAnsi="Times New Roman" w:cs="Times New Roman"/>
          <w:b/>
          <w:i/>
          <w:sz w:val="24"/>
          <w:szCs w:val="24"/>
        </w:rPr>
        <w:t>3. Prostředí pro podnikání</w:t>
      </w:r>
    </w:p>
    <w:p w:rsidR="007955A6" w:rsidRPr="000B521F" w:rsidRDefault="007955A6"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Každá firma ze svého okolí čerpá významné vstupy, jejichž kvalita a dostupnost významně ovlivňují její konkurenční schopnost. Součástí podnikatelského prostředí je také regulace a to jak obecná (např. procedury potřebné k zahájení podnikání či vyvezení zboží do zahraničí), tak oborově specifická (např. pravidla v nakládání s radioaktivními materiály). V Česku je administrativní náročnost splnění regulačních pravidel a souvisejících procedur vysoká. V řadě ohledů (</w:t>
      </w:r>
      <w:r w:rsidR="0015622A" w:rsidRPr="000B521F">
        <w:rPr>
          <w:rFonts w:ascii="Times New Roman" w:hAnsi="Times New Roman" w:cs="Times New Roman"/>
          <w:sz w:val="24"/>
          <w:szCs w:val="24"/>
        </w:rPr>
        <w:t>viz zpráva Světové banky Doing B</w:t>
      </w:r>
      <w:r w:rsidRPr="000B521F">
        <w:rPr>
          <w:rFonts w:ascii="Times New Roman" w:hAnsi="Times New Roman" w:cs="Times New Roman"/>
          <w:sz w:val="24"/>
          <w:szCs w:val="24"/>
        </w:rPr>
        <w:t>usiness, 2013)je Česko z hlediska délky trvání různých procedur souvisejících s podnikáním hluboko za zeměmi OECD. Problémem je také nestabilita daňového a regulačního rámce podnikání. Neustálé dílčí změny daňových zákonů a regulačních pravidel enormně zatěžují plánování firem a zvyšují nejistotu a tím podstupovaná rizika. Problematika vysoké regulační a administrativní zátěže je podrobně řešena v problémové oblasti Veřejná správa. Zajištění stabilního daňového a regulačního prostředí není přímo ovlivnitelné prostřednictvím ESIF, pro efektivní využití investic je však nezbytné.</w:t>
      </w:r>
    </w:p>
    <w:p w:rsidR="00DC5011" w:rsidRPr="000B521F" w:rsidRDefault="007955A6" w:rsidP="0059011D">
      <w:pPr>
        <w:pStyle w:val="Odstavecseseznamem"/>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Další bariérou rozvoje konkurenční výhody firem je již zmíněná nedostatečná spolupráce veřejného výzkumného sektoru s podniky. Neuspokojivá je dostupnost kvalifikované pracovní síly související se snižující se kvalitou vzdělávání na všech úrovních, přičemž zvláště problematická je situace na trhu technicky kvalifikované pracovní síly. Uvedené problémy včetně navazujících rozvojových potřeb jsou podrobněji popsány v kapitolách Výzkumný a inovační systém a Vzdělávání.</w:t>
      </w:r>
    </w:p>
    <w:p w:rsidR="0015622A" w:rsidRPr="000B521F" w:rsidRDefault="0015622A" w:rsidP="0059011D">
      <w:pPr>
        <w:pStyle w:val="Odstavecseseznamem"/>
        <w:spacing w:after="120" w:line="240" w:lineRule="auto"/>
        <w:ind w:left="0"/>
        <w:jc w:val="both"/>
        <w:rPr>
          <w:rFonts w:ascii="Times New Roman" w:hAnsi="Times New Roman" w:cs="Times New Roman"/>
          <w:sz w:val="24"/>
          <w:szCs w:val="24"/>
        </w:rPr>
      </w:pPr>
    </w:p>
    <w:p w:rsidR="00DC5011" w:rsidRPr="000B521F" w:rsidRDefault="00DC5011"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b/>
          <w:i/>
          <w:sz w:val="24"/>
          <w:szCs w:val="24"/>
        </w:rPr>
        <w:t>4. Vysoká energetická</w:t>
      </w:r>
      <w:r w:rsidR="0028222B" w:rsidRPr="000B521F">
        <w:rPr>
          <w:rFonts w:ascii="Times New Roman" w:hAnsi="Times New Roman" w:cs="Times New Roman"/>
          <w:b/>
          <w:i/>
          <w:sz w:val="24"/>
          <w:szCs w:val="24"/>
        </w:rPr>
        <w:t xml:space="preserve"> a surovinová</w:t>
      </w:r>
      <w:r w:rsidRPr="000B521F">
        <w:rPr>
          <w:rFonts w:ascii="Times New Roman" w:hAnsi="Times New Roman" w:cs="Times New Roman"/>
          <w:b/>
          <w:i/>
          <w:sz w:val="24"/>
          <w:szCs w:val="24"/>
        </w:rPr>
        <w:t xml:space="preserve"> náročnost hospodářství a rostoucí ceny energií</w:t>
      </w:r>
    </w:p>
    <w:p w:rsidR="00CF4BE7" w:rsidRPr="000B521F" w:rsidRDefault="00CF4BE7" w:rsidP="0059011D">
      <w:pPr>
        <w:spacing w:after="120" w:line="240" w:lineRule="auto"/>
        <w:jc w:val="both"/>
        <w:rPr>
          <w:rFonts w:ascii="Times New Roman" w:eastAsia="Times New Roman" w:hAnsi="Times New Roman" w:cs="Times New Roman"/>
          <w:sz w:val="24"/>
          <w:szCs w:val="24"/>
        </w:rPr>
      </w:pPr>
      <w:r w:rsidRPr="000B521F">
        <w:rPr>
          <w:rFonts w:ascii="Times New Roman" w:eastAsia="Times New Roman" w:hAnsi="Times New Roman" w:cs="Times New Roman"/>
          <w:sz w:val="24"/>
          <w:szCs w:val="24"/>
        </w:rPr>
        <w:t>Česká republika má šestou nejvyšší náročnost tvorby HDP na spotřebu elektřiny v rámci EU27 (po BG, EST, FI, SI, S) a je o cca 25% nad jejím průměrem, přičemž ve spotřebě elektřiny na obyvatele je v průměru EU27. Obdobné poměry jsou i v energetické náročnosti. V roce 2011 byla v ČR konečná spotřeba energií celkem 25 964 tis. toe; z toho v průmyslu 7 763 tis. toe, v dopravě 5 947 tis. toe, v domácnostech (residential) 5 884 tis. toe a ve službách (veřejný sektor a komerční služby) 3 022 tis. toe</w:t>
      </w:r>
      <w:r w:rsidR="000A1601" w:rsidRPr="000B521F">
        <w:rPr>
          <w:rStyle w:val="Znakapoznpodarou"/>
          <w:rFonts w:ascii="Times New Roman" w:eastAsia="Times New Roman" w:hAnsi="Times New Roman" w:cs="Times New Roman"/>
          <w:sz w:val="24"/>
          <w:szCs w:val="24"/>
        </w:rPr>
        <w:footnoteReference w:id="53"/>
      </w:r>
      <w:r w:rsidRPr="000B521F">
        <w:rPr>
          <w:rFonts w:ascii="Times New Roman" w:eastAsia="Times New Roman" w:hAnsi="Times New Roman" w:cs="Times New Roman"/>
          <w:sz w:val="24"/>
          <w:szCs w:val="24"/>
        </w:rPr>
        <w:t>. Ve spotřebě primárních paliv je náročnost HDP ještě vyšší.  Důvodem je jak vysoký podíl průmyslu na tvorbě HDP a vysoký podíl průmyslových odvětví s vysokou energetickou náročností, tak i vnitřní dluh podniků spočívající v nízké energetické efektivnosti průmyslových procesů a vysoké energetické náročnosti budov. Návratnost investic do energetické efektivnosti je obvykle o něco delší než investice do vlastní produkce a tempo zvyšování energetické účinnosti je při rozpočtových omezeních firem pomalé. Ceny energií pak představují kritický faktor konkurenceschopnosti firem.</w:t>
      </w:r>
    </w:p>
    <w:p w:rsidR="00CF4BE7" w:rsidRPr="000B521F" w:rsidRDefault="00CF4BE7" w:rsidP="0059011D">
      <w:pPr>
        <w:spacing w:after="120" w:line="240" w:lineRule="auto"/>
        <w:jc w:val="both"/>
        <w:rPr>
          <w:rFonts w:ascii="Times New Roman" w:eastAsia="Times New Roman" w:hAnsi="Times New Roman" w:cs="Times New Roman"/>
          <w:sz w:val="24"/>
          <w:szCs w:val="24"/>
        </w:rPr>
      </w:pPr>
      <w:r w:rsidRPr="000B521F">
        <w:rPr>
          <w:rFonts w:ascii="Times New Roman" w:eastAsia="Times New Roman" w:hAnsi="Times New Roman" w:cs="Times New Roman"/>
          <w:sz w:val="24"/>
          <w:szCs w:val="24"/>
        </w:rPr>
        <w:t xml:space="preserve">Cena elektřiny, zatížená podporou obnovitelných zdrojů a nároky na obnovu a rozvoj zastaralých sítí je relativně největším problémem. Vzhledem k tomu, že cena samotné elektřiny je díky propojení trhů stejná s hlavními konkurenty v okolních zemích, jsou klíčovým prvkem konkurenceschopnosti regulované složky ceny. Problém je jak v absolutní výši nákladů (podpora OZE, obnova sítí) tak i v rozdělení do tarifů pro jednotlivé skupiny </w:t>
      </w:r>
      <w:r w:rsidRPr="000B521F">
        <w:rPr>
          <w:rFonts w:ascii="Times New Roman" w:eastAsia="Times New Roman" w:hAnsi="Times New Roman" w:cs="Times New Roman"/>
          <w:sz w:val="24"/>
          <w:szCs w:val="24"/>
        </w:rPr>
        <w:lastRenderedPageBreak/>
        <w:t xml:space="preserve">zákazníků. ČR (v souladu s pravidly EU) na rozdíl od některých sousedních zemí neuplatnilo v tarifech žádné prvky zvýhodnění pro podniky s vyšší spotřebou. </w:t>
      </w:r>
    </w:p>
    <w:p w:rsidR="00CF4BE7" w:rsidRPr="000B521F" w:rsidRDefault="00CF4BE7" w:rsidP="0059011D">
      <w:pPr>
        <w:spacing w:after="120" w:line="240" w:lineRule="auto"/>
        <w:jc w:val="both"/>
        <w:rPr>
          <w:rFonts w:ascii="Times New Roman" w:eastAsia="Times New Roman" w:hAnsi="Times New Roman" w:cs="Times New Roman"/>
          <w:sz w:val="24"/>
          <w:szCs w:val="24"/>
        </w:rPr>
      </w:pPr>
      <w:r w:rsidRPr="000B521F">
        <w:rPr>
          <w:rFonts w:ascii="Times New Roman" w:eastAsia="Times New Roman" w:hAnsi="Times New Roman" w:cs="Times New Roman"/>
          <w:sz w:val="24"/>
          <w:szCs w:val="24"/>
        </w:rPr>
        <w:t>Při rozhodování o budoucím rozvoji řady průmyslových podniků tak hraje očekávání vývoje cen elektřiny a tepla a tarifní politiky stále významnější úlohu.</w:t>
      </w:r>
    </w:p>
    <w:p w:rsidR="00CF4BE7" w:rsidRPr="000B521F" w:rsidRDefault="00CF4BE7" w:rsidP="0059011D">
      <w:pPr>
        <w:spacing w:after="120" w:line="240" w:lineRule="auto"/>
        <w:jc w:val="both"/>
        <w:rPr>
          <w:rFonts w:ascii="Times New Roman" w:eastAsia="Times New Roman" w:hAnsi="Times New Roman" w:cs="Times New Roman"/>
          <w:sz w:val="24"/>
          <w:szCs w:val="24"/>
        </w:rPr>
      </w:pPr>
      <w:r w:rsidRPr="000B521F">
        <w:rPr>
          <w:rFonts w:ascii="Times New Roman" w:hAnsi="Times New Roman" w:cs="Times New Roman"/>
          <w:i/>
          <w:sz w:val="24"/>
          <w:szCs w:val="24"/>
        </w:rPr>
        <w:t>Potřeba rozvoje</w:t>
      </w:r>
      <w:r w:rsidRPr="000B521F">
        <w:rPr>
          <w:rFonts w:ascii="Times New Roman" w:eastAsia="Times New Roman" w:hAnsi="Times New Roman" w:cs="Times New Roman"/>
          <w:sz w:val="24"/>
          <w:szCs w:val="24"/>
        </w:rPr>
        <w:t>:</w:t>
      </w:r>
    </w:p>
    <w:p w:rsidR="008206A4" w:rsidRPr="000B521F" w:rsidRDefault="00CF4BE7" w:rsidP="0059011D">
      <w:pPr>
        <w:pStyle w:val="Odstavecseseznamem"/>
        <w:numPr>
          <w:ilvl w:val="0"/>
          <w:numId w:val="54"/>
        </w:numPr>
        <w:spacing w:after="0" w:line="240" w:lineRule="auto"/>
        <w:jc w:val="both"/>
        <w:rPr>
          <w:rFonts w:ascii="Times New Roman" w:eastAsia="Times New Roman" w:hAnsi="Times New Roman" w:cs="Times New Roman"/>
          <w:sz w:val="24"/>
          <w:szCs w:val="24"/>
        </w:rPr>
      </w:pPr>
      <w:r w:rsidRPr="000B521F">
        <w:rPr>
          <w:rFonts w:ascii="Times New Roman" w:eastAsia="Times New Roman" w:hAnsi="Times New Roman" w:cs="Times New Roman"/>
          <w:sz w:val="24"/>
          <w:szCs w:val="24"/>
        </w:rPr>
        <w:t xml:space="preserve">Stimulace investic do energetické </w:t>
      </w:r>
      <w:r w:rsidR="0028222B" w:rsidRPr="000B521F">
        <w:rPr>
          <w:rFonts w:ascii="Times New Roman" w:eastAsia="Times New Roman" w:hAnsi="Times New Roman" w:cs="Times New Roman"/>
          <w:sz w:val="24"/>
          <w:szCs w:val="24"/>
        </w:rPr>
        <w:t xml:space="preserve">a surovinové </w:t>
      </w:r>
      <w:r w:rsidRPr="000B521F">
        <w:rPr>
          <w:rFonts w:ascii="Times New Roman" w:eastAsia="Times New Roman" w:hAnsi="Times New Roman" w:cs="Times New Roman"/>
          <w:sz w:val="24"/>
          <w:szCs w:val="24"/>
        </w:rPr>
        <w:t>účinnosti podniků (snižování energetické</w:t>
      </w:r>
      <w:r w:rsidR="0028222B" w:rsidRPr="000B521F">
        <w:rPr>
          <w:rFonts w:ascii="Times New Roman" w:eastAsia="Times New Roman" w:hAnsi="Times New Roman" w:cs="Times New Roman"/>
          <w:sz w:val="24"/>
          <w:szCs w:val="24"/>
        </w:rPr>
        <w:t xml:space="preserve"> a surovinové</w:t>
      </w:r>
      <w:r w:rsidRPr="000B521F">
        <w:rPr>
          <w:rFonts w:ascii="Times New Roman" w:eastAsia="Times New Roman" w:hAnsi="Times New Roman" w:cs="Times New Roman"/>
          <w:sz w:val="24"/>
          <w:szCs w:val="24"/>
        </w:rPr>
        <w:t xml:space="preserve"> náročnosti resp. zvyšování energetické </w:t>
      </w:r>
      <w:r w:rsidR="0028222B" w:rsidRPr="000B521F">
        <w:rPr>
          <w:rFonts w:ascii="Times New Roman" w:eastAsia="Times New Roman" w:hAnsi="Times New Roman" w:cs="Times New Roman"/>
          <w:sz w:val="24"/>
          <w:szCs w:val="24"/>
        </w:rPr>
        <w:t xml:space="preserve">a surovinové </w:t>
      </w:r>
      <w:r w:rsidRPr="000B521F">
        <w:rPr>
          <w:rFonts w:ascii="Times New Roman" w:eastAsia="Times New Roman" w:hAnsi="Times New Roman" w:cs="Times New Roman"/>
          <w:sz w:val="24"/>
          <w:szCs w:val="24"/>
        </w:rPr>
        <w:t xml:space="preserve">účinnosti výrobních a technologických procesů v průmyslu, zemědělství a akvakultuře, využívání odpadní energie </w:t>
      </w:r>
      <w:r w:rsidR="0028222B" w:rsidRPr="000B521F">
        <w:rPr>
          <w:rFonts w:ascii="Times New Roman" w:eastAsia="Times New Roman" w:hAnsi="Times New Roman" w:cs="Times New Roman"/>
          <w:sz w:val="24"/>
          <w:szCs w:val="24"/>
        </w:rPr>
        <w:t xml:space="preserve">a surovin </w:t>
      </w:r>
      <w:r w:rsidRPr="000B521F">
        <w:rPr>
          <w:rFonts w:ascii="Times New Roman" w:eastAsia="Times New Roman" w:hAnsi="Times New Roman" w:cs="Times New Roman"/>
          <w:sz w:val="24"/>
          <w:szCs w:val="24"/>
        </w:rPr>
        <w:t>zejména v průmyslových procesech aj.)</w:t>
      </w:r>
      <w:r w:rsidR="00535D8E">
        <w:rPr>
          <w:rFonts w:ascii="Times New Roman" w:eastAsia="Times New Roman" w:hAnsi="Times New Roman" w:cs="Times New Roman"/>
          <w:sz w:val="24"/>
          <w:szCs w:val="24"/>
        </w:rPr>
        <w:t>.</w:t>
      </w:r>
    </w:p>
    <w:p w:rsidR="008206A4" w:rsidRPr="000B521F" w:rsidRDefault="00791375" w:rsidP="0059011D">
      <w:pPr>
        <w:pStyle w:val="Odstavecseseznamem"/>
        <w:numPr>
          <w:ilvl w:val="0"/>
          <w:numId w:val="54"/>
        </w:numPr>
        <w:spacing w:after="0" w:line="240" w:lineRule="auto"/>
        <w:jc w:val="both"/>
        <w:rPr>
          <w:rFonts w:ascii="Times New Roman" w:eastAsia="Times New Roman" w:hAnsi="Times New Roman" w:cs="Times New Roman"/>
          <w:sz w:val="24"/>
          <w:szCs w:val="24"/>
        </w:rPr>
      </w:pPr>
      <w:r w:rsidRPr="000B521F">
        <w:rPr>
          <w:rFonts w:ascii="Times New Roman" w:eastAsia="Times New Roman" w:hAnsi="Times New Roman" w:cs="Times New Roman"/>
          <w:sz w:val="24"/>
          <w:szCs w:val="24"/>
        </w:rPr>
        <w:t>Zavádění eko-inovací do výrobních procesů a produktů, které přispějí k optimálnímu využití zdrojů, případně i jinak sníží dopad výroby či produktu na životní prostředí</w:t>
      </w:r>
      <w:r w:rsidR="00535D8E">
        <w:rPr>
          <w:rFonts w:ascii="Times New Roman" w:eastAsia="Times New Roman" w:hAnsi="Times New Roman" w:cs="Times New Roman"/>
          <w:sz w:val="24"/>
          <w:szCs w:val="24"/>
        </w:rPr>
        <w:t>.</w:t>
      </w:r>
    </w:p>
    <w:p w:rsidR="002C1306" w:rsidRDefault="002C1306" w:rsidP="0059011D">
      <w:pPr>
        <w:spacing w:after="120" w:line="240" w:lineRule="auto"/>
        <w:jc w:val="both"/>
        <w:rPr>
          <w:rFonts w:ascii="Times New Roman" w:hAnsi="Times New Roman" w:cs="Times New Roman"/>
          <w:sz w:val="24"/>
          <w:szCs w:val="24"/>
        </w:rPr>
      </w:pPr>
    </w:p>
    <w:p w:rsidR="00F91B79" w:rsidRPr="00F91B79" w:rsidRDefault="00F91B79" w:rsidP="00F91B79">
      <w:pPr>
        <w:spacing w:after="120" w:line="240" w:lineRule="auto"/>
        <w:jc w:val="both"/>
        <w:rPr>
          <w:rFonts w:ascii="Times New Roman" w:hAnsi="Times New Roman" w:cs="Times New Roman"/>
          <w:sz w:val="24"/>
          <w:szCs w:val="24"/>
        </w:rPr>
      </w:pPr>
      <w:r w:rsidRPr="00F91B79">
        <w:rPr>
          <w:rFonts w:ascii="Times New Roman" w:hAnsi="Times New Roman" w:cs="Times New Roman"/>
          <w:sz w:val="24"/>
          <w:szCs w:val="24"/>
        </w:rPr>
        <w:t>Především v oblasti energetické účinnosti  budou identifikované potřeby řešeny také prostřednictvím finančních nástrojů</w:t>
      </w:r>
    </w:p>
    <w:p w:rsidR="00F91B79" w:rsidRPr="000B521F" w:rsidRDefault="00F91B79" w:rsidP="0059011D">
      <w:pPr>
        <w:spacing w:after="120" w:line="240" w:lineRule="auto"/>
        <w:jc w:val="both"/>
        <w:rPr>
          <w:rFonts w:ascii="Times New Roman" w:hAnsi="Times New Roman" w:cs="Times New Roman"/>
          <w:sz w:val="24"/>
          <w:szCs w:val="24"/>
        </w:rPr>
      </w:pPr>
    </w:p>
    <w:p w:rsidR="002C1306" w:rsidRPr="000B521F" w:rsidRDefault="006B0D8D" w:rsidP="0059011D">
      <w:pPr>
        <w:spacing w:after="120" w:line="240" w:lineRule="auto"/>
        <w:jc w:val="both"/>
        <w:rPr>
          <w:rFonts w:ascii="Times New Roman" w:hAnsi="Times New Roman" w:cs="Times New Roman"/>
          <w:b/>
          <w:i/>
          <w:sz w:val="24"/>
          <w:szCs w:val="24"/>
        </w:rPr>
      </w:pPr>
      <w:r w:rsidRPr="000B521F">
        <w:rPr>
          <w:rFonts w:ascii="Times New Roman" w:hAnsi="Times New Roman" w:cs="Times New Roman"/>
          <w:b/>
          <w:i/>
          <w:sz w:val="24"/>
          <w:szCs w:val="24"/>
        </w:rPr>
        <w:t>5. Konkurenceschopnost</w:t>
      </w:r>
      <w:r w:rsidR="00E922B2" w:rsidRPr="000B521F">
        <w:rPr>
          <w:rFonts w:ascii="Times New Roman" w:hAnsi="Times New Roman" w:cs="Times New Roman"/>
          <w:b/>
          <w:i/>
          <w:sz w:val="24"/>
          <w:szCs w:val="24"/>
        </w:rPr>
        <w:t xml:space="preserve"> zeměděls</w:t>
      </w:r>
      <w:r w:rsidRPr="000B521F">
        <w:rPr>
          <w:rFonts w:ascii="Times New Roman" w:hAnsi="Times New Roman" w:cs="Times New Roman"/>
          <w:b/>
          <w:i/>
          <w:sz w:val="24"/>
          <w:szCs w:val="24"/>
        </w:rPr>
        <w:t>kých</w:t>
      </w:r>
      <w:r w:rsidR="004F244F">
        <w:rPr>
          <w:rFonts w:ascii="Times New Roman" w:hAnsi="Times New Roman" w:cs="Times New Roman"/>
          <w:b/>
          <w:i/>
          <w:sz w:val="24"/>
          <w:szCs w:val="24"/>
        </w:rPr>
        <w:t>, potravinářských a lesnických</w:t>
      </w:r>
      <w:r w:rsidRPr="000B521F">
        <w:rPr>
          <w:rFonts w:ascii="Times New Roman" w:hAnsi="Times New Roman" w:cs="Times New Roman"/>
          <w:b/>
          <w:i/>
          <w:sz w:val="24"/>
          <w:szCs w:val="24"/>
        </w:rPr>
        <w:t xml:space="preserve"> podniků</w:t>
      </w:r>
    </w:p>
    <w:p w:rsidR="004F244F" w:rsidRDefault="00E922B2" w:rsidP="004F244F">
      <w:pPr>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České  zemědělství v řadě ukazatelů konkurenceschopnosti zaostává</w:t>
      </w:r>
      <w:r w:rsidR="00996E1E" w:rsidRPr="000B521F">
        <w:rPr>
          <w:rFonts w:ascii="Times New Roman" w:hAnsi="Times New Roman" w:cs="Times New Roman"/>
          <w:sz w:val="24"/>
          <w:szCs w:val="24"/>
        </w:rPr>
        <w:t xml:space="preserve"> za průměrem EU</w:t>
      </w:r>
      <w:r w:rsidRPr="000B521F">
        <w:rPr>
          <w:rFonts w:ascii="Times New Roman" w:hAnsi="Times New Roman" w:cs="Times New Roman"/>
          <w:sz w:val="24"/>
          <w:szCs w:val="24"/>
        </w:rPr>
        <w:t>.  V mezinárodním srovnání účinnosti využívání vstupů v českém zemědělství je situace následující: Produkce z hektaru půdy činí v průměru 58 % hodnoty EU, analogicky mezispotřeba je relativně vysoká a činí  73 % vytvořené produkce v ČR, z čehož vyplývá, že české zemědělství zůstává nákladově náročné. Podobně produktivita práce měřená ČPH na pracovníka činí 68 % (vůči EU</w:t>
      </w:r>
      <w:r w:rsidR="00264AE0">
        <w:rPr>
          <w:rFonts w:ascii="Times New Roman" w:hAnsi="Times New Roman" w:cs="Times New Roman"/>
          <w:sz w:val="24"/>
          <w:szCs w:val="24"/>
        </w:rPr>
        <w:t>-</w:t>
      </w:r>
      <w:r w:rsidRPr="000B521F">
        <w:rPr>
          <w:rFonts w:ascii="Times New Roman" w:hAnsi="Times New Roman" w:cs="Times New Roman"/>
          <w:sz w:val="24"/>
          <w:szCs w:val="24"/>
        </w:rPr>
        <w:t xml:space="preserve">27), přičemž více než polovinu důchodu z faktorů vytváří příjmové podpory, což je téměř dvojnásobně více oproti evropskému průměru. Vysoké záporné saldo agrárního zahraničního obchodu je ovlivněno vývozem komodit s nižším stupněm zpracování a tedy i nižší přidanou hodnotou a naopak jsou dováženy zpracované výrobky s vysokou přidanou hodnotou. </w:t>
      </w:r>
      <w:r w:rsidR="004F244F">
        <w:rPr>
          <w:rFonts w:ascii="Times New Roman" w:hAnsi="Times New Roman" w:cs="Times New Roman"/>
          <w:sz w:val="24"/>
          <w:szCs w:val="24"/>
        </w:rPr>
        <w:t>Rovněž konkurenceschopnost lesního hospodářství v ČR a potravinářského průmyslu vyjádřená produktivitou práce je v porovnání s ostatními státy EU nízká, Průměrná produktivita práce v lesnictví za roky 2008 -2010 dosahuje cca 24 tis. EUR /AWU, což je poloviční hodnota ve srovnání např. s Rakouskem. Co se týká potravinářského průmyslu, tak produktivita práce dosahuje pouze 46 % průměrné hodnoty dosahované v EU.</w:t>
      </w:r>
    </w:p>
    <w:p w:rsidR="00E922B2" w:rsidRPr="000B521F" w:rsidRDefault="00E922B2" w:rsidP="0059011D">
      <w:pPr>
        <w:spacing w:after="120" w:line="240" w:lineRule="auto"/>
        <w:jc w:val="both"/>
        <w:rPr>
          <w:rFonts w:ascii="Times New Roman" w:hAnsi="Times New Roman" w:cs="Times New Roman"/>
          <w:sz w:val="24"/>
          <w:szCs w:val="24"/>
        </w:rPr>
      </w:pPr>
    </w:p>
    <w:p w:rsidR="00E922B2" w:rsidRPr="000B521F" w:rsidRDefault="00E922B2"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České zemědělství je ze strukturálního pohledu odlišné od ostatních států EU zejména kvůli duální struktuře výroby (87 % podniků rodinného charakteru obhospodařuje 29 % půdy, zbylých 13 % podniků s převážně nájemní pracovní silou hospodaří na 70 % půdy). </w:t>
      </w:r>
      <w:r w:rsidR="00996E1E" w:rsidRPr="000B521F">
        <w:rPr>
          <w:rFonts w:ascii="Times New Roman" w:hAnsi="Times New Roman" w:cs="Times New Roman"/>
          <w:sz w:val="24"/>
          <w:szCs w:val="24"/>
        </w:rPr>
        <w:t xml:space="preserve">Vysoký podíl půdy v zemědělství je najaté (v roce 2011 činil 76 %). </w:t>
      </w:r>
      <w:r w:rsidRPr="000B521F">
        <w:rPr>
          <w:rFonts w:ascii="Times New Roman" w:hAnsi="Times New Roman" w:cs="Times New Roman"/>
          <w:sz w:val="24"/>
          <w:szCs w:val="24"/>
        </w:rPr>
        <w:t>V porovnání s evropskými zemědělci je nižší celková kapitálová vybavenost.</w:t>
      </w:r>
    </w:p>
    <w:p w:rsidR="00E922B2" w:rsidRPr="000B521F" w:rsidRDefault="00E922B2"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Vzhledem ke struktuře zemědělských podniků je žádoucí podporu zaměřit nejen na úroveň MSP, ale i velkých podniků, které se potýkají s obdobnými problémy a jsou pro konkurenceschopnost odvětví klíčové. V potravinářském sektoru pak právě velké podniky mají významný potenciál pro zavádění inovací. </w:t>
      </w:r>
    </w:p>
    <w:p w:rsidR="00E922B2" w:rsidRPr="000B521F" w:rsidRDefault="00E922B2"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Jednou z podmínek zvýšení konkurenceschopnosti je změna vývoje nepříznivé věkové struktury pracovníků v zemědělství. Vzrůstající nároky na kvalifikaci a kvalitu pracovních sil v souvislosti s technickým a technologickým rozvojem v zemědělství a akvakultuře vyžadují vstup mladých a kvalifikovaných pracovníků zejména na úrovni vedoucích podniků.</w:t>
      </w:r>
    </w:p>
    <w:p w:rsidR="00E922B2" w:rsidRPr="000B521F" w:rsidRDefault="00E922B2" w:rsidP="0059011D">
      <w:pPr>
        <w:spacing w:after="120" w:line="240" w:lineRule="auto"/>
        <w:jc w:val="both"/>
        <w:rPr>
          <w:rFonts w:ascii="Times New Roman" w:hAnsi="Times New Roman" w:cs="Times New Roman"/>
          <w:i/>
          <w:sz w:val="24"/>
          <w:szCs w:val="24"/>
        </w:rPr>
      </w:pPr>
      <w:r w:rsidRPr="000B521F">
        <w:rPr>
          <w:rFonts w:ascii="Times New Roman" w:hAnsi="Times New Roman" w:cs="Times New Roman"/>
          <w:i/>
          <w:sz w:val="24"/>
          <w:szCs w:val="24"/>
        </w:rPr>
        <w:lastRenderedPageBreak/>
        <w:t>Potřeby rozvoje:</w:t>
      </w:r>
    </w:p>
    <w:p w:rsidR="008206A4" w:rsidRPr="000B521F" w:rsidRDefault="00E922B2" w:rsidP="00535D8E">
      <w:pPr>
        <w:pStyle w:val="Odstavecseseznamem"/>
        <w:numPr>
          <w:ilvl w:val="0"/>
          <w:numId w:val="106"/>
        </w:numPr>
        <w:tabs>
          <w:tab w:val="left" w:pos="851"/>
        </w:tabs>
        <w:autoSpaceDE w:val="0"/>
        <w:autoSpaceDN w:val="0"/>
        <w:adjustRightInd w:val="0"/>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Urychlit nápravy vlastnických vztahů k půdě prostřednictvím realizace pozemkových úprav a současně s tím realizovat další efekty zlepšující biodiverzitu, vodní režim v krajině, snižující erozní ohroženost půdy a zvyšující estetickou hodnotu krajiny. </w:t>
      </w:r>
    </w:p>
    <w:p w:rsidR="008206A4" w:rsidRPr="000B521F" w:rsidRDefault="00E922B2" w:rsidP="00535D8E">
      <w:pPr>
        <w:pStyle w:val="Odstavecseseznamem"/>
        <w:numPr>
          <w:ilvl w:val="0"/>
          <w:numId w:val="106"/>
        </w:numPr>
        <w:tabs>
          <w:tab w:val="left" w:pos="851"/>
        </w:tabs>
        <w:autoSpaceDE w:val="0"/>
        <w:autoSpaceDN w:val="0"/>
        <w:adjustRightInd w:val="0"/>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Zvyšovat konkurenceschopnost zemědělských podniků podpor</w:t>
      </w:r>
      <w:r w:rsidR="00BB3182">
        <w:rPr>
          <w:rFonts w:ascii="Times New Roman" w:hAnsi="Times New Roman" w:cs="Times New Roman"/>
          <w:sz w:val="24"/>
          <w:szCs w:val="24"/>
        </w:rPr>
        <w:t>o</w:t>
      </w:r>
      <w:r w:rsidRPr="000B521F">
        <w:rPr>
          <w:rFonts w:ascii="Times New Roman" w:hAnsi="Times New Roman" w:cs="Times New Roman"/>
          <w:sz w:val="24"/>
          <w:szCs w:val="24"/>
        </w:rPr>
        <w:t>u vyšší účinnosti výrobních faktorů a zlepšení</w:t>
      </w:r>
      <w:r w:rsidR="00BB3182">
        <w:rPr>
          <w:rFonts w:ascii="Times New Roman" w:hAnsi="Times New Roman" w:cs="Times New Roman"/>
          <w:sz w:val="24"/>
          <w:szCs w:val="24"/>
        </w:rPr>
        <w:t>m</w:t>
      </w:r>
      <w:r w:rsidRPr="000B521F">
        <w:rPr>
          <w:rFonts w:ascii="Times New Roman" w:hAnsi="Times New Roman" w:cs="Times New Roman"/>
          <w:sz w:val="24"/>
          <w:szCs w:val="24"/>
        </w:rPr>
        <w:t xml:space="preserve"> managementu.</w:t>
      </w:r>
    </w:p>
    <w:p w:rsidR="008206A4" w:rsidRPr="00A91333" w:rsidRDefault="00E922B2" w:rsidP="00A91333">
      <w:pPr>
        <w:pStyle w:val="Odstavecseseznamem"/>
        <w:numPr>
          <w:ilvl w:val="0"/>
          <w:numId w:val="106"/>
        </w:numPr>
        <w:tabs>
          <w:tab w:val="left" w:pos="851"/>
        </w:tabs>
        <w:autoSpaceDE w:val="0"/>
        <w:autoSpaceDN w:val="0"/>
        <w:adjustRightInd w:val="0"/>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Posilování konkurenceschopnosti rostlinné</w:t>
      </w:r>
      <w:r w:rsidR="00BB3182">
        <w:rPr>
          <w:rFonts w:ascii="Times New Roman" w:hAnsi="Times New Roman" w:cs="Times New Roman"/>
          <w:sz w:val="24"/>
          <w:szCs w:val="24"/>
        </w:rPr>
        <w:t xml:space="preserve"> a živočišné</w:t>
      </w:r>
      <w:r w:rsidRPr="000B521F">
        <w:rPr>
          <w:rFonts w:ascii="Times New Roman" w:hAnsi="Times New Roman" w:cs="Times New Roman"/>
          <w:sz w:val="24"/>
          <w:szCs w:val="24"/>
        </w:rPr>
        <w:t xml:space="preserve"> výroby </w:t>
      </w:r>
      <w:r w:rsidR="00BB3182" w:rsidRPr="000B521F">
        <w:rPr>
          <w:rFonts w:ascii="Times New Roman" w:hAnsi="Times New Roman" w:cs="Times New Roman"/>
          <w:sz w:val="24"/>
          <w:szCs w:val="24"/>
        </w:rPr>
        <w:t>zvyšování</w:t>
      </w:r>
      <w:r w:rsidR="00BB3182">
        <w:rPr>
          <w:rFonts w:ascii="Times New Roman" w:hAnsi="Times New Roman" w:cs="Times New Roman"/>
          <w:sz w:val="24"/>
          <w:szCs w:val="24"/>
        </w:rPr>
        <w:t>m efektivity provozů při současném</w:t>
      </w:r>
      <w:r w:rsidR="00BB3182" w:rsidRPr="000B521F">
        <w:rPr>
          <w:rFonts w:ascii="Times New Roman" w:hAnsi="Times New Roman" w:cs="Times New Roman"/>
          <w:sz w:val="24"/>
          <w:szCs w:val="24"/>
        </w:rPr>
        <w:t xml:space="preserve"> zlepšování podmínek pohody zvířat (welfare)</w:t>
      </w:r>
      <w:r w:rsidR="00BB3182">
        <w:rPr>
          <w:rFonts w:ascii="Times New Roman" w:hAnsi="Times New Roman" w:cs="Times New Roman"/>
          <w:sz w:val="24"/>
          <w:szCs w:val="24"/>
        </w:rPr>
        <w:t xml:space="preserve"> a zachování diverzity zemědělské rostlinné produkce, s přihlédnutím k</w:t>
      </w:r>
      <w:r w:rsidR="00BB3182" w:rsidRPr="000B521F">
        <w:rPr>
          <w:rFonts w:ascii="Times New Roman" w:hAnsi="Times New Roman" w:cs="Times New Roman"/>
          <w:sz w:val="24"/>
          <w:szCs w:val="24"/>
        </w:rPr>
        <w:t xml:space="preserve"> ochraně vod a ovzduší.</w:t>
      </w:r>
    </w:p>
    <w:p w:rsidR="008206A4" w:rsidRPr="000B521F" w:rsidRDefault="00E922B2" w:rsidP="00535D8E">
      <w:pPr>
        <w:pStyle w:val="Odstavecseseznamem"/>
        <w:numPr>
          <w:ilvl w:val="0"/>
          <w:numId w:val="106"/>
        </w:numPr>
        <w:spacing w:after="0" w:line="240" w:lineRule="auto"/>
        <w:jc w:val="both"/>
        <w:rPr>
          <w:rFonts w:ascii="Times New Roman" w:hAnsi="Times New Roman" w:cs="Times New Roman"/>
          <w:i/>
          <w:sz w:val="24"/>
          <w:szCs w:val="24"/>
        </w:rPr>
      </w:pPr>
      <w:r w:rsidRPr="000B521F">
        <w:rPr>
          <w:rFonts w:ascii="Times New Roman" w:hAnsi="Times New Roman" w:cs="Times New Roman"/>
          <w:sz w:val="24"/>
          <w:szCs w:val="24"/>
        </w:rPr>
        <w:t>Zlepšení organizace trhu a posílení orientace na jakost, inovace, transfer nejnovějších poznatků do praxe, sdílení řešení provozních problémů a spolupráci v inovativních projektech především na lokální a regionální úrovni.</w:t>
      </w:r>
    </w:p>
    <w:p w:rsidR="008206A4" w:rsidRPr="000B521F" w:rsidRDefault="00E922B2" w:rsidP="00535D8E">
      <w:pPr>
        <w:pStyle w:val="Odstavecseseznamem"/>
        <w:numPr>
          <w:ilvl w:val="0"/>
          <w:numId w:val="106"/>
        </w:numPr>
        <w:spacing w:after="0" w:line="240" w:lineRule="auto"/>
        <w:jc w:val="both"/>
        <w:rPr>
          <w:rFonts w:ascii="Times New Roman" w:eastAsia="Times New Roman" w:hAnsi="Times New Roman" w:cs="Times New Roman"/>
          <w:sz w:val="24"/>
          <w:szCs w:val="24"/>
          <w:lang w:eastAsia="cs-CZ"/>
        </w:rPr>
      </w:pPr>
      <w:r w:rsidRPr="000B521F">
        <w:rPr>
          <w:rFonts w:ascii="Times New Roman" w:hAnsi="Times New Roman" w:cs="Times New Roman"/>
          <w:sz w:val="24"/>
          <w:szCs w:val="24"/>
        </w:rPr>
        <w:t>Stimulace zahájení aktivního podnikání mladých zemědělců v zemědělských podnicích prostřednictvím podpory investic nezbytných pro realizaci podnikatelského plánu</w:t>
      </w:r>
      <w:r w:rsidR="00535D8E">
        <w:rPr>
          <w:rFonts w:ascii="Times New Roman" w:eastAsia="Times New Roman" w:hAnsi="Times New Roman" w:cs="Times New Roman"/>
          <w:sz w:val="24"/>
          <w:szCs w:val="24"/>
          <w:lang w:eastAsia="cs-CZ"/>
        </w:rPr>
        <w:t>.</w:t>
      </w:r>
    </w:p>
    <w:p w:rsidR="00E922B2" w:rsidRPr="000B521F" w:rsidRDefault="00E922B2" w:rsidP="0059011D">
      <w:pPr>
        <w:pStyle w:val="Odstavecseseznamem"/>
        <w:tabs>
          <w:tab w:val="left" w:pos="851"/>
        </w:tabs>
        <w:autoSpaceDE w:val="0"/>
        <w:autoSpaceDN w:val="0"/>
        <w:adjustRightInd w:val="0"/>
        <w:spacing w:after="0" w:line="240" w:lineRule="auto"/>
        <w:ind w:left="0"/>
        <w:jc w:val="both"/>
        <w:rPr>
          <w:rFonts w:ascii="Times New Roman" w:hAnsi="Times New Roman" w:cs="Times New Roman"/>
          <w:sz w:val="24"/>
          <w:szCs w:val="24"/>
        </w:rPr>
      </w:pPr>
    </w:p>
    <w:p w:rsidR="008C0415" w:rsidRPr="000B521F" w:rsidRDefault="006B0D8D" w:rsidP="0059011D">
      <w:pPr>
        <w:spacing w:after="120" w:line="240" w:lineRule="auto"/>
        <w:rPr>
          <w:rFonts w:ascii="Times New Roman" w:hAnsi="Times New Roman" w:cs="Times New Roman"/>
          <w:b/>
          <w:i/>
          <w:sz w:val="24"/>
          <w:szCs w:val="24"/>
        </w:rPr>
      </w:pPr>
      <w:r w:rsidRPr="000B521F">
        <w:rPr>
          <w:rFonts w:ascii="Times New Roman" w:hAnsi="Times New Roman" w:cs="Times New Roman"/>
          <w:b/>
          <w:i/>
          <w:sz w:val="24"/>
          <w:szCs w:val="24"/>
        </w:rPr>
        <w:t xml:space="preserve">6. </w:t>
      </w:r>
      <w:r w:rsidR="00131B6A" w:rsidRPr="000B521F">
        <w:rPr>
          <w:rFonts w:ascii="Times New Roman" w:hAnsi="Times New Roman" w:cs="Times New Roman"/>
          <w:b/>
          <w:i/>
          <w:sz w:val="24"/>
          <w:szCs w:val="24"/>
        </w:rPr>
        <w:t>Konkurenceschopnost podniků akvakultury</w:t>
      </w:r>
    </w:p>
    <w:p w:rsidR="008C0415" w:rsidRPr="000B521F" w:rsidRDefault="008C041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Rybářs</w:t>
      </w:r>
      <w:r w:rsidR="006E227A" w:rsidRPr="000B521F">
        <w:rPr>
          <w:rFonts w:ascii="Times New Roman" w:hAnsi="Times New Roman" w:cs="Times New Roman"/>
          <w:sz w:val="24"/>
          <w:szCs w:val="24"/>
        </w:rPr>
        <w:t>ké podniky v</w:t>
      </w:r>
      <w:r w:rsidR="00F915CC" w:rsidRPr="000B521F">
        <w:rPr>
          <w:rFonts w:ascii="Times New Roman" w:hAnsi="Times New Roman" w:cs="Times New Roman"/>
          <w:sz w:val="24"/>
          <w:szCs w:val="24"/>
        </w:rPr>
        <w:t xml:space="preserve"> ČR staví na tradici</w:t>
      </w:r>
      <w:r w:rsidRPr="000B521F">
        <w:rPr>
          <w:rFonts w:ascii="Times New Roman" w:hAnsi="Times New Roman" w:cs="Times New Roman"/>
          <w:sz w:val="24"/>
          <w:szCs w:val="24"/>
        </w:rPr>
        <w:t>, respektu k životnímu prostředí a na spotřebiteli.</w:t>
      </w:r>
      <w:r w:rsidR="00BD13FE" w:rsidRPr="000B521F">
        <w:rPr>
          <w:rFonts w:ascii="Times New Roman" w:hAnsi="Times New Roman" w:cs="Times New Roman"/>
          <w:sz w:val="24"/>
          <w:szCs w:val="24"/>
        </w:rPr>
        <w:t xml:space="preserve"> </w:t>
      </w:r>
      <w:r w:rsidR="00E35812" w:rsidRPr="000B521F">
        <w:rPr>
          <w:rFonts w:ascii="Times New Roman" w:hAnsi="Times New Roman" w:cs="Times New Roman"/>
          <w:sz w:val="24"/>
          <w:szCs w:val="24"/>
        </w:rPr>
        <w:t>S</w:t>
      </w:r>
      <w:r w:rsidR="00BD13FE" w:rsidRPr="000B521F">
        <w:rPr>
          <w:rFonts w:ascii="Times New Roman" w:hAnsi="Times New Roman" w:cs="Times New Roman"/>
          <w:sz w:val="24"/>
          <w:szCs w:val="24"/>
        </w:rPr>
        <w:t>labou stránkou</w:t>
      </w:r>
      <w:r w:rsidR="00F250E2" w:rsidRPr="000B521F">
        <w:rPr>
          <w:rFonts w:ascii="Times New Roman" w:hAnsi="Times New Roman" w:cs="Times New Roman"/>
          <w:sz w:val="24"/>
          <w:szCs w:val="24"/>
        </w:rPr>
        <w:t xml:space="preserve"> českého rybářství</w:t>
      </w:r>
      <w:r w:rsidR="008E081B" w:rsidRPr="000B521F">
        <w:rPr>
          <w:rFonts w:ascii="Times New Roman" w:hAnsi="Times New Roman" w:cs="Times New Roman"/>
          <w:sz w:val="24"/>
          <w:szCs w:val="24"/>
        </w:rPr>
        <w:t xml:space="preserve"> je</w:t>
      </w:r>
      <w:r w:rsidR="00C61A57" w:rsidRPr="000B521F">
        <w:rPr>
          <w:rFonts w:ascii="Times New Roman" w:hAnsi="Times New Roman" w:cs="Times New Roman"/>
          <w:sz w:val="24"/>
          <w:szCs w:val="24"/>
        </w:rPr>
        <w:t xml:space="preserve"> nižší ochota podniků investovat do modernizace, inovací a obnovy rybníků, protože </w:t>
      </w:r>
      <w:r w:rsidR="008E081B" w:rsidRPr="000B521F">
        <w:rPr>
          <w:rFonts w:ascii="Times New Roman" w:hAnsi="Times New Roman" w:cs="Times New Roman"/>
          <w:sz w:val="24"/>
          <w:szCs w:val="24"/>
        </w:rPr>
        <w:t>investic</w:t>
      </w:r>
      <w:r w:rsidR="00C61A57" w:rsidRPr="000B521F">
        <w:rPr>
          <w:rFonts w:ascii="Times New Roman" w:hAnsi="Times New Roman" w:cs="Times New Roman"/>
          <w:sz w:val="24"/>
          <w:szCs w:val="24"/>
        </w:rPr>
        <w:t>e</w:t>
      </w:r>
      <w:r w:rsidR="00BD13FE" w:rsidRPr="000B521F">
        <w:rPr>
          <w:rFonts w:ascii="Times New Roman" w:hAnsi="Times New Roman" w:cs="Times New Roman"/>
          <w:sz w:val="24"/>
          <w:szCs w:val="24"/>
        </w:rPr>
        <w:t xml:space="preserve"> v této oblasti</w:t>
      </w:r>
      <w:r w:rsidR="00264AE0">
        <w:rPr>
          <w:rFonts w:ascii="Times New Roman" w:hAnsi="Times New Roman" w:cs="Times New Roman"/>
          <w:sz w:val="24"/>
          <w:szCs w:val="24"/>
        </w:rPr>
        <w:t xml:space="preserve"> </w:t>
      </w:r>
      <w:r w:rsidR="00C61A57" w:rsidRPr="000B521F">
        <w:rPr>
          <w:rFonts w:ascii="Times New Roman" w:hAnsi="Times New Roman" w:cs="Times New Roman"/>
          <w:sz w:val="24"/>
          <w:szCs w:val="24"/>
        </w:rPr>
        <w:t xml:space="preserve">mají nízkou návratnost </w:t>
      </w:r>
      <w:r w:rsidR="00430C36" w:rsidRPr="000B521F">
        <w:rPr>
          <w:rFonts w:ascii="Times New Roman" w:hAnsi="Times New Roman" w:cs="Times New Roman"/>
          <w:sz w:val="24"/>
          <w:szCs w:val="24"/>
        </w:rPr>
        <w:t xml:space="preserve"> </w:t>
      </w:r>
      <w:r w:rsidRPr="000B521F">
        <w:rPr>
          <w:rFonts w:ascii="Times New Roman" w:hAnsi="Times New Roman" w:cs="Times New Roman"/>
          <w:sz w:val="24"/>
          <w:szCs w:val="24"/>
        </w:rPr>
        <w:t xml:space="preserve"> Jedním z klíčových problémů</w:t>
      </w:r>
      <w:r w:rsidR="00F24C00" w:rsidRPr="000B521F">
        <w:rPr>
          <w:rFonts w:ascii="Times New Roman" w:hAnsi="Times New Roman" w:cs="Times New Roman"/>
          <w:sz w:val="24"/>
          <w:szCs w:val="24"/>
        </w:rPr>
        <w:t xml:space="preserve"> české akvakultury</w:t>
      </w:r>
      <w:r w:rsidRPr="000B521F">
        <w:rPr>
          <w:rFonts w:ascii="Times New Roman" w:hAnsi="Times New Roman" w:cs="Times New Roman"/>
          <w:sz w:val="24"/>
          <w:szCs w:val="24"/>
        </w:rPr>
        <w:t xml:space="preserve"> je dosavadní neschopnost</w:t>
      </w:r>
      <w:r w:rsidR="00E35812" w:rsidRPr="000B521F">
        <w:rPr>
          <w:rFonts w:ascii="Times New Roman" w:hAnsi="Times New Roman" w:cs="Times New Roman"/>
          <w:sz w:val="24"/>
          <w:szCs w:val="24"/>
        </w:rPr>
        <w:t xml:space="preserve"> sektoru</w:t>
      </w:r>
      <w:r w:rsidRPr="000B521F">
        <w:rPr>
          <w:rFonts w:ascii="Times New Roman" w:hAnsi="Times New Roman" w:cs="Times New Roman"/>
          <w:sz w:val="24"/>
          <w:szCs w:val="24"/>
        </w:rPr>
        <w:t xml:space="preserve"> zajistit rovnoměrné celoroční dodávky českých sladkovodních ryb na domá</w:t>
      </w:r>
      <w:r w:rsidR="00F915CC" w:rsidRPr="000B521F">
        <w:rPr>
          <w:rFonts w:ascii="Times New Roman" w:hAnsi="Times New Roman" w:cs="Times New Roman"/>
          <w:sz w:val="24"/>
          <w:szCs w:val="24"/>
        </w:rPr>
        <w:t>cí trh</w:t>
      </w:r>
      <w:r w:rsidR="00E35812" w:rsidRPr="000B521F">
        <w:rPr>
          <w:rFonts w:ascii="Times New Roman" w:hAnsi="Times New Roman" w:cs="Times New Roman"/>
          <w:sz w:val="24"/>
          <w:szCs w:val="24"/>
        </w:rPr>
        <w:t>.</w:t>
      </w:r>
      <w:r w:rsidR="00430C36" w:rsidRPr="000B521F" w:rsidDel="00430C36">
        <w:rPr>
          <w:rFonts w:ascii="Times New Roman" w:hAnsi="Times New Roman" w:cs="Times New Roman"/>
          <w:sz w:val="24"/>
          <w:szCs w:val="24"/>
        </w:rPr>
        <w:t xml:space="preserve"> </w:t>
      </w:r>
      <w:r w:rsidR="00E35812" w:rsidRPr="000B521F">
        <w:rPr>
          <w:rFonts w:ascii="Times New Roman" w:hAnsi="Times New Roman" w:cs="Times New Roman"/>
          <w:sz w:val="24"/>
          <w:szCs w:val="24"/>
        </w:rPr>
        <w:t>Důvodem</w:t>
      </w:r>
      <w:r w:rsidR="00430C36" w:rsidRPr="000B521F">
        <w:rPr>
          <w:rFonts w:ascii="Times New Roman" w:hAnsi="Times New Roman" w:cs="Times New Roman"/>
          <w:sz w:val="24"/>
          <w:szCs w:val="24"/>
        </w:rPr>
        <w:t xml:space="preserve"> j</w:t>
      </w:r>
      <w:r w:rsidR="00E35812" w:rsidRPr="000B521F">
        <w:rPr>
          <w:rFonts w:ascii="Times New Roman" w:hAnsi="Times New Roman" w:cs="Times New Roman"/>
          <w:sz w:val="24"/>
          <w:szCs w:val="24"/>
        </w:rPr>
        <w:t>sou</w:t>
      </w:r>
      <w:r w:rsidR="00C61A57" w:rsidRPr="000B521F">
        <w:rPr>
          <w:rFonts w:ascii="Times New Roman" w:hAnsi="Times New Roman" w:cs="Times New Roman"/>
          <w:sz w:val="24"/>
          <w:szCs w:val="24"/>
        </w:rPr>
        <w:t> </w:t>
      </w:r>
      <w:r w:rsidR="00F250E2" w:rsidRPr="000B521F">
        <w:rPr>
          <w:rFonts w:ascii="Times New Roman" w:hAnsi="Times New Roman" w:cs="Times New Roman"/>
          <w:sz w:val="24"/>
          <w:szCs w:val="24"/>
        </w:rPr>
        <w:t>nedostatky</w:t>
      </w:r>
      <w:r w:rsidR="00C61A57" w:rsidRPr="000B521F">
        <w:rPr>
          <w:rFonts w:ascii="Times New Roman" w:hAnsi="Times New Roman" w:cs="Times New Roman"/>
          <w:sz w:val="24"/>
          <w:szCs w:val="24"/>
        </w:rPr>
        <w:t xml:space="preserve"> podniků</w:t>
      </w:r>
      <w:r w:rsidR="00F250E2" w:rsidRPr="000B521F">
        <w:rPr>
          <w:rFonts w:ascii="Times New Roman" w:hAnsi="Times New Roman" w:cs="Times New Roman"/>
          <w:sz w:val="24"/>
          <w:szCs w:val="24"/>
        </w:rPr>
        <w:t xml:space="preserve"> v oblasti marketingu, ale</w:t>
      </w:r>
      <w:r w:rsidR="00416F61" w:rsidRPr="000B521F">
        <w:rPr>
          <w:rFonts w:ascii="Times New Roman" w:hAnsi="Times New Roman" w:cs="Times New Roman"/>
          <w:sz w:val="24"/>
          <w:szCs w:val="24"/>
        </w:rPr>
        <w:t xml:space="preserve"> také s</w:t>
      </w:r>
      <w:r w:rsidR="006E227A" w:rsidRPr="000B521F">
        <w:rPr>
          <w:rFonts w:ascii="Times New Roman" w:hAnsi="Times New Roman" w:cs="Times New Roman"/>
          <w:sz w:val="24"/>
          <w:szCs w:val="24"/>
        </w:rPr>
        <w:t xml:space="preserve"> </w:t>
      </w:r>
      <w:r w:rsidR="00F915CC" w:rsidRPr="000B521F">
        <w:rPr>
          <w:rFonts w:ascii="Times New Roman" w:hAnsi="Times New Roman" w:cs="Times New Roman"/>
          <w:sz w:val="24"/>
          <w:szCs w:val="24"/>
        </w:rPr>
        <w:t>nedostatečn</w:t>
      </w:r>
      <w:r w:rsidR="006E227A" w:rsidRPr="000B521F">
        <w:rPr>
          <w:rFonts w:ascii="Times New Roman" w:hAnsi="Times New Roman" w:cs="Times New Roman"/>
          <w:sz w:val="24"/>
          <w:szCs w:val="24"/>
        </w:rPr>
        <w:t>ou</w:t>
      </w:r>
      <w:r w:rsidR="00F915CC" w:rsidRPr="000B521F">
        <w:rPr>
          <w:rFonts w:ascii="Times New Roman" w:hAnsi="Times New Roman" w:cs="Times New Roman"/>
          <w:sz w:val="24"/>
          <w:szCs w:val="24"/>
        </w:rPr>
        <w:t xml:space="preserve"> propagac</w:t>
      </w:r>
      <w:r w:rsidR="006E227A" w:rsidRPr="000B521F">
        <w:rPr>
          <w:rFonts w:ascii="Times New Roman" w:hAnsi="Times New Roman" w:cs="Times New Roman"/>
          <w:sz w:val="24"/>
          <w:szCs w:val="24"/>
        </w:rPr>
        <w:t>í</w:t>
      </w:r>
      <w:r w:rsidR="00F915CC" w:rsidRPr="000B521F">
        <w:rPr>
          <w:rFonts w:ascii="Times New Roman" w:hAnsi="Times New Roman" w:cs="Times New Roman"/>
          <w:sz w:val="24"/>
          <w:szCs w:val="24"/>
        </w:rPr>
        <w:t xml:space="preserve"> akvakultury a</w:t>
      </w:r>
      <w:r w:rsidR="00E35812" w:rsidRPr="000B521F">
        <w:rPr>
          <w:rFonts w:ascii="Times New Roman" w:hAnsi="Times New Roman" w:cs="Times New Roman"/>
          <w:sz w:val="24"/>
          <w:szCs w:val="24"/>
        </w:rPr>
        <w:t xml:space="preserve"> konzumace ryb</w:t>
      </w:r>
      <w:r w:rsidR="00C61A57" w:rsidRPr="000B521F">
        <w:rPr>
          <w:rFonts w:ascii="Times New Roman" w:hAnsi="Times New Roman" w:cs="Times New Roman"/>
          <w:sz w:val="24"/>
          <w:szCs w:val="24"/>
        </w:rPr>
        <w:t xml:space="preserve"> obecně</w:t>
      </w:r>
      <w:r w:rsidR="00E35812" w:rsidRPr="000B521F">
        <w:rPr>
          <w:rFonts w:ascii="Times New Roman" w:hAnsi="Times New Roman" w:cs="Times New Roman"/>
          <w:sz w:val="24"/>
          <w:szCs w:val="24"/>
        </w:rPr>
        <w:t xml:space="preserve"> a</w:t>
      </w:r>
      <w:r w:rsidR="00416F61" w:rsidRPr="000B521F">
        <w:rPr>
          <w:rFonts w:ascii="Times New Roman" w:hAnsi="Times New Roman" w:cs="Times New Roman"/>
          <w:sz w:val="24"/>
          <w:szCs w:val="24"/>
        </w:rPr>
        <w:t xml:space="preserve"> přetrvávající</w:t>
      </w:r>
      <w:r w:rsidR="00F24C00" w:rsidRPr="000B521F">
        <w:rPr>
          <w:rFonts w:ascii="Times New Roman" w:hAnsi="Times New Roman" w:cs="Times New Roman"/>
          <w:sz w:val="24"/>
          <w:szCs w:val="24"/>
        </w:rPr>
        <w:t xml:space="preserve"> sezónn</w:t>
      </w:r>
      <w:r w:rsidR="00E35812" w:rsidRPr="000B521F">
        <w:rPr>
          <w:rFonts w:ascii="Times New Roman" w:hAnsi="Times New Roman" w:cs="Times New Roman"/>
          <w:sz w:val="24"/>
          <w:szCs w:val="24"/>
        </w:rPr>
        <w:t>ost</w:t>
      </w:r>
      <w:r w:rsidR="00F915CC" w:rsidRPr="000B521F">
        <w:rPr>
          <w:rFonts w:ascii="Times New Roman" w:hAnsi="Times New Roman" w:cs="Times New Roman"/>
          <w:sz w:val="24"/>
          <w:szCs w:val="24"/>
        </w:rPr>
        <w:t xml:space="preserve"> konzumac</w:t>
      </w:r>
      <w:r w:rsidR="00E35812" w:rsidRPr="000B521F">
        <w:rPr>
          <w:rFonts w:ascii="Times New Roman" w:hAnsi="Times New Roman" w:cs="Times New Roman"/>
          <w:sz w:val="24"/>
          <w:szCs w:val="24"/>
        </w:rPr>
        <w:t>e</w:t>
      </w:r>
      <w:r w:rsidR="00F915CC" w:rsidRPr="000B521F">
        <w:rPr>
          <w:rFonts w:ascii="Times New Roman" w:hAnsi="Times New Roman" w:cs="Times New Roman"/>
          <w:sz w:val="24"/>
          <w:szCs w:val="24"/>
        </w:rPr>
        <w:t>.</w:t>
      </w:r>
      <w:r w:rsidR="00F24C00" w:rsidRPr="000B521F">
        <w:rPr>
          <w:rFonts w:ascii="Times New Roman" w:hAnsi="Times New Roman" w:cs="Times New Roman"/>
          <w:sz w:val="24"/>
          <w:szCs w:val="24"/>
        </w:rPr>
        <w:t xml:space="preserve"> Nízký je podíl zpracovávaných ryb v domácích podnicích.</w:t>
      </w:r>
      <w:r w:rsidRPr="000B521F">
        <w:rPr>
          <w:rFonts w:ascii="Times New Roman" w:hAnsi="Times New Roman" w:cs="Times New Roman"/>
          <w:sz w:val="24"/>
          <w:szCs w:val="24"/>
        </w:rPr>
        <w:t xml:space="preserve"> V českých podmínkách bude nezbytné souběžně rozvíjet tradiční a osvědčené formy akvakultury (rybníkářství) a současně podpořit zavádění moderních intenzivních chovných systémů využívajících inovací.</w:t>
      </w:r>
      <w:r w:rsidR="00416F61" w:rsidRPr="000B521F">
        <w:rPr>
          <w:rFonts w:ascii="Times New Roman" w:hAnsi="Times New Roman" w:cs="Times New Roman"/>
          <w:sz w:val="24"/>
          <w:szCs w:val="24"/>
        </w:rPr>
        <w:t xml:space="preserve"> Dále je nezbytné vzít v úvahu i další mimoprodukční funkce</w:t>
      </w:r>
      <w:r w:rsidR="00F250E2" w:rsidRPr="000B521F">
        <w:rPr>
          <w:rFonts w:ascii="Times New Roman" w:hAnsi="Times New Roman" w:cs="Times New Roman"/>
          <w:sz w:val="24"/>
          <w:szCs w:val="24"/>
        </w:rPr>
        <w:t xml:space="preserve"> rybníků</w:t>
      </w:r>
      <w:r w:rsidR="00416F61" w:rsidRPr="000B521F">
        <w:rPr>
          <w:rFonts w:ascii="Times New Roman" w:hAnsi="Times New Roman" w:cs="Times New Roman"/>
          <w:sz w:val="24"/>
          <w:szCs w:val="24"/>
        </w:rPr>
        <w:t xml:space="preserve"> (zadržování vody v krajině, biodiverzitu)</w:t>
      </w:r>
      <w:r w:rsidR="00C61A57" w:rsidRPr="000B521F">
        <w:rPr>
          <w:rFonts w:ascii="Times New Roman" w:hAnsi="Times New Roman" w:cs="Times New Roman"/>
          <w:sz w:val="24"/>
          <w:szCs w:val="24"/>
        </w:rPr>
        <w:t xml:space="preserve"> a zlepšit řídicí a organizační kompetence podniků</w:t>
      </w:r>
      <w:r w:rsidR="00F250E2" w:rsidRPr="000B521F">
        <w:rPr>
          <w:rFonts w:ascii="Times New Roman" w:hAnsi="Times New Roman" w:cs="Times New Roman"/>
          <w:sz w:val="24"/>
          <w:szCs w:val="24"/>
        </w:rPr>
        <w:t>.</w:t>
      </w:r>
    </w:p>
    <w:p w:rsidR="00B52446" w:rsidRPr="000B521F" w:rsidRDefault="00F250E2" w:rsidP="0059011D">
      <w:pPr>
        <w:tabs>
          <w:tab w:val="left" w:pos="851"/>
        </w:tabs>
        <w:autoSpaceDE w:val="0"/>
        <w:autoSpaceDN w:val="0"/>
        <w:adjustRightInd w:val="0"/>
        <w:spacing w:after="120" w:line="240" w:lineRule="auto"/>
        <w:jc w:val="both"/>
        <w:rPr>
          <w:rFonts w:ascii="Times New Roman" w:hAnsi="Times New Roman" w:cs="Times New Roman"/>
          <w:sz w:val="24"/>
          <w:szCs w:val="24"/>
        </w:rPr>
      </w:pPr>
      <w:r w:rsidRPr="000B521F">
        <w:rPr>
          <w:rFonts w:ascii="Times New Roman" w:hAnsi="Times New Roman" w:cs="Times New Roman"/>
          <w:i/>
          <w:sz w:val="24"/>
          <w:szCs w:val="24"/>
        </w:rPr>
        <w:t>Potřeby rozvoje</w:t>
      </w:r>
      <w:r w:rsidR="00B52446" w:rsidRPr="000B521F">
        <w:rPr>
          <w:rFonts w:ascii="Times New Roman" w:hAnsi="Times New Roman" w:cs="Times New Roman"/>
          <w:i/>
          <w:sz w:val="24"/>
          <w:szCs w:val="24"/>
        </w:rPr>
        <w:t>:</w:t>
      </w:r>
    </w:p>
    <w:p w:rsidR="00AB3265" w:rsidRPr="000B521F" w:rsidRDefault="008C0415" w:rsidP="0059011D">
      <w:pPr>
        <w:pStyle w:val="Odstavecseseznamem"/>
        <w:numPr>
          <w:ilvl w:val="0"/>
          <w:numId w:val="112"/>
        </w:numPr>
        <w:tabs>
          <w:tab w:val="left" w:pos="851"/>
        </w:tabs>
        <w:autoSpaceDE w:val="0"/>
        <w:autoSpaceDN w:val="0"/>
        <w:adjustRightInd w:val="0"/>
        <w:spacing w:after="0" w:line="240" w:lineRule="auto"/>
        <w:ind w:left="851"/>
        <w:jc w:val="both"/>
        <w:rPr>
          <w:rFonts w:ascii="Times New Roman" w:hAnsi="Times New Roman" w:cs="Times New Roman"/>
          <w:sz w:val="24"/>
          <w:szCs w:val="24"/>
        </w:rPr>
      </w:pPr>
      <w:r w:rsidRPr="000B521F">
        <w:rPr>
          <w:rFonts w:ascii="Times New Roman" w:hAnsi="Times New Roman" w:cs="Times New Roman"/>
          <w:sz w:val="24"/>
          <w:szCs w:val="24"/>
        </w:rPr>
        <w:t>Zachovat a modernizovat extenzivní a polointenzivní akvakulturu (rybníky) – především kapr produkovaný v polykulturních obsádkách.</w:t>
      </w:r>
    </w:p>
    <w:p w:rsidR="00AB3265" w:rsidRPr="000B521F" w:rsidRDefault="008C0415" w:rsidP="0059011D">
      <w:pPr>
        <w:pStyle w:val="Odstavecseseznamem"/>
        <w:numPr>
          <w:ilvl w:val="0"/>
          <w:numId w:val="112"/>
        </w:numPr>
        <w:tabs>
          <w:tab w:val="left" w:pos="851"/>
        </w:tabs>
        <w:autoSpaceDE w:val="0"/>
        <w:autoSpaceDN w:val="0"/>
        <w:adjustRightInd w:val="0"/>
        <w:spacing w:after="0" w:line="240" w:lineRule="auto"/>
        <w:ind w:left="851"/>
        <w:jc w:val="both"/>
        <w:rPr>
          <w:rFonts w:ascii="Times New Roman" w:hAnsi="Times New Roman" w:cs="Times New Roman"/>
          <w:sz w:val="24"/>
          <w:szCs w:val="24"/>
        </w:rPr>
      </w:pPr>
      <w:r w:rsidRPr="000B521F">
        <w:rPr>
          <w:rFonts w:ascii="Times New Roman" w:hAnsi="Times New Roman" w:cs="Times New Roman"/>
          <w:sz w:val="24"/>
          <w:szCs w:val="24"/>
        </w:rPr>
        <w:t>Zvýšit spotřebu sladkovodních ryb.</w:t>
      </w:r>
    </w:p>
    <w:p w:rsidR="00AB3265" w:rsidRPr="000B521F" w:rsidRDefault="008C0415" w:rsidP="0059011D">
      <w:pPr>
        <w:pStyle w:val="Odstavecseseznamem"/>
        <w:numPr>
          <w:ilvl w:val="0"/>
          <w:numId w:val="112"/>
        </w:numPr>
        <w:tabs>
          <w:tab w:val="left" w:pos="851"/>
        </w:tabs>
        <w:autoSpaceDE w:val="0"/>
        <w:autoSpaceDN w:val="0"/>
        <w:adjustRightInd w:val="0"/>
        <w:spacing w:after="0" w:line="240" w:lineRule="auto"/>
        <w:ind w:left="851"/>
        <w:jc w:val="both"/>
        <w:rPr>
          <w:rFonts w:ascii="Times New Roman" w:hAnsi="Times New Roman" w:cs="Times New Roman"/>
          <w:sz w:val="24"/>
          <w:szCs w:val="24"/>
        </w:rPr>
      </w:pPr>
      <w:r w:rsidRPr="000B521F">
        <w:rPr>
          <w:rFonts w:ascii="Times New Roman" w:hAnsi="Times New Roman" w:cs="Times New Roman"/>
          <w:sz w:val="24"/>
          <w:szCs w:val="24"/>
        </w:rPr>
        <w:t>Vybudovat moderní recirkulační zařízení k produkci kvalitních ryb, nárůst produkce ryb z recirkulačních systémů.</w:t>
      </w:r>
    </w:p>
    <w:p w:rsidR="00AB3265" w:rsidRPr="000B521F" w:rsidRDefault="008C0415" w:rsidP="0059011D">
      <w:pPr>
        <w:pStyle w:val="Odstavecseseznamem"/>
        <w:numPr>
          <w:ilvl w:val="0"/>
          <w:numId w:val="112"/>
        </w:numPr>
        <w:tabs>
          <w:tab w:val="left" w:pos="851"/>
        </w:tabs>
        <w:autoSpaceDE w:val="0"/>
        <w:autoSpaceDN w:val="0"/>
        <w:adjustRightInd w:val="0"/>
        <w:spacing w:after="0" w:line="240" w:lineRule="auto"/>
        <w:ind w:left="851"/>
        <w:jc w:val="both"/>
        <w:rPr>
          <w:rFonts w:ascii="Times New Roman" w:hAnsi="Times New Roman" w:cs="Times New Roman"/>
          <w:sz w:val="24"/>
          <w:szCs w:val="24"/>
        </w:rPr>
      </w:pPr>
      <w:r w:rsidRPr="000B521F">
        <w:rPr>
          <w:rFonts w:ascii="Times New Roman" w:hAnsi="Times New Roman" w:cs="Times New Roman"/>
          <w:sz w:val="24"/>
          <w:szCs w:val="24"/>
        </w:rPr>
        <w:t>Diverzifikovat činnosti rybářských podniků.</w:t>
      </w:r>
    </w:p>
    <w:p w:rsidR="00AB3265" w:rsidRPr="000B521F" w:rsidRDefault="008C0415" w:rsidP="0059011D">
      <w:pPr>
        <w:pStyle w:val="Odstavecseseznamem"/>
        <w:numPr>
          <w:ilvl w:val="0"/>
          <w:numId w:val="112"/>
        </w:numPr>
        <w:tabs>
          <w:tab w:val="left" w:pos="851"/>
        </w:tabs>
        <w:autoSpaceDE w:val="0"/>
        <w:autoSpaceDN w:val="0"/>
        <w:adjustRightInd w:val="0"/>
        <w:spacing w:after="0" w:line="240" w:lineRule="auto"/>
        <w:ind w:left="851"/>
        <w:jc w:val="both"/>
        <w:rPr>
          <w:rFonts w:ascii="Times New Roman" w:hAnsi="Times New Roman" w:cs="Times New Roman"/>
          <w:sz w:val="24"/>
          <w:szCs w:val="24"/>
        </w:rPr>
      </w:pPr>
      <w:r w:rsidRPr="000B521F">
        <w:rPr>
          <w:rFonts w:ascii="Times New Roman" w:hAnsi="Times New Roman" w:cs="Times New Roman"/>
          <w:sz w:val="24"/>
          <w:szCs w:val="24"/>
        </w:rPr>
        <w:t>Efektivně využívat zpracovatelské podniky.</w:t>
      </w:r>
    </w:p>
    <w:p w:rsidR="00AB3265" w:rsidRPr="000B521F" w:rsidRDefault="008C0415" w:rsidP="0059011D">
      <w:pPr>
        <w:pStyle w:val="Odstavecseseznamem"/>
        <w:numPr>
          <w:ilvl w:val="0"/>
          <w:numId w:val="112"/>
        </w:numPr>
        <w:tabs>
          <w:tab w:val="left" w:pos="851"/>
        </w:tabs>
        <w:autoSpaceDE w:val="0"/>
        <w:autoSpaceDN w:val="0"/>
        <w:adjustRightInd w:val="0"/>
        <w:spacing w:after="0" w:line="240" w:lineRule="auto"/>
        <w:ind w:left="851"/>
        <w:jc w:val="both"/>
        <w:rPr>
          <w:rFonts w:ascii="Times New Roman" w:hAnsi="Times New Roman" w:cs="Times New Roman"/>
          <w:sz w:val="24"/>
          <w:szCs w:val="24"/>
        </w:rPr>
      </w:pPr>
      <w:r w:rsidRPr="000B521F">
        <w:rPr>
          <w:rFonts w:ascii="Times New Roman" w:hAnsi="Times New Roman" w:cs="Times New Roman"/>
          <w:sz w:val="24"/>
          <w:szCs w:val="24"/>
        </w:rPr>
        <w:t>Cíleným marketingem zvýšit spotřebu sladkovodních ryb v průběhu celého roku.</w:t>
      </w:r>
    </w:p>
    <w:p w:rsidR="008C0415" w:rsidRPr="000B521F" w:rsidRDefault="008C0415" w:rsidP="0059011D">
      <w:pPr>
        <w:pStyle w:val="Odstavecseseznamem"/>
        <w:tabs>
          <w:tab w:val="left" w:pos="851"/>
        </w:tabs>
        <w:autoSpaceDE w:val="0"/>
        <w:autoSpaceDN w:val="0"/>
        <w:adjustRightInd w:val="0"/>
        <w:spacing w:after="0" w:line="240" w:lineRule="auto"/>
        <w:jc w:val="both"/>
        <w:rPr>
          <w:rFonts w:ascii="Times New Roman" w:hAnsi="Times New Roman" w:cs="Times New Roman"/>
          <w:sz w:val="24"/>
          <w:szCs w:val="24"/>
        </w:rPr>
      </w:pPr>
    </w:p>
    <w:p w:rsidR="00E922B2" w:rsidRPr="000B521F" w:rsidRDefault="00E922B2" w:rsidP="0059011D">
      <w:pPr>
        <w:spacing w:after="120" w:line="240" w:lineRule="auto"/>
        <w:jc w:val="both"/>
        <w:rPr>
          <w:rFonts w:ascii="Times New Roman" w:hAnsi="Times New Roman" w:cs="Times New Roman"/>
          <w:b/>
          <w:i/>
          <w:sz w:val="24"/>
          <w:szCs w:val="24"/>
        </w:rPr>
      </w:pPr>
    </w:p>
    <w:p w:rsidR="002C1306" w:rsidRPr="000B521F" w:rsidRDefault="002C1306" w:rsidP="005B6699">
      <w:pPr>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Specifické potřeby a výzvy městského a venkovského prostoru a přeshraničních regionů:</w:t>
      </w:r>
    </w:p>
    <w:p w:rsidR="008206A4" w:rsidRPr="000B521F" w:rsidRDefault="00264AE0" w:rsidP="005B6699">
      <w:pPr>
        <w:pStyle w:val="Odstavecseseznamem"/>
        <w:numPr>
          <w:ilvl w:val="0"/>
          <w:numId w:val="148"/>
        </w:numPr>
        <w:spacing w:after="0" w:line="240" w:lineRule="auto"/>
        <w:ind w:left="714" w:hanging="357"/>
        <w:rPr>
          <w:rFonts w:ascii="Times New Roman" w:hAnsi="Times New Roman" w:cs="Times New Roman"/>
          <w:sz w:val="24"/>
          <w:szCs w:val="24"/>
        </w:rPr>
      </w:pPr>
      <w:r>
        <w:rPr>
          <w:rFonts w:ascii="Times New Roman" w:hAnsi="Times New Roman" w:cs="Times New Roman"/>
          <w:sz w:val="24"/>
          <w:szCs w:val="24"/>
        </w:rPr>
        <w:t>V</w:t>
      </w:r>
      <w:r w:rsidR="002C1306" w:rsidRPr="000B521F">
        <w:rPr>
          <w:rFonts w:ascii="Times New Roman" w:hAnsi="Times New Roman" w:cs="Times New Roman"/>
          <w:sz w:val="24"/>
          <w:szCs w:val="24"/>
        </w:rPr>
        <w:t>ytvoření podmínek pro zesílení pracovní migrace (dopravní dostupnost, dostupnost diferencovaného bydlení pro různé věkové a příjmové skupiny obyvatel)</w:t>
      </w:r>
      <w:r>
        <w:rPr>
          <w:rFonts w:ascii="Times New Roman" w:hAnsi="Times New Roman" w:cs="Times New Roman"/>
          <w:sz w:val="24"/>
          <w:szCs w:val="24"/>
        </w:rPr>
        <w:t>.</w:t>
      </w:r>
    </w:p>
    <w:p w:rsidR="008206A4" w:rsidRPr="000B521F" w:rsidRDefault="00264AE0" w:rsidP="005B6699">
      <w:pPr>
        <w:pStyle w:val="Odstavecseseznamem"/>
        <w:numPr>
          <w:ilvl w:val="0"/>
          <w:numId w:val="148"/>
        </w:numPr>
        <w:spacing w:after="0" w:line="240" w:lineRule="auto"/>
        <w:ind w:left="714" w:hanging="357"/>
        <w:rPr>
          <w:rFonts w:ascii="Times New Roman" w:hAnsi="Times New Roman" w:cs="Times New Roman"/>
          <w:sz w:val="24"/>
          <w:szCs w:val="24"/>
        </w:rPr>
      </w:pPr>
      <w:r>
        <w:rPr>
          <w:rFonts w:ascii="Times New Roman" w:hAnsi="Times New Roman" w:cs="Times New Roman"/>
          <w:sz w:val="24"/>
          <w:szCs w:val="24"/>
        </w:rPr>
        <w:t>P</w:t>
      </w:r>
      <w:r w:rsidR="002C1306" w:rsidRPr="000B521F">
        <w:rPr>
          <w:rFonts w:ascii="Times New Roman" w:hAnsi="Times New Roman" w:cs="Times New Roman"/>
          <w:sz w:val="24"/>
          <w:szCs w:val="24"/>
        </w:rPr>
        <w:t>odpora rozvoje místní ekonomiky ve venkovském prostoru</w:t>
      </w:r>
      <w:r>
        <w:rPr>
          <w:rFonts w:ascii="Times New Roman" w:hAnsi="Times New Roman" w:cs="Times New Roman"/>
          <w:sz w:val="24"/>
          <w:szCs w:val="24"/>
        </w:rPr>
        <w:t>.</w:t>
      </w:r>
    </w:p>
    <w:p w:rsidR="008206A4" w:rsidRPr="000B521F" w:rsidRDefault="00264AE0" w:rsidP="005B6699">
      <w:pPr>
        <w:pStyle w:val="Odstavecseseznamem"/>
        <w:numPr>
          <w:ilvl w:val="0"/>
          <w:numId w:val="148"/>
        </w:numPr>
        <w:spacing w:after="0" w:line="240" w:lineRule="auto"/>
        <w:ind w:left="714" w:hanging="357"/>
        <w:rPr>
          <w:rFonts w:ascii="Times New Roman" w:hAnsi="Times New Roman" w:cs="Times New Roman"/>
          <w:sz w:val="24"/>
          <w:szCs w:val="24"/>
        </w:rPr>
      </w:pPr>
      <w:r>
        <w:rPr>
          <w:rFonts w:ascii="Times New Roman" w:hAnsi="Times New Roman" w:cs="Times New Roman"/>
          <w:sz w:val="24"/>
          <w:szCs w:val="24"/>
        </w:rPr>
        <w:t>P</w:t>
      </w:r>
      <w:r w:rsidR="005D6CA1" w:rsidRPr="000B521F">
        <w:rPr>
          <w:rFonts w:ascii="Times New Roman" w:hAnsi="Times New Roman" w:cs="Times New Roman"/>
          <w:sz w:val="24"/>
          <w:szCs w:val="24"/>
        </w:rPr>
        <w:t>odpora</w:t>
      </w:r>
      <w:r w:rsidR="00F91555" w:rsidRPr="000B521F">
        <w:rPr>
          <w:rFonts w:ascii="Times New Roman" w:hAnsi="Times New Roman" w:cs="Times New Roman"/>
          <w:sz w:val="24"/>
          <w:szCs w:val="24"/>
        </w:rPr>
        <w:t xml:space="preserve"> podnikání v cestovním ruchu</w:t>
      </w:r>
      <w:r>
        <w:rPr>
          <w:rFonts w:ascii="Times New Roman" w:hAnsi="Times New Roman" w:cs="Times New Roman"/>
          <w:sz w:val="24"/>
          <w:szCs w:val="24"/>
        </w:rPr>
        <w:t>.</w:t>
      </w:r>
    </w:p>
    <w:p w:rsidR="00A91333" w:rsidRDefault="00A91333" w:rsidP="0059011D">
      <w:pPr>
        <w:pStyle w:val="Tabulka"/>
        <w:spacing w:before="120" w:after="60"/>
        <w:rPr>
          <w:szCs w:val="20"/>
        </w:rPr>
      </w:pPr>
    </w:p>
    <w:p w:rsidR="00DC5011" w:rsidRPr="000B521F" w:rsidRDefault="00DC5011" w:rsidP="0059011D">
      <w:pPr>
        <w:pStyle w:val="Tabulka"/>
        <w:spacing w:before="120" w:after="60"/>
        <w:rPr>
          <w:szCs w:val="20"/>
        </w:rPr>
      </w:pPr>
      <w:r w:rsidRPr="000B521F">
        <w:rPr>
          <w:szCs w:val="20"/>
        </w:rPr>
        <w:lastRenderedPageBreak/>
        <w:t>Vazby na dokumenty EU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7371"/>
      </w:tblGrid>
      <w:tr w:rsidR="00DC5011" w:rsidRPr="000B521F" w:rsidTr="00761093">
        <w:trPr>
          <w:trHeight w:val="765"/>
        </w:trPr>
        <w:tc>
          <w:tcPr>
            <w:tcW w:w="170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DC5011" w:rsidRPr="000B521F" w:rsidRDefault="00DC5011"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Strategie Evropa 2020</w:t>
            </w:r>
          </w:p>
        </w:tc>
        <w:tc>
          <w:tcPr>
            <w:tcW w:w="7371" w:type="dxa"/>
            <w:tcBorders>
              <w:top w:val="single" w:sz="4" w:space="0" w:color="auto"/>
              <w:left w:val="single" w:sz="4" w:space="0" w:color="auto"/>
              <w:bottom w:val="single" w:sz="4" w:space="0" w:color="auto"/>
              <w:right w:val="single" w:sz="4" w:space="0" w:color="auto"/>
            </w:tcBorders>
            <w:vAlign w:val="center"/>
            <w:hideMark/>
          </w:tcPr>
          <w:p w:rsidR="00DC5011" w:rsidRPr="000B521F" w:rsidRDefault="00DC5011" w:rsidP="0059011D">
            <w:pPr>
              <w:pStyle w:val="DAVA"/>
              <w:spacing w:before="60" w:after="60"/>
              <w:rPr>
                <w:rFonts w:ascii="Times New Roman" w:hAnsi="Times New Roman"/>
                <w:sz w:val="20"/>
                <w:szCs w:val="20"/>
              </w:rPr>
            </w:pPr>
            <w:r w:rsidRPr="000B521F">
              <w:rPr>
                <w:rFonts w:ascii="Times New Roman" w:hAnsi="Times New Roman"/>
                <w:sz w:val="20"/>
                <w:szCs w:val="20"/>
              </w:rPr>
              <w:t>Cíl „Snížit emise skleníkových plynů oproti úrovním roku 1990 nejméně o 20 % nebo, pokud budou podmínky příznivé, o 30 %; zvýšit podíl obnovitelných zdrojů energie v naší konečné spotřebě energie na 20 % a zvýšit energetickou účinnost o 20 %“.Částečně vazba také</w:t>
            </w:r>
            <w:r w:rsidR="00DA1222" w:rsidRPr="000B521F">
              <w:rPr>
                <w:rFonts w:ascii="Times New Roman" w:hAnsi="Times New Roman"/>
                <w:sz w:val="20"/>
                <w:szCs w:val="20"/>
              </w:rPr>
              <w:t xml:space="preserve"> </w:t>
            </w:r>
            <w:r w:rsidRPr="000B521F">
              <w:rPr>
                <w:rFonts w:ascii="Times New Roman" w:hAnsi="Times New Roman"/>
                <w:sz w:val="20"/>
                <w:szCs w:val="20"/>
              </w:rPr>
              <w:t>na</w:t>
            </w:r>
            <w:r w:rsidR="00DA1222" w:rsidRPr="000B521F">
              <w:rPr>
                <w:rFonts w:ascii="Times New Roman" w:hAnsi="Times New Roman"/>
                <w:sz w:val="20"/>
                <w:szCs w:val="20"/>
              </w:rPr>
              <w:t xml:space="preserve"> </w:t>
            </w:r>
            <w:r w:rsidRPr="000B521F">
              <w:rPr>
                <w:rFonts w:ascii="Times New Roman" w:hAnsi="Times New Roman"/>
                <w:sz w:val="20"/>
                <w:szCs w:val="20"/>
              </w:rPr>
              <w:t>cíl „Dosáhnout cíle investovat do výzkumu a vývoje 3 % HDP, zejména zlepšováním podmínek pro investice soukromého sektoru do výzkumu a vývoje, a vytvořit nový ukazatel pro sledování inovací</w:t>
            </w:r>
            <w:r w:rsidR="00DA1222" w:rsidRPr="000B521F">
              <w:rPr>
                <w:rFonts w:ascii="Times New Roman" w:hAnsi="Times New Roman"/>
                <w:sz w:val="20"/>
                <w:szCs w:val="20"/>
              </w:rPr>
              <w:t xml:space="preserve"> </w:t>
            </w:r>
            <w:r w:rsidRPr="000B521F">
              <w:rPr>
                <w:rFonts w:ascii="Times New Roman" w:hAnsi="Times New Roman"/>
                <w:sz w:val="20"/>
                <w:szCs w:val="20"/>
              </w:rPr>
              <w:t>Iniciativy „Inovace v Unii“„Evropa méně náročná na zdroje“.</w:t>
            </w:r>
          </w:p>
          <w:p w:rsidR="00DC5011" w:rsidRPr="000B521F" w:rsidRDefault="00DC5011" w:rsidP="0059011D">
            <w:pPr>
              <w:pStyle w:val="DAVA"/>
              <w:spacing w:before="60" w:after="60"/>
              <w:rPr>
                <w:rFonts w:ascii="Times New Roman" w:hAnsi="Times New Roman"/>
                <w:sz w:val="20"/>
                <w:szCs w:val="20"/>
              </w:rPr>
            </w:pPr>
            <w:r w:rsidRPr="000B521F">
              <w:rPr>
                <w:rFonts w:ascii="Times New Roman" w:hAnsi="Times New Roman"/>
                <w:sz w:val="20"/>
                <w:szCs w:val="20"/>
              </w:rPr>
              <w:t>Integrované hlavní směry: 6. „Zlepšit obchodní a spotřebitelské prostředí, modernizovat a rozvinout průmyslovou základnu za účelem dosažení plné funkčnosti vnitřního trhu“; 4. Optimalizovat podporu výzkumu, vývoje a inovací, posilovat znalostní trojúhelník a uvolnit potenciál digitální ekonomiky“, 5. “Zefektivnit využívání zdrojů a snížit emise skleníkových plynů, částečně 8 „Rozvoj kvalifikované pracovní síly, která bude reagovat na potřeby trhu práce, a podpora celoživotního učení“.</w:t>
            </w:r>
          </w:p>
        </w:tc>
      </w:tr>
      <w:tr w:rsidR="00DC5011" w:rsidRPr="000B521F" w:rsidTr="00761093">
        <w:trPr>
          <w:trHeight w:val="407"/>
        </w:trPr>
        <w:tc>
          <w:tcPr>
            <w:tcW w:w="170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DC5011" w:rsidRPr="000B521F" w:rsidRDefault="00DC5011"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Společný strategický rámec</w:t>
            </w:r>
          </w:p>
        </w:tc>
        <w:tc>
          <w:tcPr>
            <w:tcW w:w="7371" w:type="dxa"/>
            <w:tcBorders>
              <w:top w:val="single" w:sz="4" w:space="0" w:color="auto"/>
              <w:left w:val="single" w:sz="4" w:space="0" w:color="auto"/>
              <w:bottom w:val="single" w:sz="4" w:space="0" w:color="auto"/>
              <w:right w:val="single" w:sz="4" w:space="0" w:color="auto"/>
            </w:tcBorders>
            <w:vAlign w:val="center"/>
            <w:hideMark/>
          </w:tcPr>
          <w:p w:rsidR="00DC5011" w:rsidRPr="000B521F" w:rsidRDefault="00DC5011" w:rsidP="00264AE0">
            <w:pPr>
              <w:pStyle w:val="DAVA"/>
              <w:spacing w:before="60" w:after="60"/>
              <w:rPr>
                <w:rFonts w:ascii="Times New Roman" w:hAnsi="Times New Roman"/>
                <w:sz w:val="20"/>
                <w:szCs w:val="20"/>
              </w:rPr>
            </w:pPr>
            <w:r w:rsidRPr="000B521F">
              <w:rPr>
                <w:rFonts w:ascii="Times New Roman" w:hAnsi="Times New Roman"/>
                <w:sz w:val="20"/>
                <w:szCs w:val="20"/>
              </w:rPr>
              <w:t xml:space="preserve">Příloha 1, 4.3 </w:t>
            </w:r>
            <w:r w:rsidR="00264AE0">
              <w:rPr>
                <w:rFonts w:ascii="Times New Roman" w:hAnsi="Times New Roman"/>
                <w:sz w:val="20"/>
                <w:szCs w:val="20"/>
              </w:rPr>
              <w:t>–</w:t>
            </w:r>
            <w:r w:rsidRPr="000B521F">
              <w:rPr>
                <w:rFonts w:ascii="Times New Roman" w:hAnsi="Times New Roman"/>
                <w:sz w:val="20"/>
                <w:szCs w:val="20"/>
              </w:rPr>
              <w:t xml:space="preserve"> Horizont 2020 a ostatní centrálně řízené programy EU v oblastech výzkumu a inovací; zpracování (v relevantních případech) národní strategie „chytré specializace – i jako součást národního nebo regionálního strategického rámce výzkumu a inovací pro „chytrou specializaci“ (včetně zapojení národních nebo regionálních řídící orgánů a zainteresovaných stran, např. univerzit a dalších institucí pro vyšší vzdělání, partnerů z průmyslu a sociální sféry).</w:t>
            </w:r>
          </w:p>
        </w:tc>
      </w:tr>
      <w:tr w:rsidR="00DC5011" w:rsidRPr="000B521F" w:rsidTr="00761093">
        <w:trPr>
          <w:trHeight w:val="407"/>
        </w:trPr>
        <w:tc>
          <w:tcPr>
            <w:tcW w:w="170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DC5011" w:rsidRPr="000B521F" w:rsidRDefault="00DC5011"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Tematické cíle</w:t>
            </w:r>
          </w:p>
        </w:tc>
        <w:tc>
          <w:tcPr>
            <w:tcW w:w="7371" w:type="dxa"/>
            <w:tcBorders>
              <w:top w:val="single" w:sz="4" w:space="0" w:color="auto"/>
              <w:left w:val="single" w:sz="4" w:space="0" w:color="auto"/>
              <w:bottom w:val="single" w:sz="4" w:space="0" w:color="auto"/>
              <w:right w:val="single" w:sz="4" w:space="0" w:color="auto"/>
            </w:tcBorders>
            <w:vAlign w:val="center"/>
          </w:tcPr>
          <w:p w:rsidR="00DC5011" w:rsidRPr="000B521F" w:rsidRDefault="00DC5011" w:rsidP="0059011D">
            <w:pPr>
              <w:pStyle w:val="DAVA"/>
              <w:spacing w:before="60" w:after="60"/>
              <w:rPr>
                <w:rFonts w:ascii="Times New Roman" w:hAnsi="Times New Roman"/>
                <w:sz w:val="20"/>
                <w:szCs w:val="20"/>
              </w:rPr>
            </w:pPr>
            <w:r w:rsidRPr="000B521F">
              <w:rPr>
                <w:rFonts w:ascii="Times New Roman" w:hAnsi="Times New Roman"/>
                <w:sz w:val="20"/>
                <w:szCs w:val="20"/>
              </w:rPr>
              <w:t>1. Posílení výzkumu, te</w:t>
            </w:r>
            <w:r w:rsidR="00264AE0">
              <w:rPr>
                <w:rFonts w:ascii="Times New Roman" w:hAnsi="Times New Roman"/>
                <w:sz w:val="20"/>
                <w:szCs w:val="20"/>
              </w:rPr>
              <w:t>chnologického rozvoje a inovací.</w:t>
            </w:r>
          </w:p>
          <w:p w:rsidR="00DC5011" w:rsidRPr="000B521F" w:rsidRDefault="00DC5011" w:rsidP="0059011D">
            <w:pPr>
              <w:pStyle w:val="DAVA"/>
              <w:spacing w:before="60" w:after="60"/>
              <w:rPr>
                <w:rFonts w:ascii="Times New Roman" w:hAnsi="Times New Roman"/>
                <w:sz w:val="20"/>
                <w:szCs w:val="20"/>
              </w:rPr>
            </w:pPr>
            <w:r w:rsidRPr="000B521F">
              <w:rPr>
                <w:rFonts w:ascii="Times New Roman" w:hAnsi="Times New Roman"/>
                <w:sz w:val="20"/>
                <w:szCs w:val="20"/>
              </w:rPr>
              <w:t>3. Zvýšení konkurenceschopnosti malých a středních podniků, odvětví zemědělství (v případě EZFRV) a odvětví rybářství a akvakultury (v případě ENRF)</w:t>
            </w:r>
            <w:r w:rsidR="00264AE0">
              <w:rPr>
                <w:rFonts w:ascii="Times New Roman" w:hAnsi="Times New Roman"/>
                <w:sz w:val="20"/>
                <w:szCs w:val="20"/>
              </w:rPr>
              <w:t>.</w:t>
            </w:r>
          </w:p>
          <w:p w:rsidR="00DC5011" w:rsidRPr="000B521F" w:rsidRDefault="00DC5011" w:rsidP="0059011D">
            <w:pPr>
              <w:pStyle w:val="DAVA"/>
              <w:spacing w:before="60" w:after="60"/>
              <w:rPr>
                <w:rFonts w:ascii="Times New Roman" w:hAnsi="Times New Roman"/>
                <w:sz w:val="20"/>
                <w:szCs w:val="20"/>
              </w:rPr>
            </w:pPr>
            <w:r w:rsidRPr="000B521F">
              <w:rPr>
                <w:rFonts w:ascii="Times New Roman" w:hAnsi="Times New Roman"/>
                <w:sz w:val="20"/>
                <w:szCs w:val="20"/>
              </w:rPr>
              <w:t>4. Podpora přechodu na nízkouhlíkové hospodářství ve všech odvětvích</w:t>
            </w:r>
            <w:r w:rsidR="00264AE0">
              <w:rPr>
                <w:rFonts w:ascii="Times New Roman" w:hAnsi="Times New Roman"/>
                <w:sz w:val="20"/>
                <w:szCs w:val="20"/>
              </w:rPr>
              <w:t>.</w:t>
            </w:r>
          </w:p>
          <w:p w:rsidR="00DC5011" w:rsidRPr="000B521F" w:rsidRDefault="00DC5011" w:rsidP="0059011D">
            <w:pPr>
              <w:pStyle w:val="DAVA"/>
              <w:spacing w:before="60" w:after="60"/>
              <w:rPr>
                <w:rFonts w:ascii="Times New Roman" w:hAnsi="Times New Roman"/>
                <w:sz w:val="20"/>
                <w:szCs w:val="20"/>
              </w:rPr>
            </w:pPr>
          </w:p>
        </w:tc>
      </w:tr>
      <w:tr w:rsidR="00DC5011" w:rsidRPr="000B521F" w:rsidTr="00761093">
        <w:tc>
          <w:tcPr>
            <w:tcW w:w="170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DC5011" w:rsidRPr="000B521F" w:rsidRDefault="00DC5011"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Specifická doporučení Rady</w:t>
            </w:r>
          </w:p>
        </w:tc>
        <w:tc>
          <w:tcPr>
            <w:tcW w:w="7371" w:type="dxa"/>
            <w:tcBorders>
              <w:top w:val="single" w:sz="4" w:space="0" w:color="auto"/>
              <w:left w:val="single" w:sz="4" w:space="0" w:color="auto"/>
              <w:bottom w:val="single" w:sz="4" w:space="0" w:color="auto"/>
              <w:right w:val="single" w:sz="4" w:space="0" w:color="auto"/>
            </w:tcBorders>
            <w:vAlign w:val="center"/>
            <w:hideMark/>
          </w:tcPr>
          <w:p w:rsidR="00DC5011" w:rsidRPr="000B521F" w:rsidRDefault="00DC5011" w:rsidP="0059011D">
            <w:pPr>
              <w:pStyle w:val="DAVA"/>
              <w:spacing w:before="60" w:after="60"/>
              <w:rPr>
                <w:rFonts w:ascii="Times New Roman" w:hAnsi="Times New Roman"/>
                <w:sz w:val="20"/>
                <w:szCs w:val="20"/>
              </w:rPr>
            </w:pPr>
            <w:r w:rsidRPr="000B521F">
              <w:rPr>
                <w:rFonts w:ascii="Times New Roman" w:hAnsi="Times New Roman"/>
                <w:sz w:val="20"/>
                <w:szCs w:val="20"/>
              </w:rPr>
              <w:t>Částečně vazba na 7. S využitím probíhajícího přezkumu pokračovat v reformě regulovaných povolání snížením nebo zrušením vstupních bariér a vyhrazených činností, budou-li shledány neodůvodněnými. Přijmout další opatření ke zlepšení energetické náročnosti budov a průmyslových odvětví</w:t>
            </w:r>
            <w:r w:rsidR="00264AE0">
              <w:rPr>
                <w:rFonts w:ascii="Times New Roman" w:hAnsi="Times New Roman"/>
                <w:sz w:val="20"/>
                <w:szCs w:val="20"/>
              </w:rPr>
              <w:t>.</w:t>
            </w:r>
          </w:p>
        </w:tc>
      </w:tr>
    </w:tbl>
    <w:p w:rsidR="00DC5011" w:rsidRPr="000B521F" w:rsidRDefault="00DC5011" w:rsidP="0059011D">
      <w:pPr>
        <w:pStyle w:val="Tabulka"/>
        <w:spacing w:before="120" w:after="60"/>
        <w:rPr>
          <w:szCs w:val="20"/>
        </w:rPr>
      </w:pPr>
      <w:r w:rsidRPr="000B521F">
        <w:rPr>
          <w:szCs w:val="20"/>
        </w:rPr>
        <w:t>Vazby na dokumenty ČR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7371"/>
      </w:tblGrid>
      <w:tr w:rsidR="00DC5011" w:rsidRPr="000B521F" w:rsidTr="00761093">
        <w:trPr>
          <w:trHeight w:val="395"/>
        </w:trPr>
        <w:tc>
          <w:tcPr>
            <w:tcW w:w="170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DC5011" w:rsidRPr="000B521F" w:rsidRDefault="00DC5011"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Národní program reforem</w:t>
            </w:r>
          </w:p>
        </w:tc>
        <w:tc>
          <w:tcPr>
            <w:tcW w:w="7371" w:type="dxa"/>
            <w:tcBorders>
              <w:top w:val="single" w:sz="4" w:space="0" w:color="auto"/>
              <w:left w:val="single" w:sz="4" w:space="0" w:color="auto"/>
              <w:bottom w:val="single" w:sz="4" w:space="0" w:color="auto"/>
              <w:right w:val="single" w:sz="4" w:space="0" w:color="auto"/>
            </w:tcBorders>
            <w:vAlign w:val="center"/>
          </w:tcPr>
          <w:p w:rsidR="00DC5011" w:rsidRPr="000B521F" w:rsidRDefault="00DC5011" w:rsidP="0059011D">
            <w:pPr>
              <w:pStyle w:val="DAVA"/>
              <w:spacing w:before="60" w:after="60"/>
              <w:rPr>
                <w:rFonts w:ascii="Times New Roman" w:hAnsi="Times New Roman"/>
                <w:sz w:val="20"/>
                <w:szCs w:val="20"/>
              </w:rPr>
            </w:pPr>
            <w:r w:rsidRPr="000B521F">
              <w:rPr>
                <w:rFonts w:ascii="Times New Roman" w:hAnsi="Times New Roman"/>
                <w:sz w:val="20"/>
                <w:szCs w:val="20"/>
              </w:rPr>
              <w:t>3.2.1 Zlepšování podnikatelského prostředí, rozvoj služeb pro podnikání; 3.2.1.2 Zlepšování kvality podnikatelského prostředí; 3.2.2 Udržitelný průmyslový sektor;3.2.2.2 Průmyslová politika; 3.2.2.1 Energetika</w:t>
            </w:r>
            <w:r w:rsidR="00535D8E">
              <w:rPr>
                <w:rFonts w:ascii="Times New Roman" w:hAnsi="Times New Roman"/>
                <w:sz w:val="20"/>
                <w:szCs w:val="20"/>
              </w:rPr>
              <w:t>.</w:t>
            </w:r>
          </w:p>
          <w:p w:rsidR="00DC5011" w:rsidRPr="000B521F" w:rsidRDefault="00DC5011" w:rsidP="0059011D">
            <w:pPr>
              <w:pStyle w:val="DAVA"/>
              <w:spacing w:before="60" w:after="60"/>
              <w:rPr>
                <w:rFonts w:ascii="Times New Roman" w:hAnsi="Times New Roman"/>
                <w:sz w:val="20"/>
                <w:szCs w:val="20"/>
              </w:rPr>
            </w:pPr>
            <w:r w:rsidRPr="000B521F">
              <w:rPr>
                <w:rFonts w:ascii="Times New Roman" w:hAnsi="Times New Roman"/>
                <w:sz w:val="20"/>
                <w:szCs w:val="20"/>
              </w:rPr>
              <w:t>3.4.2 Rozvoj spolupráce mezi podnikovou sférou a výzkumnými institucemi</w:t>
            </w:r>
            <w:r w:rsidR="00535D8E">
              <w:rPr>
                <w:rFonts w:ascii="Times New Roman" w:hAnsi="Times New Roman"/>
                <w:sz w:val="20"/>
                <w:szCs w:val="20"/>
              </w:rPr>
              <w:t>.</w:t>
            </w:r>
          </w:p>
          <w:p w:rsidR="00DC5011" w:rsidRPr="000B521F" w:rsidRDefault="00DC5011" w:rsidP="0059011D">
            <w:pPr>
              <w:pStyle w:val="DAVA"/>
              <w:spacing w:before="60" w:after="60"/>
              <w:rPr>
                <w:rFonts w:ascii="Times New Roman" w:hAnsi="Times New Roman"/>
                <w:sz w:val="20"/>
                <w:szCs w:val="20"/>
              </w:rPr>
            </w:pPr>
            <w:r w:rsidRPr="000B521F">
              <w:rPr>
                <w:rFonts w:ascii="Times New Roman" w:hAnsi="Times New Roman"/>
                <w:sz w:val="20"/>
                <w:szCs w:val="20"/>
              </w:rPr>
              <w:t>3.4.3 Inovační podnikání a rozvoj start-upů; Seed fond</w:t>
            </w:r>
            <w:r w:rsidR="00535D8E">
              <w:rPr>
                <w:rFonts w:ascii="Times New Roman" w:hAnsi="Times New Roman"/>
                <w:sz w:val="20"/>
                <w:szCs w:val="20"/>
              </w:rPr>
              <w:t>.</w:t>
            </w:r>
          </w:p>
          <w:p w:rsidR="00DC5011" w:rsidRPr="000B521F" w:rsidRDefault="00DC5011" w:rsidP="0059011D">
            <w:pPr>
              <w:pStyle w:val="DAVA"/>
              <w:spacing w:before="60" w:after="60"/>
              <w:rPr>
                <w:rFonts w:ascii="Times New Roman" w:hAnsi="Times New Roman"/>
                <w:sz w:val="20"/>
                <w:szCs w:val="20"/>
              </w:rPr>
            </w:pPr>
            <w:r w:rsidRPr="000B521F">
              <w:rPr>
                <w:rFonts w:ascii="Times New Roman" w:hAnsi="Times New Roman"/>
                <w:sz w:val="20"/>
                <w:szCs w:val="20"/>
              </w:rPr>
              <w:t>Částečně 3.4.1 Rozvoj podmínek pro excelentní výzkum (inovace v energetice)</w:t>
            </w:r>
            <w:r w:rsidR="00535D8E">
              <w:rPr>
                <w:rFonts w:ascii="Times New Roman" w:hAnsi="Times New Roman"/>
                <w:sz w:val="20"/>
                <w:szCs w:val="20"/>
              </w:rPr>
              <w:t>.</w:t>
            </w:r>
          </w:p>
        </w:tc>
      </w:tr>
      <w:tr w:rsidR="00DC5011" w:rsidRPr="000B521F" w:rsidTr="00761093">
        <w:trPr>
          <w:trHeight w:val="407"/>
        </w:trPr>
        <w:tc>
          <w:tcPr>
            <w:tcW w:w="170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DC5011" w:rsidRPr="000B521F" w:rsidRDefault="00DC5011"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Strategie mezinárodní konkurenceschopnosti ČR</w:t>
            </w:r>
          </w:p>
        </w:tc>
        <w:tc>
          <w:tcPr>
            <w:tcW w:w="7371" w:type="dxa"/>
            <w:tcBorders>
              <w:top w:val="single" w:sz="4" w:space="0" w:color="auto"/>
              <w:left w:val="single" w:sz="4" w:space="0" w:color="auto"/>
              <w:bottom w:val="single" w:sz="4" w:space="0" w:color="auto"/>
              <w:right w:val="single" w:sz="4" w:space="0" w:color="auto"/>
            </w:tcBorders>
            <w:vAlign w:val="center"/>
            <w:hideMark/>
          </w:tcPr>
          <w:p w:rsidR="00DC5011" w:rsidRPr="000B521F" w:rsidRDefault="00DC5011" w:rsidP="0059011D">
            <w:pPr>
              <w:pStyle w:val="DAVA"/>
              <w:spacing w:before="60" w:after="60"/>
              <w:rPr>
                <w:rFonts w:ascii="Times New Roman" w:hAnsi="Times New Roman"/>
                <w:sz w:val="20"/>
                <w:szCs w:val="20"/>
              </w:rPr>
            </w:pPr>
            <w:r w:rsidRPr="000B521F">
              <w:rPr>
                <w:rFonts w:ascii="Times New Roman" w:hAnsi="Times New Roman"/>
                <w:sz w:val="20"/>
                <w:szCs w:val="20"/>
              </w:rPr>
              <w:t>8. Efektivnost trhu zboží a služeb a zkvalitňování charakteristik podnikání: Zlepšování podnikatelského prostředí – snižování administrativní zátěže, ekoaudit; Služby pro rozvoj podnikání – poradenský systém; Služby pro inovativní podnikání – modernizace a rozvoj technologického zázemí firem, rozvoj netechnických kompetencí firem</w:t>
            </w:r>
            <w:r w:rsidR="00264AE0">
              <w:rPr>
                <w:rFonts w:ascii="Times New Roman" w:hAnsi="Times New Roman"/>
                <w:sz w:val="20"/>
                <w:szCs w:val="20"/>
              </w:rPr>
              <w:t>.</w:t>
            </w:r>
          </w:p>
          <w:p w:rsidR="00DC5011" w:rsidRPr="000B521F" w:rsidRDefault="00DC5011" w:rsidP="0059011D">
            <w:pPr>
              <w:pStyle w:val="DAVA"/>
              <w:spacing w:before="60" w:after="60"/>
              <w:rPr>
                <w:rFonts w:ascii="Times New Roman" w:hAnsi="Times New Roman"/>
                <w:sz w:val="20"/>
                <w:szCs w:val="20"/>
              </w:rPr>
            </w:pPr>
            <w:r w:rsidRPr="000B521F">
              <w:rPr>
                <w:rFonts w:ascii="Times New Roman" w:hAnsi="Times New Roman"/>
                <w:sz w:val="20"/>
                <w:szCs w:val="20"/>
              </w:rPr>
              <w:t>9. Inovace: Rozvoj spolupráce pro transfer znalostí mezi podniky a akademickým sektorem – pre-seed grantové schéma, program Knowledge transfer partnership, rozvoj personálních kapacit a služeb CTT; Podpora spolupráce mezi podniky – rozvoj a manažerské řízení klastrů</w:t>
            </w:r>
            <w:r w:rsidR="00264AE0">
              <w:rPr>
                <w:rFonts w:ascii="Times New Roman" w:hAnsi="Times New Roman"/>
                <w:sz w:val="20"/>
                <w:szCs w:val="20"/>
              </w:rPr>
              <w:t>.</w:t>
            </w:r>
          </w:p>
        </w:tc>
      </w:tr>
      <w:tr w:rsidR="00DC5011" w:rsidRPr="000B521F" w:rsidTr="00761093">
        <w:tc>
          <w:tcPr>
            <w:tcW w:w="170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DC5011" w:rsidRPr="000B521F" w:rsidRDefault="00DC5011"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Strategie regionálního rozvoje</w:t>
            </w:r>
          </w:p>
        </w:tc>
        <w:tc>
          <w:tcPr>
            <w:tcW w:w="7371" w:type="dxa"/>
            <w:tcBorders>
              <w:top w:val="single" w:sz="4" w:space="0" w:color="auto"/>
              <w:left w:val="single" w:sz="4" w:space="0" w:color="auto"/>
              <w:bottom w:val="single" w:sz="4" w:space="0" w:color="auto"/>
              <w:right w:val="single" w:sz="4" w:space="0" w:color="auto"/>
            </w:tcBorders>
            <w:vAlign w:val="center"/>
            <w:hideMark/>
          </w:tcPr>
          <w:p w:rsidR="00DC5011" w:rsidRPr="000B521F" w:rsidRDefault="00DC5011" w:rsidP="0059011D">
            <w:pPr>
              <w:pStyle w:val="DAVA"/>
              <w:spacing w:before="60" w:after="60"/>
              <w:rPr>
                <w:rFonts w:ascii="Times New Roman" w:hAnsi="Times New Roman"/>
                <w:sz w:val="20"/>
                <w:szCs w:val="20"/>
              </w:rPr>
            </w:pPr>
            <w:r w:rsidRPr="000B521F">
              <w:rPr>
                <w:rFonts w:ascii="Times New Roman" w:hAnsi="Times New Roman"/>
                <w:sz w:val="20"/>
                <w:szCs w:val="20"/>
              </w:rPr>
              <w:t>Priorita 4 Vyvážený rozvoj stabilizovaných území, opatření 4.3 Podpora inovací v</w:t>
            </w:r>
            <w:r w:rsidR="00535D8E">
              <w:rPr>
                <w:rFonts w:ascii="Times New Roman" w:hAnsi="Times New Roman"/>
                <w:sz w:val="20"/>
                <w:szCs w:val="20"/>
              </w:rPr>
              <w:t> </w:t>
            </w:r>
            <w:r w:rsidRPr="000B521F">
              <w:rPr>
                <w:rFonts w:ascii="Times New Roman" w:hAnsi="Times New Roman"/>
                <w:sz w:val="20"/>
                <w:szCs w:val="20"/>
              </w:rPr>
              <w:t>podnikání</w:t>
            </w:r>
            <w:r w:rsidR="00535D8E">
              <w:rPr>
                <w:rFonts w:ascii="Times New Roman" w:hAnsi="Times New Roman"/>
                <w:sz w:val="20"/>
                <w:szCs w:val="20"/>
              </w:rPr>
              <w:t>.</w:t>
            </w:r>
          </w:p>
          <w:p w:rsidR="00DC5011" w:rsidRPr="000B521F" w:rsidRDefault="00DC5011" w:rsidP="0059011D">
            <w:pPr>
              <w:pStyle w:val="DAVA"/>
              <w:spacing w:before="60" w:after="60"/>
              <w:rPr>
                <w:rFonts w:ascii="Times New Roman" w:hAnsi="Times New Roman"/>
                <w:sz w:val="20"/>
                <w:szCs w:val="20"/>
              </w:rPr>
            </w:pPr>
            <w:r w:rsidRPr="000B521F">
              <w:rPr>
                <w:rFonts w:ascii="Times New Roman" w:hAnsi="Times New Roman"/>
                <w:sz w:val="20"/>
                <w:szCs w:val="20"/>
              </w:rPr>
              <w:t>Priorita 5 Oživení periferních území, opatření 5.1 Podpora rozvoje lokální ekonomiky</w:t>
            </w:r>
            <w:r w:rsidR="00535D8E">
              <w:rPr>
                <w:rFonts w:ascii="Times New Roman" w:hAnsi="Times New Roman"/>
                <w:sz w:val="20"/>
                <w:szCs w:val="20"/>
              </w:rPr>
              <w:t>.</w:t>
            </w:r>
          </w:p>
          <w:p w:rsidR="00DC5011" w:rsidRPr="000B521F" w:rsidRDefault="00DC5011" w:rsidP="0059011D">
            <w:pPr>
              <w:pStyle w:val="DAVA"/>
              <w:spacing w:before="60" w:after="60"/>
              <w:rPr>
                <w:rFonts w:ascii="Times New Roman" w:hAnsi="Times New Roman"/>
                <w:sz w:val="20"/>
                <w:szCs w:val="20"/>
              </w:rPr>
            </w:pPr>
            <w:r w:rsidRPr="000B521F">
              <w:rPr>
                <w:rFonts w:ascii="Times New Roman" w:hAnsi="Times New Roman"/>
                <w:sz w:val="20"/>
                <w:szCs w:val="20"/>
              </w:rPr>
              <w:t>Priorita 6 Ochrana a udržitelné využívání přírodních zdrojů v regionech, opatření 6.3 Využívání obnovitelných zdrojů energie a podpora úspor energie ve vazbě na místní podmínky</w:t>
            </w:r>
            <w:r w:rsidR="00535D8E">
              <w:rPr>
                <w:rFonts w:ascii="Times New Roman" w:hAnsi="Times New Roman"/>
                <w:sz w:val="20"/>
                <w:szCs w:val="20"/>
              </w:rPr>
              <w:t>.</w:t>
            </w:r>
          </w:p>
        </w:tc>
      </w:tr>
      <w:tr w:rsidR="00DC5011" w:rsidRPr="000B521F" w:rsidTr="00761093">
        <w:tc>
          <w:tcPr>
            <w:tcW w:w="170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DC5011" w:rsidRPr="000B521F" w:rsidRDefault="00DC5011" w:rsidP="00264AE0">
            <w:pPr>
              <w:pStyle w:val="DAVA"/>
              <w:spacing w:before="60" w:after="60"/>
              <w:jc w:val="left"/>
              <w:rPr>
                <w:rFonts w:ascii="Times New Roman" w:hAnsi="Times New Roman"/>
                <w:b/>
                <w:sz w:val="20"/>
                <w:szCs w:val="20"/>
              </w:rPr>
            </w:pPr>
            <w:r w:rsidRPr="000B521F">
              <w:rPr>
                <w:rFonts w:ascii="Times New Roman" w:hAnsi="Times New Roman"/>
                <w:b/>
                <w:sz w:val="20"/>
                <w:szCs w:val="20"/>
              </w:rPr>
              <w:t xml:space="preserve">Koncepce podpory malých </w:t>
            </w:r>
            <w:r w:rsidRPr="000B521F">
              <w:rPr>
                <w:rFonts w:ascii="Times New Roman" w:hAnsi="Times New Roman"/>
                <w:b/>
                <w:sz w:val="20"/>
                <w:szCs w:val="20"/>
              </w:rPr>
              <w:lastRenderedPageBreak/>
              <w:t>a středních podnikatelů  na období let 2014</w:t>
            </w:r>
            <w:r w:rsidR="00264AE0">
              <w:rPr>
                <w:rFonts w:ascii="Times New Roman" w:hAnsi="Times New Roman"/>
                <w:b/>
                <w:sz w:val="20"/>
                <w:szCs w:val="20"/>
              </w:rPr>
              <w:t>–2</w:t>
            </w:r>
            <w:r w:rsidRPr="000B521F">
              <w:rPr>
                <w:rFonts w:ascii="Times New Roman" w:hAnsi="Times New Roman"/>
                <w:b/>
                <w:sz w:val="20"/>
                <w:szCs w:val="20"/>
              </w:rPr>
              <w:t>020</w:t>
            </w:r>
          </w:p>
        </w:tc>
        <w:tc>
          <w:tcPr>
            <w:tcW w:w="7371" w:type="dxa"/>
            <w:tcBorders>
              <w:top w:val="single" w:sz="4" w:space="0" w:color="auto"/>
              <w:left w:val="single" w:sz="4" w:space="0" w:color="auto"/>
              <w:bottom w:val="single" w:sz="4" w:space="0" w:color="auto"/>
              <w:right w:val="single" w:sz="4" w:space="0" w:color="auto"/>
            </w:tcBorders>
            <w:vAlign w:val="center"/>
            <w:hideMark/>
          </w:tcPr>
          <w:p w:rsidR="00DC5011" w:rsidRPr="000B521F" w:rsidRDefault="00DC5011" w:rsidP="0059011D">
            <w:pPr>
              <w:pStyle w:val="DAVA"/>
              <w:spacing w:before="60" w:after="60"/>
              <w:rPr>
                <w:rFonts w:ascii="Times New Roman" w:hAnsi="Times New Roman"/>
                <w:sz w:val="20"/>
                <w:szCs w:val="20"/>
              </w:rPr>
            </w:pPr>
            <w:r w:rsidRPr="000B521F">
              <w:rPr>
                <w:rFonts w:ascii="Times New Roman" w:hAnsi="Times New Roman"/>
                <w:sz w:val="20"/>
                <w:szCs w:val="20"/>
              </w:rPr>
              <w:lastRenderedPageBreak/>
              <w:t>Vazby Dohody jsou na všechny strategické priority:</w:t>
            </w:r>
          </w:p>
          <w:p w:rsidR="00DC5011" w:rsidRPr="000B521F" w:rsidRDefault="00DC5011" w:rsidP="0059011D">
            <w:pPr>
              <w:pStyle w:val="DAVA"/>
              <w:spacing w:before="60" w:after="60"/>
              <w:rPr>
                <w:rFonts w:ascii="Times New Roman" w:hAnsi="Times New Roman"/>
                <w:sz w:val="20"/>
                <w:szCs w:val="20"/>
              </w:rPr>
            </w:pPr>
            <w:r w:rsidRPr="000B521F">
              <w:rPr>
                <w:rFonts w:ascii="Times New Roman" w:hAnsi="Times New Roman"/>
                <w:sz w:val="20"/>
                <w:szCs w:val="20"/>
              </w:rPr>
              <w:t xml:space="preserve">1. Kultivace podnikatelského prostředí, rozvoj poradenských služeb a vzdělávání pro </w:t>
            </w:r>
            <w:r w:rsidRPr="000B521F">
              <w:rPr>
                <w:rFonts w:ascii="Times New Roman" w:hAnsi="Times New Roman"/>
                <w:sz w:val="20"/>
                <w:szCs w:val="20"/>
              </w:rPr>
              <w:lastRenderedPageBreak/>
              <w:t>podnikání.</w:t>
            </w:r>
          </w:p>
          <w:p w:rsidR="00DC5011" w:rsidRPr="000B521F" w:rsidRDefault="00DC5011" w:rsidP="0059011D">
            <w:pPr>
              <w:pStyle w:val="DAVA"/>
              <w:spacing w:before="60" w:after="60"/>
              <w:rPr>
                <w:rFonts w:ascii="Times New Roman" w:hAnsi="Times New Roman"/>
                <w:sz w:val="20"/>
                <w:szCs w:val="20"/>
              </w:rPr>
            </w:pPr>
            <w:r w:rsidRPr="000B521F">
              <w:rPr>
                <w:rFonts w:ascii="Times New Roman" w:hAnsi="Times New Roman"/>
                <w:sz w:val="20"/>
                <w:szCs w:val="20"/>
              </w:rPr>
              <w:t>2. Rozvoj podnikání založeného na podpoře výzkumu, vývoje a inovací, včetně inovační a podnikatelské infrastruktury.</w:t>
            </w:r>
          </w:p>
          <w:p w:rsidR="00DC5011" w:rsidRPr="000B521F" w:rsidRDefault="00DC5011" w:rsidP="0059011D">
            <w:pPr>
              <w:pStyle w:val="DAVA"/>
              <w:spacing w:before="60" w:after="60"/>
              <w:rPr>
                <w:rFonts w:ascii="Times New Roman" w:hAnsi="Times New Roman"/>
                <w:sz w:val="20"/>
                <w:szCs w:val="20"/>
              </w:rPr>
            </w:pPr>
            <w:r w:rsidRPr="000B521F">
              <w:rPr>
                <w:rFonts w:ascii="Times New Roman" w:hAnsi="Times New Roman"/>
                <w:sz w:val="20"/>
                <w:szCs w:val="20"/>
              </w:rPr>
              <w:t xml:space="preserve">3. Podpora internacionalizace MSP. </w:t>
            </w:r>
          </w:p>
          <w:p w:rsidR="00DC5011" w:rsidRPr="000B521F" w:rsidRDefault="00DC5011" w:rsidP="0059011D">
            <w:pPr>
              <w:pStyle w:val="DAVA"/>
              <w:spacing w:before="60" w:after="60"/>
              <w:rPr>
                <w:rFonts w:ascii="Times New Roman" w:hAnsi="Times New Roman"/>
                <w:sz w:val="20"/>
                <w:szCs w:val="20"/>
              </w:rPr>
            </w:pPr>
            <w:r w:rsidRPr="000B521F">
              <w:rPr>
                <w:rFonts w:ascii="Times New Roman" w:hAnsi="Times New Roman"/>
                <w:sz w:val="20"/>
                <w:szCs w:val="20"/>
              </w:rPr>
              <w:t>4. Udržitelné hospodaření s energií a rozvoj inovací v energetice.</w:t>
            </w:r>
          </w:p>
        </w:tc>
      </w:tr>
      <w:tr w:rsidR="00DC5011" w:rsidRPr="000B521F" w:rsidTr="00761093">
        <w:tc>
          <w:tcPr>
            <w:tcW w:w="170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DC5011" w:rsidRPr="000B521F" w:rsidRDefault="00DC5011"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lastRenderedPageBreak/>
              <w:t>Národní inovační strategie</w:t>
            </w:r>
          </w:p>
        </w:tc>
        <w:tc>
          <w:tcPr>
            <w:tcW w:w="7371" w:type="dxa"/>
            <w:tcBorders>
              <w:top w:val="single" w:sz="4" w:space="0" w:color="auto"/>
              <w:left w:val="single" w:sz="4" w:space="0" w:color="auto"/>
              <w:bottom w:val="single" w:sz="4" w:space="0" w:color="auto"/>
              <w:right w:val="single" w:sz="4" w:space="0" w:color="auto"/>
            </w:tcBorders>
            <w:vAlign w:val="center"/>
            <w:hideMark/>
          </w:tcPr>
          <w:p w:rsidR="00DC5011" w:rsidRPr="000B521F" w:rsidRDefault="00DC5011" w:rsidP="0059011D">
            <w:pPr>
              <w:pStyle w:val="DAVA"/>
              <w:spacing w:before="60" w:after="60"/>
              <w:rPr>
                <w:rFonts w:ascii="Times New Roman" w:hAnsi="Times New Roman"/>
                <w:sz w:val="20"/>
                <w:szCs w:val="20"/>
              </w:rPr>
            </w:pPr>
            <w:r w:rsidRPr="000B521F">
              <w:rPr>
                <w:rFonts w:ascii="Times New Roman" w:hAnsi="Times New Roman"/>
                <w:sz w:val="20"/>
                <w:szCs w:val="20"/>
              </w:rPr>
              <w:t>Analytická část NIS detailně mapuje problematiku kapacit, výkonnosti a potenciálu systému VaV směrem k využití znalostního potenciálu ČR v transferu znalostí do technologických domén a inovací, a to včetně problematiky internacionalizace a otázky lidských zdrojů v ČR v mezinárodním srovnání. Jinak jsou vazby na:</w:t>
            </w:r>
          </w:p>
          <w:p w:rsidR="00DC5011" w:rsidRPr="000B521F" w:rsidRDefault="00DC5011" w:rsidP="0059011D">
            <w:pPr>
              <w:pStyle w:val="DAVA"/>
              <w:spacing w:before="60" w:after="60"/>
              <w:rPr>
                <w:rFonts w:ascii="Times New Roman" w:hAnsi="Times New Roman"/>
                <w:sz w:val="20"/>
                <w:szCs w:val="20"/>
              </w:rPr>
            </w:pPr>
            <w:r w:rsidRPr="000B521F">
              <w:rPr>
                <w:rFonts w:ascii="Times New Roman" w:hAnsi="Times New Roman"/>
                <w:sz w:val="20"/>
                <w:szCs w:val="20"/>
              </w:rPr>
              <w:t>Prioritu 4 „Rozvoj spolupráce pro transfer znalostí mezi podnikovým a akademickým sektorem“.</w:t>
            </w:r>
          </w:p>
          <w:p w:rsidR="00DC5011" w:rsidRPr="000B521F" w:rsidRDefault="00DC5011" w:rsidP="0059011D">
            <w:pPr>
              <w:pStyle w:val="DAVA"/>
              <w:spacing w:before="60" w:after="60"/>
              <w:rPr>
                <w:rFonts w:ascii="Times New Roman" w:hAnsi="Times New Roman"/>
                <w:sz w:val="20"/>
                <w:szCs w:val="20"/>
              </w:rPr>
            </w:pPr>
            <w:r w:rsidRPr="000B521F">
              <w:rPr>
                <w:rFonts w:ascii="Times New Roman" w:hAnsi="Times New Roman"/>
                <w:sz w:val="20"/>
                <w:szCs w:val="20"/>
              </w:rPr>
              <w:t>Prioritu 6 „Inovační podnikání a částečně i v prioritě Lidé“.</w:t>
            </w:r>
          </w:p>
        </w:tc>
      </w:tr>
    </w:tbl>
    <w:p w:rsidR="00617A35" w:rsidRPr="00617A35" w:rsidRDefault="00617A35" w:rsidP="00617A35">
      <w:pPr>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Dalším klíčovým dokumentem vztahujícím se k problematice konkurenceschopných podniků je Koncepce státní politiky cestovního ruchu v ČR 2014–2020,</w:t>
      </w:r>
    </w:p>
    <w:p w:rsidR="008206A4" w:rsidRPr="000B521F" w:rsidRDefault="00CF4BE7" w:rsidP="0059011D">
      <w:pPr>
        <w:pStyle w:val="Nadpis3"/>
        <w:numPr>
          <w:ilvl w:val="2"/>
          <w:numId w:val="14"/>
        </w:numPr>
        <w:spacing w:after="120"/>
        <w:rPr>
          <w:rFonts w:ascii="Times New Roman" w:hAnsi="Times New Roman" w:cs="Times New Roman"/>
        </w:rPr>
      </w:pPr>
      <w:bookmarkStart w:id="29" w:name="_Toc374702860"/>
      <w:r w:rsidRPr="000B521F">
        <w:rPr>
          <w:rFonts w:ascii="Times New Roman" w:hAnsi="Times New Roman" w:cs="Times New Roman"/>
        </w:rPr>
        <w:t>Infrastruktura</w:t>
      </w:r>
      <w:bookmarkEnd w:id="29"/>
    </w:p>
    <w:p w:rsidR="00CF4BE7" w:rsidRPr="000B521F" w:rsidRDefault="00CF4BE7" w:rsidP="0059011D">
      <w:pPr>
        <w:autoSpaceDE w:val="0"/>
        <w:autoSpaceDN w:val="0"/>
        <w:adjustRightInd w:val="0"/>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Dobudování a modernizace kvalitních páteřních infrastruktur je nutnou podmínkou pro posilování konkurenceschopnosti ČR, ale i jednotlivých regionů, měst a obcí. Promyšleně vytvářené infrastruktury v oblasti dopravy, energetiky a informačních a komunikačních technologií umožní zvýšit standardy služeb poskytovaných jejich prostřednictvím a zlepšit jejich dostupnost pro obyvate</w:t>
      </w:r>
      <w:r w:rsidR="00147E55" w:rsidRPr="000B521F">
        <w:rPr>
          <w:rFonts w:ascii="Times New Roman" w:hAnsi="Times New Roman" w:cs="Times New Roman"/>
          <w:sz w:val="24"/>
          <w:szCs w:val="24"/>
        </w:rPr>
        <w:t>lstvo i podnikatelské subjekty.</w:t>
      </w:r>
    </w:p>
    <w:p w:rsidR="00147E55" w:rsidRPr="000B521F" w:rsidRDefault="00147E55" w:rsidP="0059011D">
      <w:pPr>
        <w:autoSpaceDE w:val="0"/>
        <w:autoSpaceDN w:val="0"/>
        <w:adjustRightInd w:val="0"/>
        <w:spacing w:after="120" w:line="240" w:lineRule="auto"/>
        <w:jc w:val="both"/>
        <w:rPr>
          <w:rFonts w:ascii="Times New Roman" w:hAnsi="Times New Roman" w:cs="Times New Roman"/>
          <w:sz w:val="24"/>
          <w:szCs w:val="24"/>
        </w:rPr>
      </w:pPr>
    </w:p>
    <w:p w:rsidR="008206A4" w:rsidRPr="000B521F" w:rsidRDefault="00CF4BE7" w:rsidP="0059011D">
      <w:pPr>
        <w:pStyle w:val="Nadpis4"/>
        <w:numPr>
          <w:ilvl w:val="3"/>
          <w:numId w:val="14"/>
        </w:numPr>
        <w:spacing w:before="120" w:after="120"/>
        <w:rPr>
          <w:rFonts w:ascii="Times New Roman" w:hAnsi="Times New Roman" w:cs="Times New Roman"/>
          <w:sz w:val="24"/>
          <w:szCs w:val="24"/>
        </w:rPr>
      </w:pPr>
      <w:bookmarkStart w:id="30" w:name="_Toc374702861"/>
      <w:r w:rsidRPr="000B521F">
        <w:rPr>
          <w:rFonts w:ascii="Times New Roman" w:hAnsi="Times New Roman" w:cs="Times New Roman"/>
          <w:sz w:val="24"/>
          <w:szCs w:val="24"/>
        </w:rPr>
        <w:t>Dopravní infrastruktura a dostupnost/mobilita</w:t>
      </w:r>
      <w:bookmarkEnd w:id="30"/>
    </w:p>
    <w:p w:rsidR="00CF4BE7" w:rsidRPr="000B521F" w:rsidRDefault="00CF4BE7" w:rsidP="0059011D">
      <w:pPr>
        <w:spacing w:after="120" w:line="240" w:lineRule="auto"/>
        <w:rPr>
          <w:rFonts w:ascii="Times New Roman" w:hAnsi="Times New Roman" w:cs="Times New Roman"/>
          <w:b/>
          <w:sz w:val="24"/>
          <w:szCs w:val="24"/>
        </w:rPr>
      </w:pPr>
      <w:r w:rsidRPr="000B521F">
        <w:rPr>
          <w:rFonts w:ascii="Times New Roman" w:hAnsi="Times New Roman" w:cs="Times New Roman"/>
          <w:b/>
          <w:sz w:val="24"/>
          <w:szCs w:val="24"/>
        </w:rPr>
        <w:t>Východiska a charakteristika</w:t>
      </w:r>
    </w:p>
    <w:p w:rsidR="00CF4BE7" w:rsidRPr="000B521F" w:rsidRDefault="00CF4BE7"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Oblast dopravní infrastruktury </w:t>
      </w:r>
      <w:r w:rsidR="00C23D50" w:rsidRPr="000B521F">
        <w:rPr>
          <w:rFonts w:ascii="Times New Roman" w:hAnsi="Times New Roman" w:cs="Times New Roman"/>
          <w:sz w:val="24"/>
          <w:szCs w:val="24"/>
        </w:rPr>
        <w:t>přispívá k</w:t>
      </w:r>
      <w:r w:rsidRPr="000B521F">
        <w:rPr>
          <w:rFonts w:ascii="Times New Roman" w:hAnsi="Times New Roman" w:cs="Times New Roman"/>
          <w:sz w:val="24"/>
          <w:szCs w:val="24"/>
        </w:rPr>
        <w:t xml:space="preserve"> vytváření podmínek pro konkurenceschopnost ČR včetně zajištění mobility pracovních sil a zlepšení mezinárodní dostupnosti. Řešení problémů a potřeb v této oblasti předpokládá ve shodě s požadavky Evropské komise</w:t>
      </w:r>
      <w:r w:rsidR="00486636" w:rsidRPr="000B521F">
        <w:rPr>
          <w:rFonts w:ascii="Times New Roman" w:hAnsi="Times New Roman" w:cs="Times New Roman"/>
          <w:sz w:val="24"/>
          <w:szCs w:val="24"/>
        </w:rPr>
        <w:t xml:space="preserve"> </w:t>
      </w:r>
      <w:r w:rsidRPr="000B521F">
        <w:rPr>
          <w:rFonts w:ascii="Times New Roman" w:hAnsi="Times New Roman" w:cs="Times New Roman"/>
          <w:sz w:val="24"/>
          <w:szCs w:val="24"/>
        </w:rPr>
        <w:t>zaměření investic na zlepšení dostupnosti a udržitelnosti dopravy, zejména dokončení dálnic a rychlostních silnic, modernizaci železniční dopravy a také na rozvoj městské dopravy šetrné k životnímu prostředí.</w:t>
      </w:r>
    </w:p>
    <w:p w:rsidR="00CF4BE7" w:rsidRPr="000B521F" w:rsidRDefault="00CF4BE7"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ČR je díky své poloze ve středu Evropy významnou tranzitní zemí (20% intenzity na naší dálniční síti tvoří tranzit), což klade velké nároky na dopravní infrastrukturu a zajištění multimodality. Polohový potenciál ČR má velký význam pro rozvoj hospodářství země (je atraktivní pro umístění celoevropských výrobních a logistických aktivit), není však dostatečně využit právě i s ohledem na nedostatky v dopravní infrastruktuře. Špatný technický stav a absence kompletní páteřní dopravní sítě mohou způsobit, že se ČR postupně bude stávat periferií uprostřed Evropy. </w:t>
      </w:r>
    </w:p>
    <w:p w:rsidR="00CF4BE7" w:rsidRPr="000B521F" w:rsidRDefault="00CF4BE7"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Naopak prioritní dokončení základního dálničního skeletu a zajištění napojení na sítě nižších tříd přinese nárůst produkční funkce ČR díky lepší provázanosti se sítí TEN-T. Podobně odstranění fragmentací povede ke snížení dopravní zátěže obyvatelstva na </w:t>
      </w:r>
      <w:r w:rsidR="00C23D50" w:rsidRPr="000B521F">
        <w:rPr>
          <w:rFonts w:ascii="Times New Roman" w:hAnsi="Times New Roman" w:cs="Times New Roman"/>
          <w:sz w:val="24"/>
          <w:szCs w:val="24"/>
        </w:rPr>
        <w:t xml:space="preserve">problematických </w:t>
      </w:r>
      <w:r w:rsidRPr="000B521F">
        <w:rPr>
          <w:rFonts w:ascii="Times New Roman" w:hAnsi="Times New Roman" w:cs="Times New Roman"/>
          <w:sz w:val="24"/>
          <w:szCs w:val="24"/>
        </w:rPr>
        <w:t xml:space="preserve">místech. Nevyhovující technický stav také způsobuje nadměrné množství usmrcených osob. Na českých silnicích v roce 2008 zemřelo 104 </w:t>
      </w:r>
      <w:r w:rsidR="00C23D50" w:rsidRPr="000B521F">
        <w:rPr>
          <w:rFonts w:ascii="Times New Roman" w:hAnsi="Times New Roman" w:cs="Times New Roman"/>
          <w:sz w:val="24"/>
          <w:szCs w:val="24"/>
        </w:rPr>
        <w:t xml:space="preserve">osob </w:t>
      </w:r>
      <w:r w:rsidRPr="000B521F">
        <w:rPr>
          <w:rFonts w:ascii="Times New Roman" w:hAnsi="Times New Roman" w:cs="Times New Roman"/>
          <w:sz w:val="24"/>
          <w:szCs w:val="24"/>
        </w:rPr>
        <w:t xml:space="preserve">na 1 mil. obyvatel, průměr EU činí 78 osob. </w:t>
      </w:r>
      <w:r w:rsidR="00C23D50" w:rsidRPr="000B521F">
        <w:rPr>
          <w:rFonts w:ascii="Times New Roman" w:hAnsi="Times New Roman" w:cs="Times New Roman"/>
          <w:sz w:val="24"/>
          <w:szCs w:val="24"/>
        </w:rPr>
        <w:t>Tento trend se však od roku 2008 zlepšuje.</w:t>
      </w:r>
      <w:r w:rsidR="0096059F" w:rsidRPr="000B521F">
        <w:rPr>
          <w:rFonts w:ascii="Times New Roman" w:hAnsi="Times New Roman" w:cs="Times New Roman"/>
          <w:sz w:val="24"/>
          <w:szCs w:val="24"/>
        </w:rPr>
        <w:t xml:space="preserve"> </w:t>
      </w:r>
      <w:r w:rsidRPr="000B521F">
        <w:rPr>
          <w:rFonts w:ascii="Times New Roman" w:hAnsi="Times New Roman" w:cs="Times New Roman"/>
          <w:sz w:val="24"/>
          <w:szCs w:val="24"/>
        </w:rPr>
        <w:t>V ČR se také stále hojně využívá dálkové silniční přepravy nákladů, která není podpořena kvalitní alternativou přepravy (např. jako služba pro silniční dopravce) po železnici, popř. vodními cestami.</w:t>
      </w:r>
    </w:p>
    <w:p w:rsidR="00CF4BE7" w:rsidRPr="000B521F" w:rsidRDefault="00CF4BE7"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V železniční dopravě v sobě modernizace tratí ve shodě se sektorovou strategií a Národním plánem implementace ERTMS zahrnuje zavádění standard</w:t>
      </w:r>
      <w:r w:rsidR="0096059F" w:rsidRPr="000B521F">
        <w:rPr>
          <w:rFonts w:ascii="Times New Roman" w:hAnsi="Times New Roman" w:cs="Times New Roman"/>
          <w:sz w:val="24"/>
          <w:szCs w:val="24"/>
        </w:rPr>
        <w:t>ů</w:t>
      </w:r>
      <w:r w:rsidRPr="000B521F">
        <w:rPr>
          <w:rFonts w:ascii="Times New Roman" w:hAnsi="Times New Roman" w:cs="Times New Roman"/>
          <w:sz w:val="24"/>
          <w:szCs w:val="24"/>
        </w:rPr>
        <w:t xml:space="preserve"> TSI včetně systému ERTMS</w:t>
      </w:r>
      <w:r w:rsidR="0096059F" w:rsidRPr="000B521F">
        <w:rPr>
          <w:rFonts w:ascii="Times New Roman" w:hAnsi="Times New Roman" w:cs="Times New Roman"/>
          <w:sz w:val="24"/>
          <w:szCs w:val="24"/>
        </w:rPr>
        <w:t xml:space="preserve"> </w:t>
      </w:r>
      <w:r w:rsidR="0096059F" w:rsidRPr="000B521F">
        <w:rPr>
          <w:rFonts w:ascii="Times New Roman" w:hAnsi="Times New Roman" w:cs="Times New Roman"/>
          <w:sz w:val="24"/>
          <w:szCs w:val="24"/>
        </w:rPr>
        <w:lastRenderedPageBreak/>
        <w:t>s cílem zajištění</w:t>
      </w:r>
      <w:r w:rsidRPr="000B521F">
        <w:rPr>
          <w:rFonts w:ascii="Times New Roman" w:hAnsi="Times New Roman" w:cs="Times New Roman"/>
          <w:sz w:val="24"/>
          <w:szCs w:val="24"/>
        </w:rPr>
        <w:t xml:space="preserve"> interoperabilit</w:t>
      </w:r>
      <w:r w:rsidR="0096059F" w:rsidRPr="000B521F">
        <w:rPr>
          <w:rFonts w:ascii="Times New Roman" w:hAnsi="Times New Roman" w:cs="Times New Roman"/>
          <w:sz w:val="24"/>
          <w:szCs w:val="24"/>
        </w:rPr>
        <w:t>y</w:t>
      </w:r>
      <w:r w:rsidRPr="000B521F">
        <w:rPr>
          <w:rFonts w:ascii="Times New Roman" w:hAnsi="Times New Roman" w:cs="Times New Roman"/>
          <w:sz w:val="24"/>
          <w:szCs w:val="24"/>
        </w:rPr>
        <w:t xml:space="preserve"> systému. Současný evropský trend stavby vysokorychlostních tratí sice patří do dlouhodobé strategie ČR, nicméně vzhledem k intenzitě jednání se prozatím jeví jako jediný partner ČR v této otázce Polsko. Jednání s ostatními státy se v současné době zaměřují na hledání východisek pro vymezení koridorů.</w:t>
      </w:r>
    </w:p>
    <w:p w:rsidR="00CF4BE7" w:rsidRPr="000B521F" w:rsidRDefault="00CF4BE7"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Snaha snižovat spotřebu zdrojů v dopravě a to jak absolutně, tak i v jednotkových nákladech, navazuje na oblast energetických úspor a konkurenceschopnosti podniků. Promítá se do budování a rozvoje nízkouhlíkových dopravních systémů šetrných k životnímu prostředí, představovaných zejména multimodalitou dopravy včetně vnitrozemské vodní dopravy, drážní městskou a příměstskou dopravou a s</w:t>
      </w:r>
      <w:r w:rsidR="009667B7" w:rsidRPr="000B521F">
        <w:rPr>
          <w:rFonts w:ascii="Times New Roman" w:hAnsi="Times New Roman" w:cs="Times New Roman"/>
          <w:sz w:val="24"/>
          <w:szCs w:val="24"/>
        </w:rPr>
        <w:t> </w:t>
      </w:r>
      <w:r w:rsidRPr="000B521F">
        <w:rPr>
          <w:rFonts w:ascii="Times New Roman" w:hAnsi="Times New Roman" w:cs="Times New Roman"/>
          <w:sz w:val="24"/>
          <w:szCs w:val="24"/>
        </w:rPr>
        <w:t>ní</w:t>
      </w:r>
      <w:r w:rsidR="009667B7" w:rsidRPr="000B521F">
        <w:rPr>
          <w:rFonts w:ascii="Times New Roman" w:hAnsi="Times New Roman" w:cs="Times New Roman"/>
          <w:sz w:val="24"/>
          <w:szCs w:val="24"/>
        </w:rPr>
        <w:t xml:space="preserve"> </w:t>
      </w:r>
      <w:r w:rsidRPr="000B521F">
        <w:rPr>
          <w:rFonts w:ascii="Times New Roman" w:hAnsi="Times New Roman" w:cs="Times New Roman"/>
          <w:sz w:val="24"/>
          <w:szCs w:val="24"/>
        </w:rPr>
        <w:t>spojeným</w:t>
      </w:r>
      <w:r w:rsidR="00486636" w:rsidRPr="000B521F">
        <w:rPr>
          <w:rFonts w:ascii="Times New Roman" w:hAnsi="Times New Roman" w:cs="Times New Roman"/>
          <w:sz w:val="24"/>
          <w:szCs w:val="24"/>
        </w:rPr>
        <w:t xml:space="preserve"> </w:t>
      </w:r>
      <w:r w:rsidRPr="000B521F">
        <w:rPr>
          <w:rFonts w:ascii="Times New Roman" w:hAnsi="Times New Roman" w:cs="Times New Roman"/>
          <w:sz w:val="24"/>
          <w:szCs w:val="24"/>
        </w:rPr>
        <w:t>ekologicky čistým vozovým parkem, ITS v silniční dopravě v rámci aglomerací a cyklistickou</w:t>
      </w:r>
      <w:r w:rsidR="00486636" w:rsidRPr="000B521F">
        <w:rPr>
          <w:rFonts w:ascii="Times New Roman" w:hAnsi="Times New Roman" w:cs="Times New Roman"/>
          <w:sz w:val="24"/>
          <w:szCs w:val="24"/>
        </w:rPr>
        <w:t xml:space="preserve"> </w:t>
      </w:r>
      <w:r w:rsidRPr="000B521F">
        <w:rPr>
          <w:rFonts w:ascii="Times New Roman" w:hAnsi="Times New Roman" w:cs="Times New Roman"/>
          <w:sz w:val="24"/>
          <w:szCs w:val="24"/>
        </w:rPr>
        <w:t>dopravou. Silnou vazbu na oblast životního prostředí vykazuje snaha o minimalizaci negativního vlivu dopravy na kvalitu ovzduší a tudíž na lidské zdraví především ve větších městech. Zlepšení se předpokládá skrze budování obchvatů, opatření k zajištění plynulosti dopravy a podporu</w:t>
      </w:r>
      <w:r w:rsidR="00486636" w:rsidRPr="000B521F">
        <w:rPr>
          <w:rFonts w:ascii="Times New Roman" w:hAnsi="Times New Roman" w:cs="Times New Roman"/>
          <w:sz w:val="24"/>
          <w:szCs w:val="24"/>
        </w:rPr>
        <w:t xml:space="preserve"> </w:t>
      </w:r>
      <w:r w:rsidRPr="000B521F">
        <w:rPr>
          <w:rFonts w:ascii="Times New Roman" w:hAnsi="Times New Roman" w:cs="Times New Roman"/>
          <w:sz w:val="24"/>
          <w:szCs w:val="24"/>
        </w:rPr>
        <w:t>alternativních</w:t>
      </w:r>
      <w:r w:rsidR="00486636" w:rsidRPr="000B521F">
        <w:rPr>
          <w:rFonts w:ascii="Times New Roman" w:hAnsi="Times New Roman" w:cs="Times New Roman"/>
          <w:sz w:val="24"/>
          <w:szCs w:val="24"/>
        </w:rPr>
        <w:t xml:space="preserve"> </w:t>
      </w:r>
      <w:r w:rsidRPr="000B521F">
        <w:rPr>
          <w:rFonts w:ascii="Times New Roman" w:hAnsi="Times New Roman" w:cs="Times New Roman"/>
          <w:sz w:val="24"/>
          <w:szCs w:val="24"/>
        </w:rPr>
        <w:t>zdrojů</w:t>
      </w:r>
      <w:r w:rsidR="00486636" w:rsidRPr="000B521F">
        <w:rPr>
          <w:rFonts w:ascii="Times New Roman" w:hAnsi="Times New Roman" w:cs="Times New Roman"/>
          <w:sz w:val="24"/>
          <w:szCs w:val="24"/>
        </w:rPr>
        <w:t xml:space="preserve"> </w:t>
      </w:r>
      <w:r w:rsidRPr="000B521F">
        <w:rPr>
          <w:rFonts w:ascii="Times New Roman" w:hAnsi="Times New Roman" w:cs="Times New Roman"/>
          <w:sz w:val="24"/>
          <w:szCs w:val="24"/>
        </w:rPr>
        <w:t>paliv jako je elektřina, CNG a další.</w:t>
      </w:r>
    </w:p>
    <w:p w:rsidR="00CF4BE7" w:rsidRPr="000B521F" w:rsidRDefault="00CF4BE7"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Východiskem pro výběr infrastrukturních projektů je dokument Dopravní sektorové strategie II. fáze (pro období 2014–2020), který obsahuje</w:t>
      </w:r>
      <w:r w:rsidR="00486636" w:rsidRPr="000B521F">
        <w:rPr>
          <w:rFonts w:ascii="Times New Roman" w:hAnsi="Times New Roman" w:cs="Times New Roman"/>
          <w:sz w:val="24"/>
          <w:szCs w:val="24"/>
        </w:rPr>
        <w:t xml:space="preserve"> </w:t>
      </w:r>
      <w:r w:rsidRPr="000B521F">
        <w:rPr>
          <w:rFonts w:ascii="Times New Roman" w:hAnsi="Times New Roman" w:cs="Times New Roman"/>
          <w:sz w:val="24"/>
          <w:szCs w:val="24"/>
        </w:rPr>
        <w:t>prioritizaci potřeb výstavby dopravní infrastruktury vzešlou z rozsáhlé multikriteriální analýzy.</w:t>
      </w:r>
      <w:r w:rsidR="005D5E46" w:rsidRPr="000B521F">
        <w:rPr>
          <w:rFonts w:ascii="Times New Roman" w:hAnsi="Times New Roman" w:cs="Times New Roman"/>
          <w:sz w:val="24"/>
          <w:szCs w:val="24"/>
        </w:rPr>
        <w:t xml:space="preserve">Tento materiál rovněž obsahuje </w:t>
      </w:r>
      <w:r w:rsidR="003C23EC" w:rsidRPr="000B521F">
        <w:rPr>
          <w:rFonts w:ascii="Times New Roman" w:hAnsi="Times New Roman" w:cs="Times New Roman"/>
          <w:sz w:val="24"/>
          <w:szCs w:val="24"/>
        </w:rPr>
        <w:t xml:space="preserve">analýzu opatření na dopravní infrastruktuře včetně nedostatků a dále </w:t>
      </w:r>
      <w:r w:rsidR="0096059F" w:rsidRPr="000B521F">
        <w:rPr>
          <w:rFonts w:ascii="Times New Roman" w:hAnsi="Times New Roman" w:cs="Times New Roman"/>
          <w:sz w:val="24"/>
          <w:szCs w:val="24"/>
        </w:rPr>
        <w:t>zdůvodnění potřeb</w:t>
      </w:r>
      <w:r w:rsidR="005D5E46" w:rsidRPr="000B521F">
        <w:rPr>
          <w:rFonts w:ascii="Times New Roman" w:hAnsi="Times New Roman" w:cs="Times New Roman"/>
          <w:sz w:val="24"/>
          <w:szCs w:val="24"/>
        </w:rPr>
        <w:t xml:space="preserve"> rozvoje regionální infrastruktury včetně jejího odůvodnění</w:t>
      </w:r>
      <w:r w:rsidR="003C23EC" w:rsidRPr="000B521F">
        <w:rPr>
          <w:rFonts w:ascii="Times New Roman" w:hAnsi="Times New Roman" w:cs="Times New Roman"/>
          <w:sz w:val="24"/>
          <w:szCs w:val="24"/>
        </w:rPr>
        <w:t>.</w:t>
      </w:r>
    </w:p>
    <w:p w:rsidR="00147E55" w:rsidRPr="000B521F" w:rsidRDefault="00147E55" w:rsidP="0059011D">
      <w:pPr>
        <w:spacing w:after="120" w:line="240" w:lineRule="auto"/>
        <w:jc w:val="both"/>
        <w:rPr>
          <w:rFonts w:ascii="Times New Roman" w:hAnsi="Times New Roman" w:cs="Times New Roman"/>
          <w:b/>
          <w:sz w:val="24"/>
          <w:szCs w:val="24"/>
        </w:rPr>
      </w:pPr>
    </w:p>
    <w:p w:rsidR="00CF4BE7" w:rsidRPr="000B521F" w:rsidRDefault="00CF4BE7"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b/>
          <w:sz w:val="24"/>
          <w:szCs w:val="24"/>
        </w:rPr>
        <w:t>Územní rozdíly:</w:t>
      </w:r>
    </w:p>
    <w:p w:rsidR="0011141C" w:rsidRDefault="00CF4BE7" w:rsidP="00CB34FB">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V případě dopravní infrastruktury je v některých částech státu hospodářský rozvoj výrazně limitován nedostatečnou i nekvalitní dopravní sítí</w:t>
      </w:r>
      <w:r w:rsidR="001C654C">
        <w:rPr>
          <w:rFonts w:ascii="Times New Roman" w:hAnsi="Times New Roman" w:cs="Times New Roman"/>
          <w:sz w:val="24"/>
          <w:szCs w:val="24"/>
        </w:rPr>
        <w:t xml:space="preserve">. To </w:t>
      </w:r>
      <w:r w:rsidRPr="000B521F">
        <w:rPr>
          <w:rFonts w:ascii="Times New Roman" w:hAnsi="Times New Roman" w:cs="Times New Roman"/>
          <w:sz w:val="24"/>
          <w:szCs w:val="24"/>
        </w:rPr>
        <w:t xml:space="preserve"> se promítá </w:t>
      </w:r>
      <w:r w:rsidR="001C654C">
        <w:rPr>
          <w:rFonts w:ascii="Times New Roman" w:hAnsi="Times New Roman" w:cs="Times New Roman"/>
          <w:sz w:val="24"/>
          <w:szCs w:val="24"/>
        </w:rPr>
        <w:t xml:space="preserve">mj. </w:t>
      </w:r>
      <w:r w:rsidRPr="000B521F">
        <w:rPr>
          <w:rFonts w:ascii="Times New Roman" w:hAnsi="Times New Roman" w:cs="Times New Roman"/>
          <w:sz w:val="24"/>
          <w:szCs w:val="24"/>
        </w:rPr>
        <w:t>i do nižší úrovně dopravní obslužnosti</w:t>
      </w:r>
      <w:r w:rsidR="001C654C">
        <w:rPr>
          <w:rFonts w:ascii="Times New Roman" w:hAnsi="Times New Roman" w:cs="Times New Roman"/>
          <w:sz w:val="24"/>
          <w:szCs w:val="24"/>
        </w:rPr>
        <w:t xml:space="preserve">, mobility pracovních sil či </w:t>
      </w:r>
      <w:r w:rsidR="001C654C" w:rsidRPr="001C654C">
        <w:rPr>
          <w:rFonts w:ascii="Times New Roman" w:hAnsi="Times New Roman" w:cs="Times New Roman"/>
          <w:sz w:val="24"/>
          <w:szCs w:val="24"/>
        </w:rPr>
        <w:t>ovlivnění rozhodnutí zaměstnavatelů o setrvání zejména v dopravně odlehlejších oblastech</w:t>
      </w:r>
      <w:r w:rsidR="001C654C">
        <w:rPr>
          <w:rFonts w:ascii="Times New Roman" w:hAnsi="Times New Roman" w:cs="Times New Roman"/>
          <w:sz w:val="24"/>
          <w:szCs w:val="24"/>
        </w:rPr>
        <w:t>.</w:t>
      </w:r>
      <w:r w:rsidRPr="000B521F">
        <w:rPr>
          <w:rFonts w:ascii="Times New Roman" w:hAnsi="Times New Roman" w:cs="Times New Roman"/>
          <w:sz w:val="24"/>
          <w:szCs w:val="24"/>
        </w:rPr>
        <w:t xml:space="preserve"> Tato síť se potýká se základními nedostatky, jako je neúplná provázanost regionálních dopravních systémů, především regionálních center na celostátní páteřní síť (zejména sítě TEN-T), stejně jako návaznost regionálních dopravních systémů nižších řádů napojující menší sídla a venkovské oblasti na regionální centra. Závažná je situace zejména v severní části státu, kde se nezřídka projevuje i absence dálničních nebo rychlostních komunikací (zcela schází severní páteřní komunikace R35), což se projevuje v rostoucí odlehlosti nejen severní části Moravy, ale nepříznivé tendence rozvoje se začínají objevovat i v severovýchodní části Čech. Dalším prostorovým problémem je nedostatečná integrace dopravních systémů v nejvíce urbanizovaných částech státu. </w:t>
      </w:r>
      <w:r w:rsidR="0096059F" w:rsidRPr="000B521F">
        <w:rPr>
          <w:rFonts w:ascii="Times New Roman" w:hAnsi="Times New Roman" w:cs="Times New Roman"/>
          <w:sz w:val="24"/>
          <w:szCs w:val="24"/>
        </w:rPr>
        <w:t>Přetrvává absence dostatečného</w:t>
      </w:r>
      <w:r w:rsidRPr="000B521F">
        <w:rPr>
          <w:rFonts w:ascii="Times New Roman" w:hAnsi="Times New Roman" w:cs="Times New Roman"/>
          <w:sz w:val="24"/>
          <w:szCs w:val="24"/>
        </w:rPr>
        <w:t xml:space="preserve"> dopravní</w:t>
      </w:r>
      <w:r w:rsidR="0096059F" w:rsidRPr="000B521F">
        <w:rPr>
          <w:rFonts w:ascii="Times New Roman" w:hAnsi="Times New Roman" w:cs="Times New Roman"/>
          <w:sz w:val="24"/>
          <w:szCs w:val="24"/>
        </w:rPr>
        <w:t>ho</w:t>
      </w:r>
      <w:r w:rsidRPr="000B521F">
        <w:rPr>
          <w:rFonts w:ascii="Times New Roman" w:hAnsi="Times New Roman" w:cs="Times New Roman"/>
          <w:sz w:val="24"/>
          <w:szCs w:val="24"/>
        </w:rPr>
        <w:t xml:space="preserve"> napojení okrajových částí většiny krajů na střediska krajského nebo subregionálního významu, což přispívá k růstu odlehlosti těchto území.</w:t>
      </w:r>
      <w:r w:rsidR="0011141C">
        <w:rPr>
          <w:rFonts w:ascii="Times New Roman" w:hAnsi="Times New Roman" w:cs="Times New Roman"/>
          <w:sz w:val="24"/>
          <w:szCs w:val="24"/>
        </w:rPr>
        <w:t xml:space="preserve"> </w:t>
      </w:r>
    </w:p>
    <w:p w:rsidR="0011141C" w:rsidRPr="0011141C" w:rsidRDefault="0011141C" w:rsidP="00A91333">
      <w:pPr>
        <w:spacing w:after="120" w:line="240" w:lineRule="auto"/>
        <w:jc w:val="both"/>
        <w:rPr>
          <w:rFonts w:ascii="Times New Roman" w:hAnsi="Times New Roman"/>
          <w:sz w:val="24"/>
          <w:szCs w:val="24"/>
        </w:rPr>
      </w:pPr>
      <w:r w:rsidRPr="0011141C">
        <w:rPr>
          <w:rFonts w:ascii="Times New Roman" w:hAnsi="Times New Roman"/>
          <w:sz w:val="24"/>
          <w:szCs w:val="24"/>
        </w:rPr>
        <w:t>V mezikrajském srovnání vykazuje hustota silnic II. a III. třídy poměrně významné územní rozdíly, které jsou ovlivněny mj. polohovým potenciálem a rozlohou krajů a počtem obcí v jednotlivých velikostních kategoriích obcí. Nejnižší hustotu v přepočtu na km/10 tis. obyvatel (za rok 2012) vykazuje hl. m. Praha (0,2), za kterým následuje Moravskoslezský kraj (22,0) a Zlínský kraj (30,0). Naopak nejvyšší hustotu lze zaznamenat v kraji Vysočina (89,1), Jihočeském (85,7) a Plzeňském kraji (80,4).</w:t>
      </w:r>
    </w:p>
    <w:p w:rsidR="00CF4BE7" w:rsidRPr="000B521F" w:rsidRDefault="00CF4BE7" w:rsidP="0059011D">
      <w:pPr>
        <w:spacing w:after="120" w:line="240" w:lineRule="auto"/>
        <w:rPr>
          <w:rFonts w:ascii="Times New Roman" w:hAnsi="Times New Roman" w:cs="Times New Roman"/>
          <w:b/>
          <w:sz w:val="24"/>
          <w:szCs w:val="24"/>
        </w:rPr>
      </w:pPr>
      <w:r w:rsidRPr="000B521F">
        <w:rPr>
          <w:rFonts w:ascii="Times New Roman" w:hAnsi="Times New Roman" w:cs="Times New Roman"/>
          <w:b/>
          <w:sz w:val="24"/>
          <w:szCs w:val="24"/>
        </w:rPr>
        <w:t>Zkušen</w:t>
      </w:r>
      <w:r w:rsidR="00535D8E">
        <w:rPr>
          <w:rFonts w:ascii="Times New Roman" w:hAnsi="Times New Roman" w:cs="Times New Roman"/>
          <w:b/>
          <w:sz w:val="24"/>
          <w:szCs w:val="24"/>
        </w:rPr>
        <w:t>osti z programového období 2007–</w:t>
      </w:r>
      <w:r w:rsidRPr="000B521F">
        <w:rPr>
          <w:rFonts w:ascii="Times New Roman" w:hAnsi="Times New Roman" w:cs="Times New Roman"/>
          <w:b/>
          <w:sz w:val="24"/>
          <w:szCs w:val="24"/>
        </w:rPr>
        <w:t>2013 a stav dosažení současných cílů</w:t>
      </w:r>
    </w:p>
    <w:p w:rsidR="00CF4BE7" w:rsidRPr="000B521F" w:rsidRDefault="00CF4BE7"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S ohledem na to, že předpokládané náklady na výstavbu a modernizaci všech druhů dopravních sítí v ČR mnohonásobně převyšují finanční možnosti/alokace pro obor doprava v současném i budoucím programovém období, je možno konstatovat, že ani v jednom dopravním odvětví nedošlo k úplné či většinové saturaci potřeb. Pro programové období </w:t>
      </w:r>
      <w:r w:rsidRPr="000B521F">
        <w:rPr>
          <w:rFonts w:ascii="Times New Roman" w:hAnsi="Times New Roman" w:cs="Times New Roman"/>
          <w:sz w:val="24"/>
          <w:szCs w:val="24"/>
        </w:rPr>
        <w:lastRenderedPageBreak/>
        <w:t>2014-2020 je proto nutno usilovat o dodržení stanovené prioritizace záměrů a realizovat nejpotřebnější stavby.</w:t>
      </w:r>
    </w:p>
    <w:p w:rsidR="00147E55" w:rsidRPr="000B521F" w:rsidRDefault="00147E55" w:rsidP="0059011D">
      <w:pPr>
        <w:spacing w:after="120" w:line="240" w:lineRule="auto"/>
        <w:rPr>
          <w:rFonts w:ascii="Times New Roman" w:hAnsi="Times New Roman" w:cs="Times New Roman"/>
          <w:b/>
          <w:sz w:val="24"/>
          <w:szCs w:val="24"/>
        </w:rPr>
      </w:pPr>
    </w:p>
    <w:p w:rsidR="00CF4BE7" w:rsidRPr="000B521F" w:rsidRDefault="00CF4BE7" w:rsidP="0059011D">
      <w:pPr>
        <w:spacing w:after="120" w:line="240" w:lineRule="auto"/>
        <w:rPr>
          <w:rFonts w:ascii="Times New Roman" w:hAnsi="Times New Roman" w:cs="Times New Roman"/>
          <w:b/>
          <w:sz w:val="24"/>
          <w:szCs w:val="24"/>
        </w:rPr>
      </w:pPr>
      <w:r w:rsidRPr="000B521F">
        <w:rPr>
          <w:rFonts w:ascii="Times New Roman" w:hAnsi="Times New Roman" w:cs="Times New Roman"/>
          <w:b/>
          <w:sz w:val="24"/>
          <w:szCs w:val="24"/>
        </w:rPr>
        <w:t>Hlavní identifikované problémy a potřeby rozvoje:</w:t>
      </w:r>
    </w:p>
    <w:p w:rsidR="00CF4BE7" w:rsidRPr="000B521F" w:rsidRDefault="00CF4BE7" w:rsidP="0059011D">
      <w:pPr>
        <w:spacing w:after="120" w:line="240" w:lineRule="auto"/>
        <w:rPr>
          <w:rFonts w:ascii="Times New Roman" w:hAnsi="Times New Roman" w:cs="Times New Roman"/>
          <w:b/>
          <w:i/>
          <w:sz w:val="24"/>
          <w:szCs w:val="24"/>
        </w:rPr>
      </w:pPr>
      <w:r w:rsidRPr="000B521F">
        <w:rPr>
          <w:rFonts w:ascii="Times New Roman" w:hAnsi="Times New Roman" w:cs="Times New Roman"/>
          <w:b/>
          <w:i/>
          <w:sz w:val="24"/>
          <w:szCs w:val="24"/>
        </w:rPr>
        <w:t>1. Nedokončená páteřní dopravní síť</w:t>
      </w:r>
    </w:p>
    <w:p w:rsidR="00CF4BE7" w:rsidRPr="000B521F" w:rsidRDefault="00CF4BE7"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Zcela zásadním problémem dopravy v ČR je nedokončená páteřní železniční a silniční síť a to jak uvnitř státu (tvořená vzájemnými propojeními nejvýznamnějších metropolitních oblastí v ČR, propojeními krajských měst a dalších významných sídel navzájem, zejména však jejich spojení na hlavní centra státu Prahu, případně Brno), tak i v podobě přeshraničních spojení propojujících ČR s  Evropou. </w:t>
      </w:r>
      <w:r w:rsidR="0096059F" w:rsidRPr="000B521F">
        <w:rPr>
          <w:rFonts w:ascii="Times New Roman" w:hAnsi="Times New Roman" w:cs="Times New Roman"/>
          <w:sz w:val="24"/>
          <w:szCs w:val="24"/>
        </w:rPr>
        <w:t>P</w:t>
      </w:r>
      <w:r w:rsidRPr="000B521F">
        <w:rPr>
          <w:rFonts w:ascii="Times New Roman" w:hAnsi="Times New Roman" w:cs="Times New Roman"/>
          <w:sz w:val="24"/>
          <w:szCs w:val="24"/>
        </w:rPr>
        <w:t xml:space="preserve">áteřní síť, tvořenou z většiny TEN-T a dále některými dalšími spojeními, představují modernizované nebo k modernizaci určené železniční koridory a plánované kratší nové železniční úseky s rychlostí do 160 km/h (případně v budoucnu do 200 km/h), plánované vysokorychlostní tratě pro rychlost 200 km/h a vyšší, existující či plánované dálnice, rychlostní silnice a vybrané silnice I. třídy. </w:t>
      </w:r>
      <w:r w:rsidR="0096059F" w:rsidRPr="000B521F">
        <w:rPr>
          <w:rFonts w:ascii="Times New Roman" w:hAnsi="Times New Roman" w:cs="Times New Roman"/>
          <w:sz w:val="24"/>
          <w:szCs w:val="24"/>
        </w:rPr>
        <w:t>Z celkové plánované sítě dálnic a rychlostních silnic v délce cca 2200 km je v současnosti dostavěných jen o něco více než 50%.</w:t>
      </w:r>
      <w:r w:rsidRPr="000B521F">
        <w:rPr>
          <w:rFonts w:ascii="Times New Roman" w:hAnsi="Times New Roman" w:cs="Times New Roman"/>
          <w:sz w:val="24"/>
          <w:szCs w:val="24"/>
        </w:rPr>
        <w:t xml:space="preserve"> Vnitrozemská vodní doprava se vyznačuje velkou  šetrností vůči  životnímu  prostředí, vysokou kapacitou dopravní cesty a efektivností při stabilních plavebních podmínkách, má nesporný význam pro zajištění multimodality. ČR nemůže dostatečně využít potenciál stávajících vodních cest (labsko-vltavské), a to v důsledku neuspokojivých plavebních podmínek na poměrně krátkém, avšak zcela zásadním příhraničním úseku Labe.</w:t>
      </w:r>
    </w:p>
    <w:p w:rsidR="00DA05EC" w:rsidRPr="000B521F" w:rsidRDefault="00DA05EC"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Stávající infrastruktura se potýká se špatným, v některých případech až katastrofálním technickým stavem některých již vybudovaných částí páteřní infrastruktury, daný dlouhodobě nízkými investicemi do údržby a oprav.</w:t>
      </w:r>
    </w:p>
    <w:p w:rsidR="00CF4BE7" w:rsidRPr="000B521F" w:rsidRDefault="00CF4BE7"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i/>
          <w:sz w:val="24"/>
          <w:szCs w:val="24"/>
        </w:rPr>
        <w:t>Potřeby rozvoje</w:t>
      </w:r>
      <w:r w:rsidRPr="000B521F">
        <w:rPr>
          <w:rFonts w:ascii="Times New Roman" w:hAnsi="Times New Roman" w:cs="Times New Roman"/>
          <w:sz w:val="24"/>
          <w:szCs w:val="24"/>
        </w:rPr>
        <w:t>:</w:t>
      </w:r>
    </w:p>
    <w:p w:rsidR="008206A4" w:rsidRPr="000B521F" w:rsidRDefault="00CF4BE7" w:rsidP="0059011D">
      <w:pPr>
        <w:pStyle w:val="Odstavecseseznamem"/>
        <w:numPr>
          <w:ilvl w:val="0"/>
          <w:numId w:val="56"/>
        </w:numPr>
        <w:spacing w:after="240" w:line="240" w:lineRule="auto"/>
        <w:jc w:val="both"/>
        <w:rPr>
          <w:rFonts w:ascii="Times New Roman" w:hAnsi="Times New Roman" w:cs="Times New Roman"/>
          <w:sz w:val="24"/>
          <w:szCs w:val="24"/>
        </w:rPr>
      </w:pPr>
      <w:r w:rsidRPr="000B521F">
        <w:rPr>
          <w:rFonts w:ascii="Times New Roman" w:hAnsi="Times New Roman" w:cs="Times New Roman"/>
          <w:sz w:val="24"/>
          <w:szCs w:val="24"/>
        </w:rPr>
        <w:t>Výstavba a modernizace železničních tratí (včetně hlavních železničních uzlů) sítě TEN-T (hlavní a globální). Z územního hlediska by důraz měl být kladen na dokončení čtyř tranzitních železničních koridorů, na další tratě hlavní sítě TEN-T (např.: Praha – Lysá n. L., Lysá n. L. – Litoměřice – Ústí n. L.</w:t>
      </w:r>
      <w:r w:rsidR="00DA05EC" w:rsidRPr="000B521F">
        <w:rPr>
          <w:rFonts w:ascii="Times New Roman" w:hAnsi="Times New Roman" w:cs="Times New Roman"/>
          <w:sz w:val="24"/>
          <w:szCs w:val="24"/>
        </w:rPr>
        <w:t>, Brno – Přerov</w:t>
      </w:r>
      <w:r w:rsidRPr="000B521F">
        <w:rPr>
          <w:rFonts w:ascii="Times New Roman" w:hAnsi="Times New Roman" w:cs="Times New Roman"/>
          <w:sz w:val="24"/>
          <w:szCs w:val="24"/>
        </w:rPr>
        <w:t>)</w:t>
      </w:r>
      <w:r w:rsidR="00DA05EC" w:rsidRPr="000B521F">
        <w:rPr>
          <w:rFonts w:ascii="Times New Roman" w:hAnsi="Times New Roman" w:cs="Times New Roman"/>
          <w:sz w:val="24"/>
          <w:szCs w:val="24"/>
        </w:rPr>
        <w:t xml:space="preserve">, modernizací uzlů zejména na I. a II. tranzitním železničním koridoru </w:t>
      </w:r>
      <w:r w:rsidRPr="000B521F">
        <w:rPr>
          <w:rFonts w:ascii="Times New Roman" w:hAnsi="Times New Roman" w:cs="Times New Roman"/>
          <w:sz w:val="24"/>
          <w:szCs w:val="24"/>
        </w:rPr>
        <w:t xml:space="preserve">a na přípravu </w:t>
      </w:r>
      <w:r w:rsidR="00DA05EC" w:rsidRPr="000B521F">
        <w:rPr>
          <w:rFonts w:ascii="Times New Roman" w:hAnsi="Times New Roman" w:cs="Times New Roman"/>
          <w:sz w:val="24"/>
          <w:szCs w:val="24"/>
        </w:rPr>
        <w:t>prvních</w:t>
      </w:r>
      <w:r w:rsidRPr="000B521F">
        <w:rPr>
          <w:rFonts w:ascii="Times New Roman" w:hAnsi="Times New Roman" w:cs="Times New Roman"/>
          <w:sz w:val="24"/>
          <w:szCs w:val="24"/>
        </w:rPr>
        <w:t xml:space="preserve"> úsek</w:t>
      </w:r>
      <w:r w:rsidR="00DA05EC" w:rsidRPr="000B521F">
        <w:rPr>
          <w:rFonts w:ascii="Times New Roman" w:hAnsi="Times New Roman" w:cs="Times New Roman"/>
          <w:sz w:val="24"/>
          <w:szCs w:val="24"/>
        </w:rPr>
        <w:t>ů</w:t>
      </w:r>
      <w:r w:rsidRPr="000B521F">
        <w:rPr>
          <w:rFonts w:ascii="Times New Roman" w:hAnsi="Times New Roman" w:cs="Times New Roman"/>
          <w:sz w:val="24"/>
          <w:szCs w:val="24"/>
        </w:rPr>
        <w:t xml:space="preserve"> systému vysokorychlostních tratí.</w:t>
      </w:r>
    </w:p>
    <w:p w:rsidR="008206A4" w:rsidRPr="000B521F" w:rsidRDefault="00CF4BE7" w:rsidP="0059011D">
      <w:pPr>
        <w:pStyle w:val="Odstavecseseznamem"/>
        <w:numPr>
          <w:ilvl w:val="0"/>
          <w:numId w:val="56"/>
        </w:numPr>
        <w:spacing w:after="240" w:line="240" w:lineRule="auto"/>
        <w:jc w:val="both"/>
        <w:rPr>
          <w:rFonts w:ascii="Times New Roman" w:hAnsi="Times New Roman" w:cs="Times New Roman"/>
          <w:sz w:val="24"/>
          <w:szCs w:val="24"/>
        </w:rPr>
      </w:pPr>
      <w:r w:rsidRPr="000B521F">
        <w:rPr>
          <w:rFonts w:ascii="Times New Roman" w:hAnsi="Times New Roman" w:cs="Times New Roman"/>
          <w:sz w:val="24"/>
          <w:szCs w:val="24"/>
        </w:rPr>
        <w:t>Výstavba a modernizace dálnic a silnic (silnic I. třídy a silnic pro motorová vozidla) sítě TEN-T (hlavní a globální). Z územního hlediska by měl být kladen důraz na modernizaci dálnice D1 v úseku Praha – Brno – Vyškov, dobudování alternativního severního dálničního spojení západu a východu republiky v podobě úseku R35 Hradec Králové – Mohelnice, dobudování Silničního okruhu kolem Prahy, jako nezbytné součásti nejvýznamnějšího dálničního uzlu v ČR, dobudování evropské dálniční trasy (Warszawa) – Ostrava – Brno – (Wien) na území ČR a infrastruktury v dalších koridorech.</w:t>
      </w:r>
    </w:p>
    <w:p w:rsidR="008206A4" w:rsidRPr="000B521F" w:rsidRDefault="00CF4BE7" w:rsidP="0059011D">
      <w:pPr>
        <w:pStyle w:val="Odstavecseseznamem"/>
        <w:numPr>
          <w:ilvl w:val="0"/>
          <w:numId w:val="57"/>
        </w:numPr>
        <w:spacing w:line="240" w:lineRule="auto"/>
        <w:jc w:val="both"/>
        <w:rPr>
          <w:rFonts w:ascii="Times New Roman" w:hAnsi="Times New Roman" w:cs="Times New Roman"/>
          <w:sz w:val="24"/>
          <w:szCs w:val="24"/>
        </w:rPr>
      </w:pPr>
      <w:r w:rsidRPr="000B521F">
        <w:rPr>
          <w:rFonts w:ascii="Times New Roman" w:hAnsi="Times New Roman" w:cs="Times New Roman"/>
          <w:sz w:val="24"/>
          <w:szCs w:val="24"/>
        </w:rPr>
        <w:t>Zavádění inteligentních dopravních systémů (ITS) a nových technologií v rámci silničních systémů přednostně v silniční síti TEN-T.</w:t>
      </w:r>
    </w:p>
    <w:p w:rsidR="008206A4" w:rsidRPr="000B521F" w:rsidRDefault="00CF4BE7" w:rsidP="0059011D">
      <w:pPr>
        <w:pStyle w:val="Odstavecseseznamem"/>
        <w:numPr>
          <w:ilvl w:val="0"/>
          <w:numId w:val="57"/>
        </w:numPr>
        <w:spacing w:line="240" w:lineRule="auto"/>
        <w:jc w:val="both"/>
        <w:rPr>
          <w:rFonts w:ascii="Times New Roman" w:hAnsi="Times New Roman" w:cs="Times New Roman"/>
          <w:sz w:val="24"/>
          <w:szCs w:val="24"/>
        </w:rPr>
      </w:pPr>
      <w:r w:rsidRPr="000B521F">
        <w:rPr>
          <w:rFonts w:ascii="Times New Roman" w:hAnsi="Times New Roman" w:cs="Times New Roman"/>
          <w:sz w:val="24"/>
          <w:szCs w:val="24"/>
        </w:rPr>
        <w:t>Výstavba a modernizace vnitrozemských vodních cest sítě TEN-T v souladu s environmentálně příznivými požadavky. Z územního hlediska se bude jednat o zajištění splavnosti Labe mezi Ústí n. L. a státní hranicí se SRN a prodloužení splavnosti Labe z Přelouče do Pardubic, které patří k nejvýznamnějším dopravním uzlům ČR.</w:t>
      </w:r>
    </w:p>
    <w:p w:rsidR="00CF4BE7" w:rsidRPr="000B521F" w:rsidRDefault="00CF4BE7" w:rsidP="0059011D">
      <w:pPr>
        <w:pStyle w:val="Odstavecseseznamem"/>
        <w:spacing w:after="240" w:line="240" w:lineRule="auto"/>
        <w:ind w:left="0"/>
        <w:jc w:val="both"/>
        <w:rPr>
          <w:rFonts w:ascii="Times New Roman" w:hAnsi="Times New Roman" w:cs="Times New Roman"/>
          <w:sz w:val="24"/>
          <w:szCs w:val="24"/>
        </w:rPr>
      </w:pPr>
    </w:p>
    <w:p w:rsidR="00CF4BE7" w:rsidRPr="000B521F" w:rsidRDefault="00CF4BE7" w:rsidP="0059011D">
      <w:pPr>
        <w:spacing w:after="120" w:line="240" w:lineRule="auto"/>
        <w:jc w:val="both"/>
        <w:rPr>
          <w:rFonts w:ascii="Times New Roman" w:hAnsi="Times New Roman" w:cs="Times New Roman"/>
          <w:b/>
          <w:i/>
          <w:sz w:val="24"/>
          <w:szCs w:val="24"/>
        </w:rPr>
      </w:pPr>
      <w:r w:rsidRPr="000B521F">
        <w:rPr>
          <w:rFonts w:ascii="Times New Roman" w:hAnsi="Times New Roman" w:cs="Times New Roman"/>
          <w:b/>
          <w:i/>
          <w:sz w:val="24"/>
          <w:szCs w:val="24"/>
        </w:rPr>
        <w:t>2. Nedostatečné napojení některých oblastí na páteřní infrastrukturu</w:t>
      </w:r>
    </w:p>
    <w:p w:rsidR="00CF4BE7" w:rsidRPr="000B521F" w:rsidRDefault="00CF4BE7"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lastRenderedPageBreak/>
        <w:t xml:space="preserve">Rozvoji a lepší dostupnosti regionů, zejména periferních a státem podporovaných regionů, a rovněž některých významných průmyslových zón brání mimo jiné nedostatky v rámci ostatních dopravních sítí celostátního významu (mimo TEN-T) a dopravních sítí regionálního významu. Jedná se například o nedostatečné napojení sekundárních a především terciárních center včetně jejich regionů zejména v periferních polohách na páteřní síť/síť TEN-T, dále pak o úzká hrdla v rámci těchto infrastruktur. Tento problém je umocněn špatným, v některých případech až katastrofálním technickým stavem některých sítí obou hierarchických úrovní, zejména však regionálních tratí a silnic II. a III. tříd, daný </w:t>
      </w:r>
      <w:r w:rsidR="006E6DEA" w:rsidRPr="000B521F">
        <w:rPr>
          <w:rFonts w:ascii="Times New Roman" w:hAnsi="Times New Roman" w:cs="Times New Roman"/>
          <w:sz w:val="24"/>
          <w:szCs w:val="24"/>
        </w:rPr>
        <w:t>historicky nerealizovanou modernizací při nástupu automobilizace a z toho titulu nedostatečnými prostředky na</w:t>
      </w:r>
      <w:r w:rsidRPr="000B521F">
        <w:rPr>
          <w:rFonts w:ascii="Times New Roman" w:hAnsi="Times New Roman" w:cs="Times New Roman"/>
          <w:sz w:val="24"/>
          <w:szCs w:val="24"/>
        </w:rPr>
        <w:t xml:space="preserve"> údržb</w:t>
      </w:r>
      <w:r w:rsidR="006E6DEA" w:rsidRPr="000B521F">
        <w:rPr>
          <w:rFonts w:ascii="Times New Roman" w:hAnsi="Times New Roman" w:cs="Times New Roman"/>
          <w:sz w:val="24"/>
          <w:szCs w:val="24"/>
        </w:rPr>
        <w:t>u</w:t>
      </w:r>
      <w:r w:rsidRPr="000B521F">
        <w:rPr>
          <w:rFonts w:ascii="Times New Roman" w:hAnsi="Times New Roman" w:cs="Times New Roman"/>
          <w:sz w:val="24"/>
          <w:szCs w:val="24"/>
        </w:rPr>
        <w:t xml:space="preserve"> a oprav</w:t>
      </w:r>
      <w:r w:rsidR="006E6DEA" w:rsidRPr="000B521F">
        <w:rPr>
          <w:rFonts w:ascii="Times New Roman" w:hAnsi="Times New Roman" w:cs="Times New Roman"/>
          <w:sz w:val="24"/>
          <w:szCs w:val="24"/>
        </w:rPr>
        <w:t>y</w:t>
      </w:r>
      <w:r w:rsidRPr="000B521F">
        <w:rPr>
          <w:rFonts w:ascii="Times New Roman" w:hAnsi="Times New Roman" w:cs="Times New Roman"/>
          <w:sz w:val="24"/>
          <w:szCs w:val="24"/>
        </w:rPr>
        <w:t>.</w:t>
      </w:r>
    </w:p>
    <w:p w:rsidR="00CF4BE7" w:rsidRPr="000B521F" w:rsidRDefault="00CF4BE7"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i/>
          <w:sz w:val="24"/>
          <w:szCs w:val="24"/>
        </w:rPr>
        <w:t>Potřeby rozvoje</w:t>
      </w:r>
      <w:r w:rsidRPr="000B521F">
        <w:rPr>
          <w:rFonts w:ascii="Times New Roman" w:hAnsi="Times New Roman" w:cs="Times New Roman"/>
          <w:sz w:val="24"/>
          <w:szCs w:val="24"/>
        </w:rPr>
        <w:t>:</w:t>
      </w:r>
    </w:p>
    <w:p w:rsidR="008206A4" w:rsidRPr="000B521F" w:rsidRDefault="00CF4BE7" w:rsidP="0059011D">
      <w:pPr>
        <w:pStyle w:val="Odstavecseseznamem"/>
        <w:numPr>
          <w:ilvl w:val="0"/>
          <w:numId w:val="58"/>
        </w:numPr>
        <w:autoSpaceDE w:val="0"/>
        <w:autoSpaceDN w:val="0"/>
        <w:adjustRightInd w:val="0"/>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Výstavba a modernizace železničních tratí mimo síť TEN-T (zejména sítě celostátního významu umožňující propojení krajských center navzájem a s hlavními centry ČR Prahou a Brnem, opatření pro příměstskou, městskou a aglomerační dopravu realizovanou na tratích celostátního významu, tratě pro důležité tahy nákladní dopravy a tratě pro napojení míst, které jsou významným zdrojem nebo cílem nákladní dopravy). Z územního hlediska by měl být kladen důraz na modernizaci koridoru Praha – Mladá Boleslav – Liberec; řešení městských, příměstských a aglomeračních vazeb: Praha – Beroun, Praha – Říčany, obdobně i další vstupy do Prahy, Brna, Ostravy případně dalších měst; napojení mezinárodního letiště Praha-Ruzyně na železniční síť v rámci modernizace koridoru Praha – Kladno. </w:t>
      </w:r>
    </w:p>
    <w:p w:rsidR="008206A4" w:rsidRPr="000B521F" w:rsidRDefault="00CF4BE7" w:rsidP="0059011D">
      <w:pPr>
        <w:pStyle w:val="Odstavecseseznamem"/>
        <w:numPr>
          <w:ilvl w:val="0"/>
          <w:numId w:val="58"/>
        </w:numPr>
        <w:autoSpaceDE w:val="0"/>
        <w:autoSpaceDN w:val="0"/>
        <w:adjustRightInd w:val="0"/>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Výstavba a modernizace železničních regionálních tratí. Jedná se o vybrané tratě, které umožní řešení aglomeračních vazeb a páteřní regionální dopravy v rozvojových územích dle typologie území obsažené ve Strategii regionálního rozvoje ČR 2014</w:t>
      </w:r>
      <w:r w:rsidR="00264AE0">
        <w:rPr>
          <w:rFonts w:ascii="Times New Roman" w:hAnsi="Times New Roman" w:cs="Times New Roman"/>
          <w:color w:val="000000"/>
          <w:sz w:val="24"/>
          <w:szCs w:val="24"/>
        </w:rPr>
        <w:t>–</w:t>
      </w:r>
      <w:r w:rsidRPr="000B521F">
        <w:rPr>
          <w:rFonts w:ascii="Times New Roman" w:hAnsi="Times New Roman" w:cs="Times New Roman"/>
          <w:sz w:val="24"/>
          <w:szCs w:val="24"/>
        </w:rPr>
        <w:t>2020 a dále v koridorech Liberec – Tanvald, Jaroměř – Hradec Králové – Pardubice – Chrudim, Kroměříž – Otrokovice – Vizovice ad.; napojení letiště  Brno-Tuřany na železniční síť; uspokojení požadavků na železnici ze strany strategických průmyslových zón v relaci Mladá Boleslav – Nymburk, dále zóny Nošovice a zóny Kvasiny</w:t>
      </w:r>
      <w:r w:rsidR="00535D8E">
        <w:rPr>
          <w:rFonts w:ascii="Times New Roman" w:hAnsi="Times New Roman" w:cs="Times New Roman"/>
          <w:sz w:val="24"/>
          <w:szCs w:val="24"/>
        </w:rPr>
        <w:t>.</w:t>
      </w:r>
    </w:p>
    <w:p w:rsidR="008206A4" w:rsidRPr="000B521F" w:rsidRDefault="00CF4BE7" w:rsidP="0059011D">
      <w:pPr>
        <w:pStyle w:val="Odstavecseseznamem"/>
        <w:numPr>
          <w:ilvl w:val="0"/>
          <w:numId w:val="58"/>
        </w:numPr>
        <w:autoSpaceDE w:val="0"/>
        <w:autoSpaceDN w:val="0"/>
        <w:adjustRightInd w:val="0"/>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Výstavba a modernizace dálnic, rychlostních silnic a silnic I. třídy mimo síť TEN-T s ohledem na zlepšení dostupnosti zejména (vnějších i vnitřních) periferních území; budování obchvatů sídel na silnicích I. třídy s nejvyššími intenzitami dopravy na základě multikriteriální analýzy.</w:t>
      </w:r>
    </w:p>
    <w:p w:rsidR="008206A4" w:rsidRPr="000B521F" w:rsidRDefault="00CF4BE7" w:rsidP="0059011D">
      <w:pPr>
        <w:pStyle w:val="Odstavecseseznamem"/>
        <w:numPr>
          <w:ilvl w:val="0"/>
          <w:numId w:val="58"/>
        </w:numPr>
        <w:autoSpaceDE w:val="0"/>
        <w:autoSpaceDN w:val="0"/>
        <w:adjustRightInd w:val="0"/>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Výstavba a modernizace vybraných (úseků) silnic II. třídy, výjimečně silnic III. třídy včetně budování obchvatů sídel (např. silnic II. a III. třídy spojujících odlehlá a dopravně znevýhodněná sídla s cílem zvýšit konektivitu k páteřní síti a možnosti dojíždění za prací u znevýhodněných skupin obyvatelstva – obyvatelé periferních území a rozvojových území s enormním přírůstkem obyvatelstva způsobeným suburbanizací</w:t>
      </w:r>
      <w:r w:rsidR="00535D8E">
        <w:rPr>
          <w:rFonts w:ascii="Times New Roman" w:hAnsi="Times New Roman" w:cs="Times New Roman"/>
          <w:sz w:val="24"/>
          <w:szCs w:val="24"/>
        </w:rPr>
        <w:t>.</w:t>
      </w:r>
    </w:p>
    <w:p w:rsidR="00CF4BE7" w:rsidRPr="000B521F" w:rsidRDefault="00CF4BE7" w:rsidP="0059011D">
      <w:pPr>
        <w:pStyle w:val="Odstavecseseznamem"/>
        <w:autoSpaceDE w:val="0"/>
        <w:autoSpaceDN w:val="0"/>
        <w:adjustRightInd w:val="0"/>
        <w:spacing w:after="0" w:line="240" w:lineRule="auto"/>
        <w:jc w:val="both"/>
        <w:rPr>
          <w:rFonts w:ascii="Times New Roman" w:hAnsi="Times New Roman" w:cs="Times New Roman"/>
          <w:sz w:val="24"/>
          <w:szCs w:val="24"/>
        </w:rPr>
      </w:pPr>
    </w:p>
    <w:p w:rsidR="00CF4BE7" w:rsidRPr="000B521F" w:rsidRDefault="00CF4BE7" w:rsidP="0059011D">
      <w:pPr>
        <w:spacing w:after="120" w:line="240" w:lineRule="auto"/>
        <w:jc w:val="both"/>
        <w:rPr>
          <w:rFonts w:ascii="Times New Roman" w:hAnsi="Times New Roman" w:cs="Times New Roman"/>
          <w:sz w:val="24"/>
          <w:szCs w:val="24"/>
          <w:highlight w:val="red"/>
        </w:rPr>
      </w:pPr>
    </w:p>
    <w:p w:rsidR="00CF4BE7" w:rsidRPr="000B521F" w:rsidRDefault="00CF4BE7" w:rsidP="0059011D">
      <w:pPr>
        <w:spacing w:after="120" w:line="240" w:lineRule="auto"/>
        <w:jc w:val="both"/>
        <w:rPr>
          <w:rFonts w:ascii="Times New Roman" w:hAnsi="Times New Roman" w:cs="Times New Roman"/>
          <w:b/>
          <w:i/>
          <w:sz w:val="24"/>
          <w:szCs w:val="24"/>
        </w:rPr>
      </w:pPr>
      <w:r w:rsidRPr="000B521F">
        <w:rPr>
          <w:rFonts w:ascii="Times New Roman" w:hAnsi="Times New Roman" w:cs="Times New Roman"/>
          <w:b/>
          <w:i/>
          <w:sz w:val="24"/>
          <w:szCs w:val="24"/>
        </w:rPr>
        <w:t>3. Multimodalita</w:t>
      </w:r>
    </w:p>
    <w:p w:rsidR="00CF4BE7" w:rsidRPr="000B521F" w:rsidRDefault="00CF4BE7"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V ČR nejsou dostatečně vytvářeny podmínky pro uplatnění multimodality, využívání optimálního druhu dopravy v kombinaci s nákladní dopravou. Území není dosud dostatečně pokryto veřejnými terminály multimodální dopravy doplněné veřejnými logistickými centry. </w:t>
      </w:r>
    </w:p>
    <w:p w:rsidR="00CF4BE7" w:rsidRPr="000B521F" w:rsidRDefault="00CF4BE7"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i/>
          <w:sz w:val="24"/>
          <w:szCs w:val="24"/>
        </w:rPr>
        <w:t>Potřeby rozvoje</w:t>
      </w:r>
      <w:r w:rsidRPr="000B521F">
        <w:rPr>
          <w:rFonts w:ascii="Times New Roman" w:hAnsi="Times New Roman" w:cs="Times New Roman"/>
          <w:sz w:val="24"/>
          <w:szCs w:val="24"/>
        </w:rPr>
        <w:t>:</w:t>
      </w:r>
    </w:p>
    <w:p w:rsidR="008206A4" w:rsidRPr="000B521F" w:rsidRDefault="00CF4BE7" w:rsidP="0059011D">
      <w:pPr>
        <w:pStyle w:val="Odstavecseseznamem"/>
        <w:numPr>
          <w:ilvl w:val="0"/>
          <w:numId w:val="59"/>
        </w:numPr>
        <w:autoSpaceDE w:val="0"/>
        <w:autoSpaceDN w:val="0"/>
        <w:adjustRightInd w:val="0"/>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Modernizace a výstavba terminálů multimodální dopravy sítě TEN-T – zejména napojení na dopravní infrastrukturu vždy železniční a silniční dopravy a dle místních podmínek rovněž vodní a letecké dopravy, výstavba a modernizace terminálů a jejich </w:t>
      </w:r>
      <w:r w:rsidRPr="000B521F">
        <w:rPr>
          <w:rFonts w:ascii="Times New Roman" w:hAnsi="Times New Roman" w:cs="Times New Roman"/>
          <w:sz w:val="24"/>
          <w:szCs w:val="24"/>
        </w:rPr>
        <w:lastRenderedPageBreak/>
        <w:t xml:space="preserve">vybavení překládacími mechanismy, zavádění ITS a aplikací družicového systému EGNOS a Galileo. </w:t>
      </w:r>
    </w:p>
    <w:p w:rsidR="008206A4" w:rsidRPr="000B521F" w:rsidRDefault="00CF4BE7" w:rsidP="0059011D">
      <w:pPr>
        <w:pStyle w:val="Odstavecseseznamem"/>
        <w:numPr>
          <w:ilvl w:val="0"/>
          <w:numId w:val="59"/>
        </w:numPr>
        <w:autoSpaceDE w:val="0"/>
        <w:autoSpaceDN w:val="0"/>
        <w:adjustRightInd w:val="0"/>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Modernizace a výstavba terminálů multimodální dopravy mimo síť TEN-T a železničních vleček</w:t>
      </w:r>
      <w:r w:rsidR="00DA05EC" w:rsidRPr="000B521F">
        <w:rPr>
          <w:rFonts w:ascii="Times New Roman" w:hAnsi="Times New Roman" w:cs="Times New Roman"/>
          <w:sz w:val="24"/>
          <w:szCs w:val="24"/>
        </w:rPr>
        <w:t xml:space="preserve"> a rozvoj dopravního parku vodní dopravy</w:t>
      </w:r>
      <w:r w:rsidRPr="000B521F">
        <w:rPr>
          <w:rFonts w:ascii="Times New Roman" w:hAnsi="Times New Roman" w:cs="Times New Roman"/>
          <w:sz w:val="24"/>
          <w:szCs w:val="24"/>
        </w:rPr>
        <w:t>.</w:t>
      </w:r>
    </w:p>
    <w:p w:rsidR="008206A4" w:rsidRPr="000B521F" w:rsidRDefault="00CF4BE7" w:rsidP="0059011D">
      <w:pPr>
        <w:pStyle w:val="Odstavecseseznamem"/>
        <w:numPr>
          <w:ilvl w:val="0"/>
          <w:numId w:val="59"/>
        </w:numPr>
        <w:spacing w:after="240" w:line="240" w:lineRule="auto"/>
        <w:jc w:val="both"/>
        <w:rPr>
          <w:rFonts w:ascii="Times New Roman" w:hAnsi="Times New Roman" w:cs="Times New Roman"/>
          <w:sz w:val="24"/>
          <w:szCs w:val="24"/>
        </w:rPr>
      </w:pPr>
      <w:r w:rsidRPr="000B521F">
        <w:rPr>
          <w:rFonts w:ascii="Times New Roman" w:hAnsi="Times New Roman" w:cs="Times New Roman"/>
          <w:sz w:val="24"/>
          <w:szCs w:val="24"/>
        </w:rPr>
        <w:t>Z hlediska územní dimenze by měl být kladen důraz na trimodální úsek silnice-železnice-voda Děčín – Ústí n/L – Lovosice – Mělník – Praha – Pardubice a bimodální silnice-železnice Plzeňsko, Brněnsko, Přerovsko, Ostravsko</w:t>
      </w:r>
      <w:r w:rsidR="006E6DEA" w:rsidRPr="000B521F">
        <w:rPr>
          <w:rFonts w:ascii="Times New Roman" w:hAnsi="Times New Roman" w:cs="Times New Roman"/>
          <w:sz w:val="24"/>
          <w:szCs w:val="24"/>
        </w:rPr>
        <w:t>, Českobudějovicko</w:t>
      </w:r>
      <w:r w:rsidRPr="000B521F">
        <w:rPr>
          <w:rFonts w:ascii="Times New Roman" w:hAnsi="Times New Roman" w:cs="Times New Roman"/>
          <w:sz w:val="24"/>
          <w:szCs w:val="24"/>
        </w:rPr>
        <w:t>.</w:t>
      </w:r>
    </w:p>
    <w:p w:rsidR="0015622A" w:rsidRPr="000B521F" w:rsidRDefault="0015622A" w:rsidP="0059011D">
      <w:pPr>
        <w:pStyle w:val="Odstavecseseznamem"/>
        <w:spacing w:after="240" w:line="240" w:lineRule="auto"/>
        <w:ind w:left="0"/>
        <w:jc w:val="both"/>
        <w:rPr>
          <w:rFonts w:ascii="Times New Roman" w:hAnsi="Times New Roman" w:cs="Times New Roman"/>
          <w:sz w:val="24"/>
          <w:szCs w:val="24"/>
        </w:rPr>
      </w:pPr>
    </w:p>
    <w:p w:rsidR="00CF4BE7" w:rsidRPr="000B521F" w:rsidRDefault="00CF4BE7" w:rsidP="0059011D">
      <w:pPr>
        <w:spacing w:after="120" w:line="240" w:lineRule="auto"/>
        <w:jc w:val="both"/>
        <w:rPr>
          <w:rFonts w:ascii="Times New Roman" w:hAnsi="Times New Roman" w:cs="Times New Roman"/>
          <w:b/>
          <w:i/>
          <w:sz w:val="24"/>
          <w:szCs w:val="24"/>
        </w:rPr>
      </w:pPr>
      <w:r w:rsidRPr="000B521F">
        <w:rPr>
          <w:rFonts w:ascii="Times New Roman" w:hAnsi="Times New Roman" w:cs="Times New Roman"/>
          <w:b/>
          <w:i/>
          <w:sz w:val="24"/>
          <w:szCs w:val="24"/>
        </w:rPr>
        <w:t>4. Interoperabilita české železnice</w:t>
      </w:r>
    </w:p>
    <w:p w:rsidR="00CF4BE7" w:rsidRPr="000B521F" w:rsidRDefault="00CF4BE7"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Nízká úroveň interoperability české železnice, tedy technické a provozní propojenosti systémů železniční sítě České republiky se sousedními železničními sítěmi, jakož i mezi jednotlivými subjekty zapojenými do železniční dopravy.</w:t>
      </w:r>
    </w:p>
    <w:p w:rsidR="00CF4BE7" w:rsidRPr="000B521F" w:rsidRDefault="00CF4BE7"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i/>
          <w:sz w:val="24"/>
          <w:szCs w:val="24"/>
        </w:rPr>
        <w:t>Potřeba rozvoje</w:t>
      </w:r>
      <w:r w:rsidRPr="000B521F">
        <w:rPr>
          <w:rFonts w:ascii="Times New Roman" w:hAnsi="Times New Roman" w:cs="Times New Roman"/>
          <w:sz w:val="24"/>
          <w:szCs w:val="24"/>
        </w:rPr>
        <w:t>:</w:t>
      </w:r>
    </w:p>
    <w:p w:rsidR="008206A4" w:rsidRPr="000B521F" w:rsidRDefault="00CF4BE7" w:rsidP="0059011D">
      <w:pPr>
        <w:pStyle w:val="Odstavecseseznamem"/>
        <w:numPr>
          <w:ilvl w:val="0"/>
          <w:numId w:val="60"/>
        </w:numPr>
        <w:autoSpaceDE w:val="0"/>
        <w:autoSpaceDN w:val="0"/>
        <w:adjustRightInd w:val="0"/>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Zajištění interoperability a zavádění nových technologií (ERMTS, ITS) v rámci železničního systému přednostně v rámci čtyř tranzitních železničních koridorů, dále pak na zbývajících koridorech TEN-T a koridorech vymezených dohodami AGC a AGTC včetně podpory modernizace a rozvoje parku intermodálních přepravních jednotek.</w:t>
      </w:r>
    </w:p>
    <w:p w:rsidR="0015622A" w:rsidRPr="000B521F" w:rsidRDefault="0015622A" w:rsidP="0059011D">
      <w:pPr>
        <w:pStyle w:val="Odstavecseseznamem"/>
        <w:autoSpaceDE w:val="0"/>
        <w:autoSpaceDN w:val="0"/>
        <w:adjustRightInd w:val="0"/>
        <w:spacing w:after="0" w:line="240" w:lineRule="auto"/>
        <w:ind w:left="0"/>
        <w:jc w:val="both"/>
        <w:rPr>
          <w:rFonts w:ascii="Times New Roman" w:hAnsi="Times New Roman" w:cs="Times New Roman"/>
          <w:sz w:val="24"/>
          <w:szCs w:val="24"/>
        </w:rPr>
      </w:pPr>
    </w:p>
    <w:p w:rsidR="00CF4BE7" w:rsidRPr="000B521F" w:rsidRDefault="00CF4BE7" w:rsidP="0059011D">
      <w:pPr>
        <w:autoSpaceDE w:val="0"/>
        <w:autoSpaceDN w:val="0"/>
        <w:adjustRightInd w:val="0"/>
        <w:spacing w:after="120" w:line="240" w:lineRule="auto"/>
        <w:jc w:val="both"/>
        <w:rPr>
          <w:rFonts w:ascii="Times New Roman" w:hAnsi="Times New Roman" w:cs="Times New Roman"/>
          <w:sz w:val="24"/>
          <w:szCs w:val="24"/>
        </w:rPr>
      </w:pPr>
    </w:p>
    <w:p w:rsidR="00CF4BE7" w:rsidRPr="000B521F" w:rsidRDefault="00CF4BE7" w:rsidP="0059011D">
      <w:pPr>
        <w:spacing w:after="120" w:line="240" w:lineRule="auto"/>
        <w:rPr>
          <w:rFonts w:ascii="Times New Roman" w:hAnsi="Times New Roman" w:cs="Times New Roman"/>
          <w:b/>
          <w:i/>
          <w:sz w:val="24"/>
          <w:szCs w:val="24"/>
        </w:rPr>
      </w:pPr>
      <w:r w:rsidRPr="000B521F">
        <w:rPr>
          <w:rFonts w:ascii="Times New Roman" w:hAnsi="Times New Roman" w:cs="Times New Roman"/>
          <w:b/>
          <w:i/>
          <w:sz w:val="24"/>
          <w:szCs w:val="24"/>
        </w:rPr>
        <w:t>5. Nedostatečné infrastrukturní podmínky pro rozvoj měst a aglomerací</w:t>
      </w:r>
    </w:p>
    <w:p w:rsidR="00CF4BE7" w:rsidRPr="000B521F" w:rsidRDefault="00CF4BE7"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Pro rozvoj měst, aglomerací, ale i krajů (regionů) jsou v některých částech republiky problémem nedostatečně rozvinuté integrované dopravní systémy včetně vozového parku a tarifní provázanosti celého systému. Zaostává rozvoj a provázanost inteligentních dopravních systémů (ITS) v silničním provozu ve městech a aglomeracích a využití alternativních energií v dopravě včetně možného zapojení dopravy do sítí smartgrids. Není využit značný potenciál nemotorové (cyklistické) dopravy v rámci měst. Nedostatky jsou patrné i v systémech pro dopravu v klidu (P+R, K+R, B+R).</w:t>
      </w:r>
      <w:r w:rsidR="00396F4A">
        <w:rPr>
          <w:rFonts w:ascii="Times New Roman" w:hAnsi="Times New Roman" w:cs="Times New Roman"/>
          <w:sz w:val="24"/>
          <w:szCs w:val="24"/>
        </w:rPr>
        <w:t xml:space="preserve"> </w:t>
      </w:r>
      <w:r w:rsidR="00EF48EB">
        <w:rPr>
          <w:rFonts w:ascii="Times New Roman" w:hAnsi="Times New Roman" w:cs="Times New Roman"/>
          <w:sz w:val="24"/>
          <w:szCs w:val="24"/>
        </w:rPr>
        <w:t>D</w:t>
      </w:r>
      <w:r w:rsidR="00396F4A">
        <w:rPr>
          <w:rFonts w:ascii="Times New Roman" w:hAnsi="Times New Roman" w:cs="Times New Roman"/>
          <w:sz w:val="24"/>
          <w:szCs w:val="24"/>
        </w:rPr>
        <w:t>ůraz bude kladen na projekty realizované v rámci integrovaných strategií.</w:t>
      </w:r>
    </w:p>
    <w:p w:rsidR="00CF4BE7" w:rsidRPr="000B521F" w:rsidRDefault="00CF4BE7"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Hlavní město Praha jako hlavní centrum ČR a zároveň jádro nejvýznamnější aglomerace v ČR, která vykazuje převážnou část přírůstku obyvatelstva ČR, čelí významné dopravní zátěži. </w:t>
      </w:r>
    </w:p>
    <w:p w:rsidR="00CF4BE7" w:rsidRPr="000B521F" w:rsidRDefault="00CF4BE7"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i/>
          <w:sz w:val="24"/>
          <w:szCs w:val="24"/>
        </w:rPr>
        <w:t>Potřeby rozvoje</w:t>
      </w:r>
      <w:r w:rsidRPr="000B521F">
        <w:rPr>
          <w:rFonts w:ascii="Times New Roman" w:hAnsi="Times New Roman" w:cs="Times New Roman"/>
          <w:sz w:val="24"/>
          <w:szCs w:val="24"/>
        </w:rPr>
        <w:t>:</w:t>
      </w:r>
    </w:p>
    <w:p w:rsidR="008206A4" w:rsidRPr="000B521F" w:rsidRDefault="00CF4BE7" w:rsidP="0059011D">
      <w:pPr>
        <w:pStyle w:val="Odstavecseseznamem"/>
        <w:numPr>
          <w:ilvl w:val="0"/>
          <w:numId w:val="61"/>
        </w:numPr>
        <w:autoSpaceDE w:val="0"/>
        <w:autoSpaceDN w:val="0"/>
        <w:adjustRightInd w:val="0"/>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Výstavba a modernizace infrastruktury drážních systémů městské a příměstské dopravy (metro, tramvajové systémy, tram-train systémy, trolejbusové systémy).</w:t>
      </w:r>
    </w:p>
    <w:p w:rsidR="008206A4" w:rsidRPr="000B521F" w:rsidRDefault="00CF4BE7" w:rsidP="0059011D">
      <w:pPr>
        <w:pStyle w:val="Odstavecseseznamem"/>
        <w:numPr>
          <w:ilvl w:val="0"/>
          <w:numId w:val="61"/>
        </w:numPr>
        <w:autoSpaceDE w:val="0"/>
        <w:autoSpaceDN w:val="0"/>
        <w:adjustRightInd w:val="0"/>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Rozvoj systémů pro city-logistiku.</w:t>
      </w:r>
    </w:p>
    <w:p w:rsidR="008206A4" w:rsidRPr="000B521F" w:rsidRDefault="00CF4BE7" w:rsidP="0059011D">
      <w:pPr>
        <w:pStyle w:val="Odstavecseseznamem"/>
        <w:numPr>
          <w:ilvl w:val="0"/>
          <w:numId w:val="61"/>
        </w:numPr>
        <w:autoSpaceDE w:val="0"/>
        <w:autoSpaceDN w:val="0"/>
        <w:adjustRightInd w:val="0"/>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Výstavba a modernizace intermodálních terminálů osobní dopravy (propojovací uzly pro železniční, autobusovou, městskou, individuální a nemotorovou dopravu včetně P+R, K+R a B+R), zavádění ITS a nových technologií.</w:t>
      </w:r>
    </w:p>
    <w:p w:rsidR="008206A4" w:rsidRPr="000B521F" w:rsidRDefault="00CF4BE7" w:rsidP="0059011D">
      <w:pPr>
        <w:pStyle w:val="Odstavecseseznamem"/>
        <w:numPr>
          <w:ilvl w:val="0"/>
          <w:numId w:val="61"/>
        </w:numPr>
        <w:autoSpaceDE w:val="0"/>
        <w:autoSpaceDN w:val="0"/>
        <w:adjustRightInd w:val="0"/>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Rozvoj systémů řízení městského silničního provozu.</w:t>
      </w:r>
    </w:p>
    <w:p w:rsidR="008206A4" w:rsidRPr="000B521F" w:rsidRDefault="00CF4BE7" w:rsidP="0059011D">
      <w:pPr>
        <w:pStyle w:val="Odstavecseseznamem"/>
        <w:numPr>
          <w:ilvl w:val="0"/>
          <w:numId w:val="61"/>
        </w:numPr>
        <w:autoSpaceDE w:val="0"/>
        <w:autoSpaceDN w:val="0"/>
        <w:adjustRightInd w:val="0"/>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Podpora modernizace vozového parku veřejné hromadné dopravy s důrazem na snížení produkce emisí a snížení energetické náročnosti.</w:t>
      </w:r>
    </w:p>
    <w:p w:rsidR="008206A4" w:rsidRPr="000B521F" w:rsidRDefault="00CF4BE7" w:rsidP="0059011D">
      <w:pPr>
        <w:pStyle w:val="Odstavecseseznamem"/>
        <w:numPr>
          <w:ilvl w:val="0"/>
          <w:numId w:val="61"/>
        </w:numPr>
        <w:autoSpaceDE w:val="0"/>
        <w:autoSpaceDN w:val="0"/>
        <w:adjustRightInd w:val="0"/>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Podpora rozvoje sítě veřejných napájecích stanic alternativních energií na silniční síti.</w:t>
      </w:r>
    </w:p>
    <w:p w:rsidR="008206A4" w:rsidRPr="000B521F" w:rsidRDefault="00CF4BE7" w:rsidP="0059011D">
      <w:pPr>
        <w:pStyle w:val="Odstavecseseznamem"/>
        <w:numPr>
          <w:ilvl w:val="0"/>
          <w:numId w:val="61"/>
        </w:numPr>
        <w:autoSpaceDE w:val="0"/>
        <w:autoSpaceDN w:val="0"/>
        <w:adjustRightInd w:val="0"/>
        <w:spacing w:after="0" w:line="240" w:lineRule="auto"/>
        <w:rPr>
          <w:rFonts w:ascii="Times New Roman" w:hAnsi="Times New Roman" w:cs="Times New Roman"/>
          <w:sz w:val="24"/>
          <w:szCs w:val="24"/>
        </w:rPr>
      </w:pPr>
      <w:r w:rsidRPr="000B521F">
        <w:rPr>
          <w:rFonts w:ascii="Times New Roman" w:hAnsi="Times New Roman" w:cs="Times New Roman"/>
          <w:sz w:val="24"/>
          <w:szCs w:val="24"/>
        </w:rPr>
        <w:t xml:space="preserve">Zavedení infrastruktury pro městskou nemotorovou (zejména cyklistickou) dopravu. </w:t>
      </w:r>
    </w:p>
    <w:p w:rsidR="008206A4" w:rsidRPr="000B521F" w:rsidRDefault="00CF4BE7" w:rsidP="0059011D">
      <w:pPr>
        <w:pStyle w:val="Odstavecseseznamem"/>
        <w:numPr>
          <w:ilvl w:val="0"/>
          <w:numId w:val="61"/>
        </w:numPr>
        <w:autoSpaceDE w:val="0"/>
        <w:autoSpaceDN w:val="0"/>
        <w:adjustRightInd w:val="0"/>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Z územního hlediska budou projekty zaměřeny dle typologie území obsažené ve Strategii regionálního rozvoje ČR 2014</w:t>
      </w:r>
      <w:r w:rsidR="00264AE0">
        <w:rPr>
          <w:rFonts w:ascii="Times New Roman" w:hAnsi="Times New Roman" w:cs="Times New Roman"/>
          <w:color w:val="000000"/>
          <w:sz w:val="24"/>
          <w:szCs w:val="24"/>
        </w:rPr>
        <w:t>–</w:t>
      </w:r>
      <w:r w:rsidRPr="000B521F">
        <w:rPr>
          <w:rFonts w:ascii="Times New Roman" w:hAnsi="Times New Roman" w:cs="Times New Roman"/>
          <w:sz w:val="24"/>
          <w:szCs w:val="24"/>
        </w:rPr>
        <w:t>2020.</w:t>
      </w:r>
    </w:p>
    <w:p w:rsidR="00CF4BE7" w:rsidRPr="000B521F" w:rsidRDefault="00CF4BE7" w:rsidP="0059011D">
      <w:pPr>
        <w:autoSpaceDE w:val="0"/>
        <w:autoSpaceDN w:val="0"/>
        <w:adjustRightInd w:val="0"/>
        <w:spacing w:after="120" w:line="240" w:lineRule="auto"/>
        <w:jc w:val="both"/>
        <w:rPr>
          <w:rFonts w:ascii="Times New Roman" w:hAnsi="Times New Roman" w:cs="Times New Roman"/>
          <w:sz w:val="24"/>
          <w:szCs w:val="24"/>
        </w:rPr>
      </w:pPr>
    </w:p>
    <w:p w:rsidR="00CF4BE7" w:rsidRPr="000B521F" w:rsidRDefault="00CF4BE7" w:rsidP="0059011D">
      <w:pPr>
        <w:spacing w:after="120" w:line="240" w:lineRule="auto"/>
        <w:rPr>
          <w:rFonts w:ascii="Times New Roman" w:hAnsi="Times New Roman" w:cs="Times New Roman"/>
          <w:b/>
          <w:i/>
          <w:sz w:val="24"/>
          <w:szCs w:val="24"/>
        </w:rPr>
      </w:pPr>
      <w:r w:rsidRPr="000B521F">
        <w:rPr>
          <w:rFonts w:ascii="Times New Roman" w:hAnsi="Times New Roman" w:cs="Times New Roman"/>
          <w:b/>
          <w:i/>
          <w:sz w:val="24"/>
          <w:szCs w:val="24"/>
        </w:rPr>
        <w:lastRenderedPageBreak/>
        <w:t>6. Nedobudovaná síť cyklokoridorů nejvyšší hierarchické úrovně</w:t>
      </w:r>
    </w:p>
    <w:p w:rsidR="00CF4BE7" w:rsidRPr="000B521F" w:rsidRDefault="00CF4BE7"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i/>
          <w:sz w:val="24"/>
          <w:szCs w:val="24"/>
        </w:rPr>
        <w:t>Potřeby rozvoje</w:t>
      </w:r>
      <w:r w:rsidRPr="000B521F">
        <w:rPr>
          <w:rFonts w:ascii="Times New Roman" w:hAnsi="Times New Roman" w:cs="Times New Roman"/>
          <w:sz w:val="24"/>
          <w:szCs w:val="24"/>
        </w:rPr>
        <w:t>:</w:t>
      </w:r>
    </w:p>
    <w:p w:rsidR="008206A4" w:rsidRPr="000B521F" w:rsidRDefault="00CF4BE7" w:rsidP="0059011D">
      <w:pPr>
        <w:pStyle w:val="Odstavecseseznamem"/>
        <w:numPr>
          <w:ilvl w:val="0"/>
          <w:numId w:val="62"/>
        </w:numPr>
        <w:autoSpaceDE w:val="0"/>
        <w:autoSpaceDN w:val="0"/>
        <w:adjustRightInd w:val="0"/>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Rozvoj a výstavba páteřní sítě mezinárodních cyklokoridorů Euro Velo.</w:t>
      </w:r>
    </w:p>
    <w:p w:rsidR="00AD4618" w:rsidRPr="000B521F" w:rsidRDefault="00AD4618" w:rsidP="0059011D">
      <w:pPr>
        <w:spacing w:after="120" w:line="240" w:lineRule="auto"/>
        <w:jc w:val="both"/>
        <w:rPr>
          <w:rFonts w:ascii="Times New Roman" w:hAnsi="Times New Roman" w:cs="Times New Roman"/>
          <w:b/>
          <w:sz w:val="24"/>
          <w:szCs w:val="24"/>
        </w:rPr>
      </w:pPr>
    </w:p>
    <w:p w:rsidR="00AD4618" w:rsidRPr="000B521F" w:rsidRDefault="00AD4618" w:rsidP="0059011D">
      <w:pPr>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Specifické potřeby a výzvy městského a venkovského prostoru a přeshraničních regionů:</w:t>
      </w:r>
    </w:p>
    <w:p w:rsidR="008206A4" w:rsidRPr="000B521F" w:rsidRDefault="008D25FA" w:rsidP="005B6699">
      <w:pPr>
        <w:pStyle w:val="Odstavecseseznamem"/>
        <w:numPr>
          <w:ilvl w:val="0"/>
          <w:numId w:val="55"/>
        </w:numPr>
        <w:spacing w:after="12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P</w:t>
      </w:r>
      <w:r w:rsidR="00AD4618" w:rsidRPr="000B521F">
        <w:rPr>
          <w:rFonts w:ascii="Times New Roman" w:hAnsi="Times New Roman" w:cs="Times New Roman"/>
          <w:sz w:val="24"/>
          <w:szCs w:val="24"/>
        </w:rPr>
        <w:t>ro města a jejich zázemí urychlit rozvoj integrovaných dopravních systémů včetně městské hromadné dopravy</w:t>
      </w:r>
      <w:r>
        <w:rPr>
          <w:rFonts w:ascii="Times New Roman" w:hAnsi="Times New Roman" w:cs="Times New Roman"/>
          <w:sz w:val="24"/>
          <w:szCs w:val="24"/>
        </w:rPr>
        <w:t>.</w:t>
      </w:r>
    </w:p>
    <w:p w:rsidR="008206A4" w:rsidRPr="000B521F" w:rsidRDefault="008D25FA" w:rsidP="005B6699">
      <w:pPr>
        <w:pStyle w:val="Odstavecseseznamem"/>
        <w:numPr>
          <w:ilvl w:val="0"/>
          <w:numId w:val="55"/>
        </w:numPr>
        <w:spacing w:after="12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V</w:t>
      </w:r>
      <w:r w:rsidR="00AD4618" w:rsidRPr="000B521F">
        <w:rPr>
          <w:rFonts w:ascii="Times New Roman" w:hAnsi="Times New Roman" w:cs="Times New Roman"/>
          <w:sz w:val="24"/>
          <w:szCs w:val="24"/>
        </w:rPr>
        <w:t> periferních oblastech zajistit základní dopravní obslužnost</w:t>
      </w:r>
      <w:r>
        <w:rPr>
          <w:rFonts w:ascii="Times New Roman" w:hAnsi="Times New Roman" w:cs="Times New Roman"/>
          <w:sz w:val="24"/>
          <w:szCs w:val="24"/>
        </w:rPr>
        <w:t>.</w:t>
      </w:r>
    </w:p>
    <w:p w:rsidR="008206A4" w:rsidRPr="000B521F" w:rsidRDefault="008D25FA" w:rsidP="005B6699">
      <w:pPr>
        <w:pStyle w:val="Odstavecseseznamem"/>
        <w:numPr>
          <w:ilvl w:val="0"/>
          <w:numId w:val="55"/>
        </w:numPr>
        <w:spacing w:after="12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E</w:t>
      </w:r>
      <w:r w:rsidR="00D9411C" w:rsidRPr="000B521F">
        <w:rPr>
          <w:rFonts w:ascii="Times New Roman" w:hAnsi="Times New Roman" w:cs="Times New Roman"/>
          <w:sz w:val="24"/>
          <w:szCs w:val="24"/>
        </w:rPr>
        <w:t>xistuje zřetelná potřeba zvýšení propojenosti příhraniční oblasti ČR, které trpí obecně podinvestovaností infrastruktury - předpoklad zvýšení možnosti dojížďky za prací přes hranici a tím zvýšení flexibility přeshraničního trhu práce, dovoz a vývoz zboží a služeb, přeshraniční spolupráce a cestovní ruch a další</w:t>
      </w:r>
      <w:r>
        <w:rPr>
          <w:rFonts w:ascii="Times New Roman" w:hAnsi="Times New Roman" w:cs="Times New Roman"/>
          <w:sz w:val="24"/>
          <w:szCs w:val="24"/>
        </w:rPr>
        <w:t>.</w:t>
      </w:r>
    </w:p>
    <w:p w:rsidR="00CF4BE7" w:rsidRPr="000B521F" w:rsidRDefault="00CF4BE7" w:rsidP="0059011D">
      <w:pPr>
        <w:pStyle w:val="Tabulka"/>
        <w:spacing w:before="120" w:after="60"/>
        <w:rPr>
          <w:szCs w:val="20"/>
        </w:rPr>
      </w:pPr>
      <w:r w:rsidRPr="000B521F">
        <w:rPr>
          <w:szCs w:val="20"/>
        </w:rPr>
        <w:t>Vazba na dokumenty EU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087"/>
      </w:tblGrid>
      <w:tr w:rsidR="00CF4BE7" w:rsidRPr="000B521F" w:rsidTr="00761093">
        <w:trPr>
          <w:trHeight w:val="765"/>
        </w:trPr>
        <w:tc>
          <w:tcPr>
            <w:tcW w:w="1985"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CF4BE7" w:rsidRPr="000B521F" w:rsidRDefault="00CF4BE7"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Strategie Evropa 2020</w:t>
            </w:r>
          </w:p>
        </w:tc>
        <w:tc>
          <w:tcPr>
            <w:tcW w:w="70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4BE7" w:rsidRPr="000B521F" w:rsidRDefault="00CF4BE7" w:rsidP="0059011D">
            <w:pPr>
              <w:pStyle w:val="DAVA"/>
              <w:spacing w:before="60" w:after="60"/>
              <w:rPr>
                <w:rFonts w:ascii="Times New Roman" w:hAnsi="Times New Roman"/>
                <w:sz w:val="20"/>
                <w:szCs w:val="20"/>
              </w:rPr>
            </w:pPr>
            <w:r w:rsidRPr="000B521F">
              <w:rPr>
                <w:rFonts w:ascii="Times New Roman" w:hAnsi="Times New Roman"/>
                <w:sz w:val="20"/>
                <w:szCs w:val="20"/>
              </w:rPr>
              <w:t>Oblast dopravní infrastruktury není přímo navázán na kvantifikované cíle Strategie Evropa 2020.</w:t>
            </w:r>
          </w:p>
          <w:p w:rsidR="00CF4BE7" w:rsidRPr="000B521F" w:rsidRDefault="00CF4BE7" w:rsidP="0059011D">
            <w:pPr>
              <w:pStyle w:val="DAVA"/>
              <w:spacing w:before="60" w:after="60"/>
              <w:rPr>
                <w:rFonts w:ascii="Times New Roman" w:hAnsi="Times New Roman"/>
                <w:sz w:val="20"/>
                <w:szCs w:val="20"/>
              </w:rPr>
            </w:pPr>
            <w:r w:rsidRPr="000B521F">
              <w:rPr>
                <w:rFonts w:ascii="Times New Roman" w:hAnsi="Times New Roman"/>
                <w:sz w:val="20"/>
                <w:szCs w:val="20"/>
              </w:rPr>
              <w:t>Dílčí vazby: na energetické cíle 20-20-20 (Snížit emise skleníkových plynů oproti úrovním roku 1990 nejméně o 20% nebo, pokud budou podmínky příznivé, o 30%; zvýšit podíl obnovitelných zdrojů energie v naší konečné spotřebě energie na 20% a zvýšit energetickou účinnost o 20%).</w:t>
            </w:r>
          </w:p>
          <w:p w:rsidR="00CF4BE7" w:rsidRPr="000B521F" w:rsidRDefault="00CF4BE7" w:rsidP="0059011D">
            <w:pPr>
              <w:pStyle w:val="DAVA"/>
              <w:spacing w:before="60" w:after="60"/>
              <w:rPr>
                <w:rFonts w:ascii="Times New Roman" w:hAnsi="Times New Roman"/>
                <w:sz w:val="20"/>
                <w:szCs w:val="20"/>
              </w:rPr>
            </w:pPr>
            <w:r w:rsidRPr="000B521F">
              <w:rPr>
                <w:rFonts w:ascii="Times New Roman" w:hAnsi="Times New Roman"/>
                <w:sz w:val="20"/>
                <w:szCs w:val="20"/>
              </w:rPr>
              <w:t xml:space="preserve">Iniciativa „Evropa méně náročná na zdroje“ a „Průmyslová politika pro éru globalizace“. </w:t>
            </w:r>
          </w:p>
          <w:p w:rsidR="00CF4BE7" w:rsidRPr="000B521F" w:rsidRDefault="00CF4BE7" w:rsidP="0059011D">
            <w:pPr>
              <w:pStyle w:val="DAVA"/>
              <w:spacing w:before="60" w:after="60"/>
              <w:rPr>
                <w:rFonts w:ascii="Times New Roman" w:hAnsi="Times New Roman"/>
                <w:sz w:val="20"/>
                <w:szCs w:val="20"/>
              </w:rPr>
            </w:pPr>
            <w:r w:rsidRPr="000B521F">
              <w:rPr>
                <w:rFonts w:ascii="Times New Roman" w:hAnsi="Times New Roman"/>
                <w:sz w:val="20"/>
                <w:szCs w:val="20"/>
              </w:rPr>
              <w:t>Integrovaný hlavní směr 5 „Zefektivnit využívání zdrojů a snížit emise skleníkových plynů“.</w:t>
            </w:r>
          </w:p>
        </w:tc>
      </w:tr>
      <w:tr w:rsidR="00CF4BE7" w:rsidRPr="000B521F" w:rsidTr="00761093">
        <w:trPr>
          <w:trHeight w:val="407"/>
        </w:trPr>
        <w:tc>
          <w:tcPr>
            <w:tcW w:w="1985"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CF4BE7" w:rsidRPr="000B521F" w:rsidRDefault="00CF4BE7"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Společný strategický rámec</w:t>
            </w:r>
          </w:p>
        </w:tc>
        <w:tc>
          <w:tcPr>
            <w:tcW w:w="70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4BE7" w:rsidRPr="000B521F" w:rsidRDefault="00CF4BE7" w:rsidP="0059011D">
            <w:pPr>
              <w:pStyle w:val="DAVA"/>
              <w:spacing w:before="60" w:after="60"/>
              <w:rPr>
                <w:rFonts w:ascii="Times New Roman" w:hAnsi="Times New Roman"/>
                <w:sz w:val="20"/>
                <w:szCs w:val="20"/>
              </w:rPr>
            </w:pPr>
            <w:r w:rsidRPr="000B521F">
              <w:rPr>
                <w:rFonts w:ascii="Times New Roman" w:hAnsi="Times New Roman"/>
                <w:sz w:val="20"/>
                <w:szCs w:val="20"/>
              </w:rPr>
              <w:t>Příloha 1: 4.8 Vazba na plánování investic založeného na skutečných a plánovaných dopravních potřebách a identifikaci chybějících spojení a úzkých míst při zohlednění potřeb rozvoje přeshraničních spojení v Unii a propojení mezi regiony uvnitř členského státu. Investice do regionální konektivity na trans-evropskou dopravní síť (TEN-T) a na páteřní síť TEN-T zajistí, že městské i venkovské oblasti budou mít prospěch z příležitostí, vytvořených hlavními sítěmi. Prioritizace investic bude koordinována s plánováním TEN-T a s implementačními plány koridorů páteřní sítě. Řešeny udržitelné způsoby dopravy a udržitelná městská mobilita.</w:t>
            </w:r>
          </w:p>
        </w:tc>
      </w:tr>
      <w:tr w:rsidR="00CF4BE7" w:rsidRPr="000B521F" w:rsidTr="00761093">
        <w:trPr>
          <w:trHeight w:val="407"/>
        </w:trPr>
        <w:tc>
          <w:tcPr>
            <w:tcW w:w="1985"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CF4BE7" w:rsidRPr="000B521F" w:rsidRDefault="00CF4BE7"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Tematické cíle</w:t>
            </w:r>
          </w:p>
        </w:tc>
        <w:tc>
          <w:tcPr>
            <w:tcW w:w="70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4BE7" w:rsidRPr="000B521F" w:rsidRDefault="00CF4BE7" w:rsidP="0059011D">
            <w:pPr>
              <w:pStyle w:val="DAVA"/>
              <w:spacing w:before="60" w:after="60"/>
              <w:rPr>
                <w:rFonts w:ascii="Times New Roman" w:hAnsi="Times New Roman"/>
                <w:sz w:val="20"/>
                <w:szCs w:val="20"/>
              </w:rPr>
            </w:pPr>
            <w:r w:rsidRPr="000B521F">
              <w:rPr>
                <w:rFonts w:ascii="Times New Roman" w:hAnsi="Times New Roman"/>
                <w:sz w:val="20"/>
                <w:szCs w:val="20"/>
              </w:rPr>
              <w:t>7. Podpora udržitelné dopravy a odstraňování překážek v klíčových síťových infrastrukturách</w:t>
            </w:r>
            <w:r w:rsidR="008D25FA">
              <w:rPr>
                <w:rFonts w:ascii="Times New Roman" w:hAnsi="Times New Roman"/>
                <w:sz w:val="20"/>
                <w:szCs w:val="20"/>
              </w:rPr>
              <w:t>.</w:t>
            </w:r>
          </w:p>
          <w:p w:rsidR="00CF4BE7" w:rsidRPr="000B521F" w:rsidRDefault="00CF4BE7" w:rsidP="0059011D">
            <w:pPr>
              <w:pStyle w:val="DAVA"/>
              <w:spacing w:before="60" w:after="60"/>
              <w:rPr>
                <w:rFonts w:ascii="Times New Roman" w:hAnsi="Times New Roman"/>
                <w:sz w:val="20"/>
                <w:szCs w:val="20"/>
              </w:rPr>
            </w:pPr>
            <w:r w:rsidRPr="000B521F">
              <w:rPr>
                <w:rFonts w:ascii="Times New Roman" w:hAnsi="Times New Roman"/>
                <w:sz w:val="20"/>
                <w:szCs w:val="20"/>
              </w:rPr>
              <w:t>4. Podpora přechodu na nízkouhlíkové hospodářství ve všech odvětvích</w:t>
            </w:r>
            <w:r w:rsidR="008D25FA">
              <w:rPr>
                <w:rFonts w:ascii="Times New Roman" w:hAnsi="Times New Roman"/>
                <w:sz w:val="20"/>
                <w:szCs w:val="20"/>
              </w:rPr>
              <w:t>.</w:t>
            </w:r>
          </w:p>
        </w:tc>
      </w:tr>
      <w:tr w:rsidR="00CF4BE7" w:rsidRPr="000B521F" w:rsidTr="00761093">
        <w:tc>
          <w:tcPr>
            <w:tcW w:w="1985"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CF4BE7" w:rsidRPr="000B521F" w:rsidRDefault="00CF4BE7"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Specifická doporučení Rady</w:t>
            </w:r>
          </w:p>
        </w:tc>
        <w:tc>
          <w:tcPr>
            <w:tcW w:w="70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4BE7" w:rsidRPr="000B521F" w:rsidRDefault="00693DB6" w:rsidP="0059011D">
            <w:pPr>
              <w:pStyle w:val="DAVA"/>
              <w:spacing w:before="60" w:after="60"/>
              <w:rPr>
                <w:rFonts w:ascii="Times New Roman" w:hAnsi="Times New Roman"/>
                <w:sz w:val="20"/>
                <w:szCs w:val="20"/>
              </w:rPr>
            </w:pPr>
            <w:r w:rsidRPr="000B521F">
              <w:rPr>
                <w:rFonts w:ascii="Times New Roman" w:hAnsi="Times New Roman"/>
                <w:sz w:val="20"/>
                <w:szCs w:val="20"/>
              </w:rPr>
              <w:t>7.“Snížení počtu regulovaných profesí a snížení energetické náročnosti”</w:t>
            </w:r>
            <w:r w:rsidR="008D25FA">
              <w:rPr>
                <w:rFonts w:ascii="Times New Roman" w:hAnsi="Times New Roman"/>
                <w:sz w:val="20"/>
                <w:szCs w:val="20"/>
              </w:rPr>
              <w:t>.</w:t>
            </w:r>
          </w:p>
        </w:tc>
      </w:tr>
    </w:tbl>
    <w:p w:rsidR="00CF4BE7" w:rsidRPr="000B521F" w:rsidRDefault="00CF4BE7" w:rsidP="0059011D">
      <w:pPr>
        <w:pStyle w:val="Tabulka"/>
        <w:spacing w:before="120" w:after="60"/>
        <w:rPr>
          <w:szCs w:val="20"/>
        </w:rPr>
      </w:pPr>
      <w:r w:rsidRPr="000B521F">
        <w:rPr>
          <w:szCs w:val="20"/>
        </w:rPr>
        <w:t xml:space="preserve"> Vazba na dokumenty ČR</w:t>
      </w:r>
    </w:p>
    <w:tbl>
      <w:tblPr>
        <w:tblW w:w="90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6"/>
        <w:gridCol w:w="7089"/>
      </w:tblGrid>
      <w:tr w:rsidR="00CF4BE7" w:rsidRPr="000B521F" w:rsidTr="00761093">
        <w:trPr>
          <w:trHeight w:val="395"/>
        </w:trPr>
        <w:tc>
          <w:tcPr>
            <w:tcW w:w="1985"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CF4BE7" w:rsidRPr="000B521F" w:rsidRDefault="00CF4BE7"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Národní program reforem</w:t>
            </w:r>
          </w:p>
        </w:tc>
        <w:tc>
          <w:tcPr>
            <w:tcW w:w="70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4BE7" w:rsidRPr="000B521F" w:rsidRDefault="00CF4BE7" w:rsidP="0059011D">
            <w:pPr>
              <w:pStyle w:val="DAVA"/>
              <w:spacing w:before="60" w:after="60"/>
              <w:rPr>
                <w:rFonts w:ascii="Times New Roman" w:hAnsi="Times New Roman"/>
                <w:sz w:val="20"/>
                <w:szCs w:val="20"/>
              </w:rPr>
            </w:pPr>
            <w:r w:rsidRPr="000B521F">
              <w:rPr>
                <w:rFonts w:ascii="Times New Roman" w:hAnsi="Times New Roman"/>
                <w:sz w:val="20"/>
                <w:szCs w:val="20"/>
              </w:rPr>
              <w:t>3.2.3 Rozvoj dopravní infrastruktury</w:t>
            </w:r>
            <w:r w:rsidR="008D25FA">
              <w:rPr>
                <w:rFonts w:ascii="Times New Roman" w:hAnsi="Times New Roman"/>
                <w:sz w:val="20"/>
                <w:szCs w:val="20"/>
              </w:rPr>
              <w:t>.</w:t>
            </w:r>
            <w:r w:rsidRPr="000B521F">
              <w:rPr>
                <w:rFonts w:ascii="Times New Roman" w:hAnsi="Times New Roman"/>
                <w:sz w:val="20"/>
                <w:szCs w:val="20"/>
              </w:rPr>
              <w:t xml:space="preserve"> </w:t>
            </w:r>
          </w:p>
          <w:p w:rsidR="00CF4BE7" w:rsidRPr="000B521F" w:rsidRDefault="00CF4BE7" w:rsidP="0059011D">
            <w:pPr>
              <w:pStyle w:val="DAVA"/>
              <w:spacing w:before="60" w:after="60"/>
              <w:rPr>
                <w:rFonts w:ascii="Times New Roman" w:hAnsi="Times New Roman"/>
                <w:sz w:val="20"/>
                <w:szCs w:val="20"/>
              </w:rPr>
            </w:pPr>
            <w:r w:rsidRPr="000B521F">
              <w:rPr>
                <w:rFonts w:ascii="Times New Roman" w:hAnsi="Times New Roman"/>
                <w:sz w:val="20"/>
                <w:szCs w:val="20"/>
              </w:rPr>
              <w:t>3.2.4 Rozvoj energetické a environmentální infrastruktury; 3.2.4.2 Rozvoj environmentální infrastruktury</w:t>
            </w:r>
            <w:r w:rsidR="008D25FA">
              <w:rPr>
                <w:rFonts w:ascii="Times New Roman" w:hAnsi="Times New Roman"/>
                <w:sz w:val="20"/>
                <w:szCs w:val="20"/>
              </w:rPr>
              <w:t>.</w:t>
            </w:r>
          </w:p>
        </w:tc>
      </w:tr>
      <w:tr w:rsidR="00CF4BE7" w:rsidRPr="000B521F" w:rsidTr="00761093">
        <w:trPr>
          <w:trHeight w:val="407"/>
        </w:trPr>
        <w:tc>
          <w:tcPr>
            <w:tcW w:w="1985"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CF4BE7" w:rsidRPr="000B521F" w:rsidRDefault="00CF4BE7"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Strategie mezinárodní konkurenceschopnosti ČR</w:t>
            </w:r>
          </w:p>
        </w:tc>
        <w:tc>
          <w:tcPr>
            <w:tcW w:w="70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4BE7" w:rsidRPr="000B521F" w:rsidRDefault="00CF4BE7" w:rsidP="0059011D">
            <w:pPr>
              <w:pStyle w:val="DAVA"/>
              <w:spacing w:before="60" w:after="60"/>
              <w:rPr>
                <w:rFonts w:ascii="Times New Roman" w:hAnsi="Times New Roman"/>
                <w:sz w:val="20"/>
                <w:szCs w:val="20"/>
              </w:rPr>
            </w:pPr>
            <w:r w:rsidRPr="000B521F">
              <w:rPr>
                <w:rFonts w:ascii="Times New Roman" w:hAnsi="Times New Roman"/>
                <w:sz w:val="20"/>
                <w:szCs w:val="20"/>
              </w:rPr>
              <w:t>2.6 Silniční doprava – páteřní síť dálnic a silnic a výstavba obchvatů významnějších sídel na hlavních silnicích I. třídy</w:t>
            </w:r>
            <w:r w:rsidR="008D25FA">
              <w:rPr>
                <w:rFonts w:ascii="Times New Roman" w:hAnsi="Times New Roman"/>
                <w:sz w:val="20"/>
                <w:szCs w:val="20"/>
              </w:rPr>
              <w:t>.</w:t>
            </w:r>
          </w:p>
          <w:p w:rsidR="00CF4BE7" w:rsidRPr="000B521F" w:rsidRDefault="00CF4BE7" w:rsidP="0059011D">
            <w:pPr>
              <w:pStyle w:val="DAVA"/>
              <w:spacing w:before="60" w:after="60"/>
              <w:rPr>
                <w:rFonts w:ascii="Times New Roman" w:hAnsi="Times New Roman"/>
                <w:sz w:val="20"/>
                <w:szCs w:val="20"/>
              </w:rPr>
            </w:pPr>
            <w:r w:rsidRPr="000B521F">
              <w:rPr>
                <w:rFonts w:ascii="Times New Roman" w:hAnsi="Times New Roman"/>
                <w:sz w:val="20"/>
                <w:szCs w:val="20"/>
              </w:rPr>
              <w:t xml:space="preserve">2.7 Železniční doprava – </w:t>
            </w:r>
            <w:r w:rsidR="0003711B" w:rsidRPr="000B521F">
              <w:rPr>
                <w:rFonts w:ascii="Times New Roman" w:hAnsi="Times New Roman"/>
                <w:sz w:val="20"/>
                <w:szCs w:val="20"/>
              </w:rPr>
              <w:t xml:space="preserve">modernizovat </w:t>
            </w:r>
            <w:r w:rsidRPr="000B521F">
              <w:rPr>
                <w:rFonts w:ascii="Times New Roman" w:hAnsi="Times New Roman"/>
                <w:sz w:val="20"/>
                <w:szCs w:val="20"/>
              </w:rPr>
              <w:t>hlavní železniční síť pro dálkovou osobní a nákladní dopravu, městskou a příměstskou dopravu v hustě osídlených oblastech a optimalizovat síť pro páteřní regionální dopravu, podpora vzniku sítě veřejných logistických center a terminálů kombinované dopravy</w:t>
            </w:r>
            <w:r w:rsidR="008D25FA">
              <w:rPr>
                <w:rFonts w:ascii="Times New Roman" w:hAnsi="Times New Roman"/>
                <w:sz w:val="20"/>
                <w:szCs w:val="20"/>
              </w:rPr>
              <w:t>.</w:t>
            </w:r>
          </w:p>
          <w:p w:rsidR="00CF4BE7" w:rsidRPr="000B521F" w:rsidRDefault="00CF4BE7" w:rsidP="0059011D">
            <w:pPr>
              <w:pStyle w:val="DAVA"/>
              <w:spacing w:before="60" w:after="60"/>
              <w:rPr>
                <w:rFonts w:ascii="Times New Roman" w:hAnsi="Times New Roman"/>
                <w:sz w:val="20"/>
                <w:szCs w:val="20"/>
              </w:rPr>
            </w:pPr>
            <w:r w:rsidRPr="000B521F">
              <w:rPr>
                <w:rFonts w:ascii="Times New Roman" w:hAnsi="Times New Roman"/>
                <w:sz w:val="20"/>
                <w:szCs w:val="20"/>
              </w:rPr>
              <w:t>2.8 Letecká a vodní doprava – splavnění úseků pro zvýšení konkurenceschopnosti země</w:t>
            </w:r>
            <w:r w:rsidR="008D25FA">
              <w:rPr>
                <w:rFonts w:ascii="Times New Roman" w:hAnsi="Times New Roman"/>
                <w:sz w:val="20"/>
                <w:szCs w:val="20"/>
              </w:rPr>
              <w:t>.</w:t>
            </w:r>
          </w:p>
        </w:tc>
      </w:tr>
      <w:tr w:rsidR="00CF4BE7" w:rsidRPr="000B521F" w:rsidTr="00761093">
        <w:tc>
          <w:tcPr>
            <w:tcW w:w="1985"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CF4BE7" w:rsidRPr="000B521F" w:rsidRDefault="00CF4BE7"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lastRenderedPageBreak/>
              <w:t>Strategie regionálního rozvoje</w:t>
            </w:r>
          </w:p>
        </w:tc>
        <w:tc>
          <w:tcPr>
            <w:tcW w:w="70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4BE7" w:rsidRPr="000B521F" w:rsidRDefault="00CF4BE7" w:rsidP="0059011D">
            <w:pPr>
              <w:pStyle w:val="DAVA"/>
              <w:spacing w:before="60" w:after="60"/>
              <w:rPr>
                <w:rFonts w:ascii="Times New Roman" w:hAnsi="Times New Roman"/>
                <w:sz w:val="20"/>
                <w:szCs w:val="20"/>
              </w:rPr>
            </w:pPr>
            <w:r w:rsidRPr="000B521F">
              <w:rPr>
                <w:rFonts w:ascii="Times New Roman" w:hAnsi="Times New Roman"/>
                <w:sz w:val="20"/>
                <w:szCs w:val="20"/>
              </w:rPr>
              <w:t>Priorita 1 Využití potenciálu rozvojových území (opatření 1.3 Podpora integrace dopravních systémů, 1.4 Rozšíření a zkvalitnění infrastruktury)</w:t>
            </w:r>
            <w:r w:rsidR="008D25FA">
              <w:rPr>
                <w:rFonts w:ascii="Times New Roman" w:hAnsi="Times New Roman"/>
                <w:sz w:val="20"/>
                <w:szCs w:val="20"/>
              </w:rPr>
              <w:t>.</w:t>
            </w:r>
          </w:p>
          <w:p w:rsidR="00CF4BE7" w:rsidRPr="000B521F" w:rsidRDefault="00CF4BE7" w:rsidP="0059011D">
            <w:pPr>
              <w:pStyle w:val="DAVA"/>
              <w:spacing w:before="60" w:after="60"/>
              <w:rPr>
                <w:rFonts w:ascii="Times New Roman" w:hAnsi="Times New Roman"/>
                <w:sz w:val="20"/>
                <w:szCs w:val="20"/>
              </w:rPr>
            </w:pPr>
            <w:r w:rsidRPr="000B521F">
              <w:rPr>
                <w:rFonts w:ascii="Times New Roman" w:hAnsi="Times New Roman"/>
                <w:sz w:val="20"/>
                <w:szCs w:val="20"/>
              </w:rPr>
              <w:t>Priorita 2 Rozvoj klíčové infrastruktury nadregionálního významu (opatření 2.1 Modernizace silniční infrastruktury, opatření 2.2 Modernizace železniční sítě).</w:t>
            </w:r>
          </w:p>
          <w:p w:rsidR="00CF4BE7" w:rsidRPr="000B521F" w:rsidRDefault="00CF4BE7" w:rsidP="0059011D">
            <w:pPr>
              <w:pStyle w:val="DAVA"/>
              <w:spacing w:before="60" w:after="60"/>
              <w:rPr>
                <w:rFonts w:ascii="Times New Roman" w:hAnsi="Times New Roman"/>
                <w:sz w:val="20"/>
                <w:szCs w:val="20"/>
              </w:rPr>
            </w:pPr>
            <w:r w:rsidRPr="000B521F">
              <w:rPr>
                <w:rFonts w:ascii="Times New Roman" w:hAnsi="Times New Roman"/>
                <w:sz w:val="20"/>
                <w:szCs w:val="20"/>
              </w:rPr>
              <w:t>Priorita 4 Vyvážený rozvoj stabilizovaných území (opatření 4.2 Zlepšení vnitřní a vnější obslužnosti území).</w:t>
            </w:r>
          </w:p>
        </w:tc>
      </w:tr>
      <w:tr w:rsidR="00CF4BE7" w:rsidRPr="000B521F" w:rsidTr="00761093">
        <w:tc>
          <w:tcPr>
            <w:tcW w:w="1985"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CF4BE7" w:rsidRPr="000B521F" w:rsidRDefault="00CF4BE7" w:rsidP="00264AE0">
            <w:pPr>
              <w:pStyle w:val="DAVA"/>
              <w:spacing w:before="60" w:after="60"/>
              <w:jc w:val="left"/>
              <w:rPr>
                <w:rFonts w:ascii="Times New Roman" w:hAnsi="Times New Roman"/>
                <w:b/>
                <w:sz w:val="20"/>
                <w:szCs w:val="20"/>
              </w:rPr>
            </w:pPr>
            <w:r w:rsidRPr="000B521F">
              <w:rPr>
                <w:rFonts w:ascii="Times New Roman" w:hAnsi="Times New Roman"/>
                <w:b/>
                <w:sz w:val="20"/>
                <w:szCs w:val="20"/>
              </w:rPr>
              <w:t>Dopravní politika ČR pro období 2014</w:t>
            </w:r>
            <w:r w:rsidR="00264AE0">
              <w:rPr>
                <w:rFonts w:ascii="Times New Roman" w:hAnsi="Times New Roman"/>
                <w:b/>
                <w:sz w:val="20"/>
                <w:szCs w:val="20"/>
              </w:rPr>
              <w:t>–</w:t>
            </w:r>
            <w:r w:rsidRPr="000B521F">
              <w:rPr>
                <w:rFonts w:ascii="Times New Roman" w:hAnsi="Times New Roman"/>
                <w:b/>
                <w:sz w:val="20"/>
                <w:szCs w:val="20"/>
              </w:rPr>
              <w:t>2020 s výhledem do roku 2050</w:t>
            </w:r>
          </w:p>
        </w:tc>
        <w:tc>
          <w:tcPr>
            <w:tcW w:w="70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711B" w:rsidRPr="000B521F" w:rsidRDefault="0003711B" w:rsidP="0059011D">
            <w:pPr>
              <w:pStyle w:val="DAVA"/>
              <w:spacing w:before="60" w:after="60"/>
              <w:rPr>
                <w:rFonts w:ascii="Times New Roman" w:hAnsi="Times New Roman"/>
                <w:sz w:val="20"/>
                <w:szCs w:val="20"/>
              </w:rPr>
            </w:pPr>
            <w:r w:rsidRPr="000B521F">
              <w:rPr>
                <w:rFonts w:ascii="Times New Roman" w:hAnsi="Times New Roman"/>
                <w:sz w:val="20"/>
                <w:szCs w:val="20"/>
              </w:rPr>
              <w:t>4.4 2 Rozvoj dopravní infrastruktury – stanoveny hlavní zásady rozvoje dopravní infrastruktury podle jednotlivých módů. Z těchto zásad se následně vychází při rozpracování v dokumentu Dopravní sektorové strategie</w:t>
            </w:r>
            <w:r w:rsidR="008D25FA">
              <w:rPr>
                <w:rFonts w:ascii="Times New Roman" w:hAnsi="Times New Roman"/>
                <w:sz w:val="20"/>
                <w:szCs w:val="20"/>
              </w:rPr>
              <w:t>.</w:t>
            </w:r>
          </w:p>
          <w:p w:rsidR="0003711B" w:rsidRPr="000B521F" w:rsidRDefault="0003711B" w:rsidP="0059011D">
            <w:pPr>
              <w:pStyle w:val="DAVA"/>
              <w:spacing w:before="60" w:after="60"/>
              <w:rPr>
                <w:rFonts w:ascii="Times New Roman" w:hAnsi="Times New Roman"/>
                <w:sz w:val="20"/>
                <w:szCs w:val="20"/>
              </w:rPr>
            </w:pPr>
            <w:r w:rsidRPr="000B521F">
              <w:rPr>
                <w:rFonts w:ascii="Times New Roman" w:hAnsi="Times New Roman"/>
                <w:sz w:val="20"/>
                <w:szCs w:val="20"/>
              </w:rPr>
              <w:t>4.2.5 Řešení problémů dopravy ve městech - Dopravní problémy se nejintenzivněji projevují ve větších městech a v jejich předměstích, negativní účinky hluku, emisí a dopravních nehod se v hustě urbanizovaných prostorech projevují výrazněji. Důležitou roli zde pak musí hrát MHD a nemotorová doprava</w:t>
            </w:r>
            <w:r w:rsidR="008D25FA">
              <w:rPr>
                <w:rFonts w:ascii="Times New Roman" w:hAnsi="Times New Roman"/>
                <w:sz w:val="20"/>
                <w:szCs w:val="20"/>
              </w:rPr>
              <w:t>.</w:t>
            </w:r>
          </w:p>
          <w:p w:rsidR="00CF4BE7" w:rsidRPr="000B521F" w:rsidRDefault="0003711B" w:rsidP="0059011D">
            <w:pPr>
              <w:pStyle w:val="DAVA"/>
              <w:spacing w:before="60" w:after="60"/>
              <w:rPr>
                <w:rFonts w:ascii="Times New Roman" w:hAnsi="Times New Roman"/>
                <w:sz w:val="20"/>
                <w:szCs w:val="20"/>
              </w:rPr>
            </w:pPr>
            <w:r w:rsidRPr="000B521F">
              <w:rPr>
                <w:rFonts w:ascii="Times New Roman" w:hAnsi="Times New Roman"/>
                <w:sz w:val="20"/>
                <w:szCs w:val="20"/>
              </w:rPr>
              <w:t xml:space="preserve">4.5.1 </w:t>
            </w:r>
            <w:bookmarkStart w:id="31" w:name="_Toc354410275"/>
            <w:r w:rsidRPr="000B521F">
              <w:rPr>
                <w:rFonts w:ascii="Times New Roman" w:hAnsi="Times New Roman"/>
                <w:sz w:val="20"/>
                <w:szCs w:val="20"/>
              </w:rPr>
              <w:t>Moderní technologie, výzkum, vývoj a inovace</w:t>
            </w:r>
            <w:bookmarkEnd w:id="31"/>
            <w:r w:rsidRPr="000B521F">
              <w:rPr>
                <w:rFonts w:ascii="Times New Roman" w:hAnsi="Times New Roman"/>
                <w:sz w:val="20"/>
                <w:szCs w:val="20"/>
              </w:rPr>
              <w:t xml:space="preserve"> – problematika zavádění ITS v</w:t>
            </w:r>
            <w:r w:rsidR="008D25FA">
              <w:rPr>
                <w:rFonts w:ascii="Times New Roman" w:hAnsi="Times New Roman"/>
                <w:sz w:val="20"/>
                <w:szCs w:val="20"/>
              </w:rPr>
              <w:t> </w:t>
            </w:r>
            <w:r w:rsidRPr="000B521F">
              <w:rPr>
                <w:rFonts w:ascii="Times New Roman" w:hAnsi="Times New Roman"/>
                <w:sz w:val="20"/>
                <w:szCs w:val="20"/>
              </w:rPr>
              <w:t>dopravě</w:t>
            </w:r>
            <w:r w:rsidR="008D25FA">
              <w:rPr>
                <w:rFonts w:ascii="Times New Roman" w:hAnsi="Times New Roman"/>
                <w:sz w:val="20"/>
                <w:szCs w:val="20"/>
              </w:rPr>
              <w:t>.</w:t>
            </w:r>
          </w:p>
        </w:tc>
      </w:tr>
      <w:tr w:rsidR="00CF4BE7" w:rsidRPr="000B521F" w:rsidTr="00761093">
        <w:tc>
          <w:tcPr>
            <w:tcW w:w="1985"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CF4BE7" w:rsidRPr="000B521F" w:rsidRDefault="00CF4BE7"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Dopravní sektorové strategie</w:t>
            </w:r>
          </w:p>
        </w:tc>
        <w:tc>
          <w:tcPr>
            <w:tcW w:w="70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4BE7" w:rsidRPr="000B521F" w:rsidRDefault="0003711B" w:rsidP="0059011D">
            <w:pPr>
              <w:pStyle w:val="DAVA"/>
              <w:spacing w:before="60" w:after="60"/>
              <w:rPr>
                <w:rFonts w:ascii="Times New Roman" w:hAnsi="Times New Roman"/>
                <w:sz w:val="20"/>
                <w:szCs w:val="20"/>
              </w:rPr>
            </w:pPr>
            <w:r w:rsidRPr="000B521F">
              <w:rPr>
                <w:rFonts w:ascii="Times New Roman" w:hAnsi="Times New Roman"/>
                <w:sz w:val="20"/>
                <w:szCs w:val="20"/>
              </w:rPr>
              <w:t>Jedná se o klíčový dokument, který je celý zaměřen na problematiku rozvoje dopravní infrastruktury.</w:t>
            </w:r>
          </w:p>
        </w:tc>
      </w:tr>
    </w:tbl>
    <w:p w:rsidR="00CF4BE7" w:rsidRPr="000B521F" w:rsidRDefault="00CF4BE7" w:rsidP="0059011D">
      <w:pPr>
        <w:tabs>
          <w:tab w:val="num" w:pos="1210"/>
        </w:tabs>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Další klíčové dokumenty vztahující se k dané problematické oblasti jsou Národní akční plán udržitelné mobility, Národní strategie bezpečnosti silničního provozu 2011</w:t>
      </w:r>
      <w:r w:rsidR="00264AE0">
        <w:rPr>
          <w:rFonts w:ascii="Times New Roman" w:hAnsi="Times New Roman" w:cs="Times New Roman"/>
          <w:color w:val="000000"/>
          <w:sz w:val="24"/>
          <w:szCs w:val="24"/>
        </w:rPr>
        <w:t>–</w:t>
      </w:r>
      <w:r w:rsidRPr="000B521F">
        <w:rPr>
          <w:rFonts w:ascii="Times New Roman" w:hAnsi="Times New Roman" w:cs="Times New Roman"/>
          <w:sz w:val="24"/>
          <w:szCs w:val="24"/>
        </w:rPr>
        <w:t xml:space="preserve">2020, Strategie podpory logistiky z veřejných zdrojů dokumenty krajů v dané oblasti (např. územní generely a dopravní koncepce), Politika územního rozvoje ČR </w:t>
      </w:r>
      <w:r w:rsidR="00BD0121">
        <w:rPr>
          <w:rFonts w:ascii="Times New Roman" w:hAnsi="Times New Roman" w:cs="Times New Roman"/>
          <w:sz w:val="24"/>
          <w:szCs w:val="24"/>
        </w:rPr>
        <w:t xml:space="preserve">(PÚR) </w:t>
      </w:r>
      <w:r w:rsidRPr="000B521F">
        <w:rPr>
          <w:rFonts w:ascii="Times New Roman" w:hAnsi="Times New Roman" w:cs="Times New Roman"/>
          <w:sz w:val="24"/>
          <w:szCs w:val="24"/>
        </w:rPr>
        <w:t>a další sektorové dokumenty definované v dílčích operačních programech.</w:t>
      </w:r>
    </w:p>
    <w:p w:rsidR="00CF4BE7" w:rsidRPr="000B521F" w:rsidRDefault="00CF4BE7" w:rsidP="0059011D">
      <w:pPr>
        <w:tabs>
          <w:tab w:val="num" w:pos="1210"/>
        </w:tabs>
        <w:spacing w:after="120" w:line="240" w:lineRule="auto"/>
        <w:jc w:val="both"/>
        <w:rPr>
          <w:rFonts w:ascii="Times New Roman" w:hAnsi="Times New Roman" w:cs="Times New Roman"/>
          <w:sz w:val="24"/>
          <w:szCs w:val="24"/>
        </w:rPr>
      </w:pPr>
    </w:p>
    <w:p w:rsidR="008206A4" w:rsidRPr="000B521F" w:rsidRDefault="00CF4BE7" w:rsidP="0059011D">
      <w:pPr>
        <w:pStyle w:val="Nadpis4"/>
        <w:numPr>
          <w:ilvl w:val="3"/>
          <w:numId w:val="14"/>
        </w:numPr>
        <w:spacing w:before="120" w:after="120"/>
        <w:rPr>
          <w:rFonts w:ascii="Times New Roman" w:hAnsi="Times New Roman" w:cs="Times New Roman"/>
          <w:sz w:val="24"/>
          <w:szCs w:val="24"/>
        </w:rPr>
      </w:pPr>
      <w:bookmarkStart w:id="32" w:name="_Toc374702862"/>
      <w:r w:rsidRPr="000B521F">
        <w:rPr>
          <w:rFonts w:ascii="Times New Roman" w:hAnsi="Times New Roman" w:cs="Times New Roman"/>
          <w:sz w:val="24"/>
          <w:szCs w:val="24"/>
        </w:rPr>
        <w:t>ICT infrastruktura</w:t>
      </w:r>
      <w:bookmarkEnd w:id="32"/>
    </w:p>
    <w:p w:rsidR="00CF4BE7" w:rsidRPr="000B521F" w:rsidRDefault="00CF4BE7" w:rsidP="0059011D">
      <w:pPr>
        <w:spacing w:after="120" w:line="240" w:lineRule="auto"/>
        <w:rPr>
          <w:rFonts w:ascii="Times New Roman" w:hAnsi="Times New Roman" w:cs="Times New Roman"/>
          <w:b/>
          <w:sz w:val="24"/>
          <w:szCs w:val="24"/>
        </w:rPr>
      </w:pPr>
      <w:r w:rsidRPr="000B521F">
        <w:rPr>
          <w:rFonts w:ascii="Times New Roman" w:hAnsi="Times New Roman" w:cs="Times New Roman"/>
          <w:b/>
          <w:sz w:val="24"/>
          <w:szCs w:val="24"/>
        </w:rPr>
        <w:t>Východiska a charakteristika</w:t>
      </w:r>
    </w:p>
    <w:p w:rsidR="00CF4BE7" w:rsidRPr="000B521F" w:rsidRDefault="00CF4BE7"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Významným faktorem konkurenceschopného  podnikání  a rozvoje inovačního potenciálu v ČR ve všech oblastech a též moderního a efektivního fungování veřejné správy je rozvinutost ICT infrastruktury. Správné a efektivní využívání ICT přispívá významným podílem ke zvyšování hrubého domácího produktu a vede k růstu produktivity ekonomiky jako celku. Do budoucna budou rozdíly ve výkonnosti států a regionů čím dál tím více dány rozsahem investic do ICT, výzkumu ICT a využití ICT produktů a služeb.</w:t>
      </w:r>
    </w:p>
    <w:p w:rsidR="00CF4BE7" w:rsidRPr="000B521F" w:rsidRDefault="00CF4BE7"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Nezbytným předpokladem pro využívání ICT a dosahování efektů z něj je existence dostatečně rozvinuté a dostupné technologické základny, tzn. především adekvátní infrastruktury umožňující vysokorychlostní přístup k internetu. Česká republika však není dostatečně pokryta a</w:t>
      </w:r>
      <w:r w:rsidR="00E5121C" w:rsidRPr="000B521F">
        <w:rPr>
          <w:rFonts w:ascii="Times New Roman" w:hAnsi="Times New Roman" w:cs="Times New Roman"/>
          <w:sz w:val="24"/>
          <w:szCs w:val="24"/>
        </w:rPr>
        <w:t xml:space="preserve"> </w:t>
      </w:r>
      <w:r w:rsidRPr="000B521F">
        <w:rPr>
          <w:rFonts w:ascii="Times New Roman" w:hAnsi="Times New Roman" w:cs="Times New Roman"/>
          <w:sz w:val="24"/>
          <w:szCs w:val="24"/>
        </w:rPr>
        <w:t>zaostává také v parametrech, jako je rychlost, kapacita a bezpečnost. Limitováni jsou občané</w:t>
      </w:r>
      <w:r w:rsidRPr="000B521F">
        <w:rPr>
          <w:rStyle w:val="Znakapoznpodarou"/>
          <w:rFonts w:ascii="Times New Roman" w:hAnsi="Times New Roman" w:cs="Times New Roman"/>
          <w:sz w:val="24"/>
          <w:szCs w:val="24"/>
        </w:rPr>
        <w:footnoteReference w:id="54"/>
      </w:r>
      <w:r w:rsidRPr="000B521F">
        <w:rPr>
          <w:rFonts w:ascii="Times New Roman" w:hAnsi="Times New Roman" w:cs="Times New Roman"/>
          <w:sz w:val="24"/>
          <w:szCs w:val="24"/>
        </w:rPr>
        <w:t xml:space="preserve"> i podniky a státní instituce v přístupu k informacím a vzájemné komunikaci. Problematika ICT se významně váže na problémovou oblast Výzkumný a inovační systém.</w:t>
      </w:r>
    </w:p>
    <w:p w:rsidR="00CF4BE7" w:rsidRPr="000B521F" w:rsidRDefault="00CF4BE7"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V dlouhodobé perspektivě se ČR snaží přiblížit západoevropskému trendu vývoje ICT služeb a sdílení. Klíčovou součástí ICT infrastruktury je kromě budování systému pro sdílení také tvorba datových úložišť, digitalizace klíčových procesů a podpora agend v administrativní činnosti státu. Problematika digitalizace agend veřejné správy, která umožňuje přístup k veřejným službám pomocí internetu, je řešena v problémové oblasti Veřejná správa.</w:t>
      </w:r>
    </w:p>
    <w:p w:rsidR="00CF4BE7" w:rsidRPr="000B521F" w:rsidRDefault="00CF4BE7"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lastRenderedPageBreak/>
        <w:t>Digitální gramotnost obyvatelstva a její různá míra u různých skupin je nezbytným předpokladem pro používání ICT v běžném životě, při uplatnění na trhu práce, pro dosahování inovací a vyšší konkurenceschopnosti. Zde je silná vazba na problémovou oblast Vzdělávání, a to jak počáteční vzdělávání, tak s ohledem na rychlý vývoj v oblasti ICT zejména celoživotní učení. ICT má rovněž velký potenciál být účinným nástrojem v boji proti sociálnímu vyloučení. S ohledem na věkové rozdělení obyvatel je nižší používání techniky a informačních technologií u starší populace. Celkově však zaznamenává stálý nárůst.</w:t>
      </w:r>
    </w:p>
    <w:p w:rsidR="00147E55" w:rsidRPr="000B521F" w:rsidRDefault="00147E55" w:rsidP="0059011D">
      <w:pPr>
        <w:spacing w:after="120" w:line="240" w:lineRule="auto"/>
        <w:rPr>
          <w:rFonts w:ascii="Times New Roman" w:hAnsi="Times New Roman" w:cs="Times New Roman"/>
          <w:b/>
          <w:sz w:val="24"/>
          <w:szCs w:val="24"/>
        </w:rPr>
      </w:pPr>
    </w:p>
    <w:p w:rsidR="00CF4BE7" w:rsidRPr="000B521F" w:rsidRDefault="00CF4BE7" w:rsidP="0059011D">
      <w:pPr>
        <w:spacing w:after="120" w:line="240" w:lineRule="auto"/>
        <w:rPr>
          <w:rFonts w:ascii="Times New Roman" w:hAnsi="Times New Roman" w:cs="Times New Roman"/>
          <w:b/>
          <w:sz w:val="24"/>
          <w:szCs w:val="24"/>
        </w:rPr>
      </w:pPr>
      <w:r w:rsidRPr="000B521F">
        <w:rPr>
          <w:rFonts w:ascii="Times New Roman" w:hAnsi="Times New Roman" w:cs="Times New Roman"/>
          <w:b/>
          <w:sz w:val="24"/>
          <w:szCs w:val="24"/>
        </w:rPr>
        <w:t>Územní rozdíly:</w:t>
      </w:r>
    </w:p>
    <w:p w:rsidR="00CF4BE7" w:rsidRPr="000B521F" w:rsidRDefault="00CF4BE7"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Venkov i některé městské aglomerace se potýkají s potřebou zkapacitnění sítí. Z hlediska podílu domácností s připojením k internetu je nejvyšší podíl v Praze a jejím zázemí v rámci Středočeského kraje, v krajských městech, s výjimkou Karlovarského a Ústeckého kraje. Z regionálního hlediska je používání informačních technologií (internet v domácnostech) v rámci ČR vyrovnané, ve srovnání s EU je však podprůměrné. </w:t>
      </w:r>
    </w:p>
    <w:p w:rsidR="00CF4BE7" w:rsidRPr="000B521F" w:rsidRDefault="00CF4BE7" w:rsidP="0059011D">
      <w:pPr>
        <w:pStyle w:val="Bezmezer"/>
        <w:rPr>
          <w:rFonts w:ascii="Times New Roman" w:hAnsi="Times New Roman" w:cs="Times New Roman"/>
          <w:sz w:val="24"/>
          <w:szCs w:val="24"/>
        </w:rPr>
      </w:pPr>
    </w:p>
    <w:p w:rsidR="00CF4BE7" w:rsidRPr="000B521F" w:rsidRDefault="00CF4BE7" w:rsidP="0059011D">
      <w:pPr>
        <w:spacing w:after="120" w:line="240" w:lineRule="auto"/>
        <w:rPr>
          <w:rFonts w:ascii="Times New Roman" w:hAnsi="Times New Roman" w:cs="Times New Roman"/>
          <w:b/>
          <w:sz w:val="24"/>
          <w:szCs w:val="24"/>
        </w:rPr>
      </w:pPr>
      <w:r w:rsidRPr="000B521F">
        <w:rPr>
          <w:rFonts w:ascii="Times New Roman" w:hAnsi="Times New Roman" w:cs="Times New Roman"/>
          <w:b/>
          <w:sz w:val="24"/>
          <w:szCs w:val="24"/>
        </w:rPr>
        <w:t>Zkušenosti z programového období 2007</w:t>
      </w:r>
      <w:r w:rsidR="00833CB5">
        <w:rPr>
          <w:rFonts w:ascii="Times New Roman" w:hAnsi="Times New Roman" w:cs="Times New Roman"/>
          <w:b/>
          <w:sz w:val="24"/>
          <w:szCs w:val="24"/>
        </w:rPr>
        <w:t>–</w:t>
      </w:r>
      <w:r w:rsidRPr="000B521F">
        <w:rPr>
          <w:rFonts w:ascii="Times New Roman" w:hAnsi="Times New Roman" w:cs="Times New Roman"/>
          <w:b/>
          <w:sz w:val="24"/>
          <w:szCs w:val="24"/>
        </w:rPr>
        <w:t>2013 a stav dosažení současných cílů</w:t>
      </w:r>
    </w:p>
    <w:p w:rsidR="00CF4BE7" w:rsidRPr="000B521F" w:rsidRDefault="00CF4BE7" w:rsidP="0059011D">
      <w:pPr>
        <w:spacing w:after="120" w:line="240" w:lineRule="auto"/>
        <w:jc w:val="both"/>
        <w:rPr>
          <w:rFonts w:ascii="Times New Roman" w:eastAsia="Times New Roman" w:hAnsi="Times New Roman" w:cs="Times New Roman"/>
          <w:color w:val="000000"/>
          <w:sz w:val="24"/>
          <w:szCs w:val="24"/>
          <w:lang w:eastAsia="cs-CZ"/>
        </w:rPr>
      </w:pPr>
      <w:r w:rsidRPr="000B521F">
        <w:rPr>
          <w:rFonts w:ascii="Times New Roman" w:eastAsia="Times New Roman" w:hAnsi="Times New Roman" w:cs="Times New Roman"/>
          <w:color w:val="000000"/>
          <w:sz w:val="24"/>
          <w:szCs w:val="24"/>
          <w:lang w:eastAsia="cs-CZ"/>
        </w:rPr>
        <w:t>V obecné rovině lze konstatovat, že ICT infrastruktura v podobě výstavby nebo modernizace sítí elektronických komunikací pro vysokorychlostní přístup k internetu nebyla v programovém období 2007</w:t>
      </w:r>
      <w:r w:rsidR="00264AE0">
        <w:rPr>
          <w:rFonts w:ascii="Times New Roman" w:hAnsi="Times New Roman" w:cs="Times New Roman"/>
          <w:color w:val="000000"/>
          <w:sz w:val="24"/>
          <w:szCs w:val="24"/>
        </w:rPr>
        <w:t>–</w:t>
      </w:r>
      <w:r w:rsidRPr="000B521F">
        <w:rPr>
          <w:rFonts w:ascii="Times New Roman" w:eastAsia="Times New Roman" w:hAnsi="Times New Roman" w:cs="Times New Roman"/>
          <w:color w:val="000000"/>
          <w:sz w:val="24"/>
          <w:szCs w:val="24"/>
          <w:lang w:eastAsia="cs-CZ"/>
        </w:rPr>
        <w:t xml:space="preserve">2013 příliš podporována. Je to dáno tím, že klíčová evropská strategie Digitální agenda pro Evropu byla schválena až v roce 2010. V ČR byla v předmětné oblasti schválena stěžejní </w:t>
      </w:r>
      <w:r w:rsidRPr="000B521F">
        <w:rPr>
          <w:rFonts w:ascii="Times New Roman" w:eastAsia="Times New Roman" w:hAnsi="Times New Roman" w:cs="Times New Roman"/>
          <w:i/>
          <w:color w:val="000000"/>
          <w:sz w:val="24"/>
          <w:szCs w:val="24"/>
          <w:lang w:eastAsia="cs-CZ"/>
        </w:rPr>
        <w:t>Státní politika v elektronických komunikacích – Digitální Česko v. 2.0 Cesta k digitální ekonomice</w:t>
      </w:r>
      <w:r w:rsidRPr="000B521F">
        <w:rPr>
          <w:rFonts w:ascii="Times New Roman" w:eastAsia="Times New Roman" w:hAnsi="Times New Roman" w:cs="Times New Roman"/>
          <w:color w:val="000000"/>
          <w:sz w:val="24"/>
          <w:szCs w:val="24"/>
          <w:lang w:eastAsia="cs-CZ"/>
        </w:rPr>
        <w:t xml:space="preserve"> usnesením vlády ze dne 20. března 2013 č. 203, která bude podporovat rozvoj vysokorychlostních přístupových sítí k internetu umožňující do roku 2020 přenosové rychlosti 30 Mbit/s pro všechny obyvatele a 100 Mbit/s minimálně pro polovinu domácností. Nicméně pokud jde o ICT sektor jako takový, jeho podpora byla v programovém období 2007</w:t>
      </w:r>
      <w:r w:rsidR="00264AE0">
        <w:rPr>
          <w:rFonts w:ascii="Times New Roman" w:hAnsi="Times New Roman" w:cs="Times New Roman"/>
          <w:color w:val="000000"/>
          <w:sz w:val="24"/>
          <w:szCs w:val="24"/>
        </w:rPr>
        <w:t>–</w:t>
      </w:r>
      <w:r w:rsidRPr="000B521F">
        <w:rPr>
          <w:rFonts w:ascii="Times New Roman" w:eastAsia="Times New Roman" w:hAnsi="Times New Roman" w:cs="Times New Roman"/>
          <w:color w:val="000000"/>
          <w:sz w:val="24"/>
          <w:szCs w:val="24"/>
          <w:lang w:eastAsia="cs-CZ"/>
        </w:rPr>
        <w:t>2013 uskutečňována jak na nabídkové straně (prostřednictvím programu podpory ICT a strategické služby zaměřeného na podporu vývoje nových softwarových řešení a nových center sdílených služeb), tak i na poptávkové straně (prostřednictvím programu ICT v podnicích zaměřeného na zlepšení vybavenosti podniků novým ICT). V obou těchto programech podpory bylo vytvořeno několik tisíc odborných pracovních míst a vznikla unikátní IT řešení.</w:t>
      </w:r>
    </w:p>
    <w:p w:rsidR="00147E55" w:rsidRPr="000B521F" w:rsidRDefault="00147E55" w:rsidP="0059011D">
      <w:pPr>
        <w:spacing w:after="120" w:line="240" w:lineRule="auto"/>
        <w:rPr>
          <w:rFonts w:ascii="Times New Roman" w:hAnsi="Times New Roman" w:cs="Times New Roman"/>
          <w:b/>
          <w:sz w:val="24"/>
          <w:szCs w:val="24"/>
        </w:rPr>
      </w:pPr>
    </w:p>
    <w:p w:rsidR="00CF4BE7" w:rsidRPr="000B521F" w:rsidRDefault="00CF4BE7" w:rsidP="0059011D">
      <w:pPr>
        <w:spacing w:after="120" w:line="240" w:lineRule="auto"/>
        <w:rPr>
          <w:rFonts w:ascii="Times New Roman" w:hAnsi="Times New Roman" w:cs="Times New Roman"/>
          <w:b/>
          <w:sz w:val="24"/>
          <w:szCs w:val="24"/>
        </w:rPr>
      </w:pPr>
      <w:r w:rsidRPr="000B521F">
        <w:rPr>
          <w:rFonts w:ascii="Times New Roman" w:hAnsi="Times New Roman" w:cs="Times New Roman"/>
          <w:b/>
          <w:sz w:val="24"/>
          <w:szCs w:val="24"/>
        </w:rPr>
        <w:t>Hlavní identifikované problémy a potřeby rozvoje:</w:t>
      </w:r>
    </w:p>
    <w:p w:rsidR="00CF4BE7" w:rsidRPr="000B521F" w:rsidRDefault="00CF4BE7" w:rsidP="0059011D">
      <w:pPr>
        <w:spacing w:after="120" w:line="240" w:lineRule="auto"/>
        <w:jc w:val="both"/>
        <w:rPr>
          <w:rFonts w:ascii="Times New Roman" w:hAnsi="Times New Roman" w:cs="Times New Roman"/>
          <w:b/>
          <w:i/>
          <w:color w:val="000000"/>
          <w:sz w:val="24"/>
          <w:szCs w:val="24"/>
        </w:rPr>
      </w:pPr>
      <w:r w:rsidRPr="000B521F">
        <w:rPr>
          <w:rFonts w:ascii="Times New Roman" w:hAnsi="Times New Roman" w:cs="Times New Roman"/>
          <w:b/>
          <w:i/>
          <w:sz w:val="24"/>
          <w:szCs w:val="24"/>
        </w:rPr>
        <w:t>1. Nedostatečné pokrytí vysokorychlostním internetem především venkovského území.</w:t>
      </w:r>
    </w:p>
    <w:p w:rsidR="00CF4BE7" w:rsidRPr="000B521F" w:rsidRDefault="00CF4BE7" w:rsidP="0059011D">
      <w:pPr>
        <w:pStyle w:val="Bezmezer"/>
        <w:rPr>
          <w:rFonts w:ascii="Times New Roman" w:hAnsi="Times New Roman" w:cs="Times New Roman"/>
          <w:sz w:val="24"/>
          <w:szCs w:val="24"/>
        </w:rPr>
      </w:pPr>
      <w:r w:rsidRPr="000B521F">
        <w:rPr>
          <w:rFonts w:ascii="Times New Roman" w:hAnsi="Times New Roman" w:cs="Times New Roman"/>
          <w:i/>
          <w:sz w:val="24"/>
          <w:szCs w:val="24"/>
        </w:rPr>
        <w:t>Potřeba rozvoje</w:t>
      </w:r>
      <w:r w:rsidRPr="000B521F">
        <w:rPr>
          <w:rFonts w:ascii="Times New Roman" w:hAnsi="Times New Roman" w:cs="Times New Roman"/>
          <w:sz w:val="24"/>
          <w:szCs w:val="24"/>
        </w:rPr>
        <w:t>:</w:t>
      </w:r>
    </w:p>
    <w:p w:rsidR="008206A4" w:rsidRPr="000B521F" w:rsidRDefault="00CF4BE7" w:rsidP="0059011D">
      <w:pPr>
        <w:pStyle w:val="Odstavecseseznamem"/>
        <w:numPr>
          <w:ilvl w:val="0"/>
          <w:numId w:val="62"/>
        </w:numPr>
        <w:autoSpaceDE w:val="0"/>
        <w:autoSpaceDN w:val="0"/>
        <w:adjustRightInd w:val="0"/>
        <w:spacing w:after="0" w:line="240" w:lineRule="auto"/>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Rozvoj infrastruktury pro vysokorychlostní přístup k internetu umožňující minimální přenosové rychlosti 30 Mbit/s důrazem na území bez stávající možnosti přístupu k vysokorychlostnímu internetu (tzv. bílé oblasti ČR), nebo s možností přístupu k vysokorychlostnímu internetu prostřednictvím 1 poskytovatele (tzv. šedé oblasti ČR).</w:t>
      </w:r>
    </w:p>
    <w:p w:rsidR="00CF4BE7" w:rsidRPr="000B521F" w:rsidRDefault="00CF4BE7" w:rsidP="0059011D">
      <w:pPr>
        <w:autoSpaceDE w:val="0"/>
        <w:autoSpaceDN w:val="0"/>
        <w:adjustRightInd w:val="0"/>
        <w:spacing w:after="120" w:line="240" w:lineRule="auto"/>
        <w:jc w:val="both"/>
        <w:rPr>
          <w:rFonts w:ascii="Times New Roman" w:hAnsi="Times New Roman" w:cs="Times New Roman"/>
          <w:color w:val="000000"/>
          <w:sz w:val="24"/>
          <w:szCs w:val="24"/>
        </w:rPr>
      </w:pPr>
    </w:p>
    <w:p w:rsidR="00CF4BE7" w:rsidRPr="000B521F" w:rsidRDefault="00CF4BE7" w:rsidP="0059011D">
      <w:pPr>
        <w:spacing w:after="120" w:line="240" w:lineRule="auto"/>
        <w:jc w:val="both"/>
        <w:rPr>
          <w:rFonts w:ascii="Times New Roman" w:hAnsi="Times New Roman" w:cs="Times New Roman"/>
          <w:b/>
          <w:i/>
          <w:sz w:val="24"/>
          <w:szCs w:val="24"/>
        </w:rPr>
      </w:pPr>
      <w:r w:rsidRPr="000B521F">
        <w:rPr>
          <w:rFonts w:ascii="Times New Roman" w:hAnsi="Times New Roman" w:cs="Times New Roman"/>
          <w:b/>
          <w:i/>
          <w:sz w:val="24"/>
          <w:szCs w:val="24"/>
        </w:rPr>
        <w:t xml:space="preserve">2. Nedostatečná nabídka ICT služeb </w:t>
      </w:r>
    </w:p>
    <w:p w:rsidR="00CF4BE7" w:rsidRPr="000B521F" w:rsidRDefault="00CF4BE7" w:rsidP="0059011D">
      <w:p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sz w:val="24"/>
          <w:szCs w:val="24"/>
        </w:rPr>
        <w:t xml:space="preserve">Sektor ICT se v České republice potýká s malým růstem a nízkou konkurenceschopností co se týče nabídky nových informačních systémů, ICT řešení, nových softwarových produktů, aplikací a služeb. Samostatným problémem je nerozvinutost tzv. sdílených služeb s úzkou návazností na informační a komunikační technologie, které by měly vést ke snižování </w:t>
      </w:r>
      <w:r w:rsidRPr="000B521F">
        <w:rPr>
          <w:rFonts w:ascii="Times New Roman" w:hAnsi="Times New Roman" w:cs="Times New Roman"/>
          <w:sz w:val="24"/>
          <w:szCs w:val="24"/>
        </w:rPr>
        <w:lastRenderedPageBreak/>
        <w:t>nákladovosti procesů a zvyšování efektivity v podnikání a dále mnoha sektorech lidské činnosti.</w:t>
      </w:r>
    </w:p>
    <w:p w:rsidR="00CF4BE7" w:rsidRPr="000B521F" w:rsidRDefault="00CF4BE7" w:rsidP="0059011D">
      <w:pPr>
        <w:pStyle w:val="Bezmezer"/>
        <w:rPr>
          <w:rFonts w:ascii="Times New Roman" w:hAnsi="Times New Roman" w:cs="Times New Roman"/>
          <w:sz w:val="24"/>
          <w:szCs w:val="24"/>
        </w:rPr>
      </w:pPr>
      <w:r w:rsidRPr="000B521F">
        <w:rPr>
          <w:rFonts w:ascii="Times New Roman" w:hAnsi="Times New Roman" w:cs="Times New Roman"/>
          <w:i/>
          <w:sz w:val="24"/>
          <w:szCs w:val="24"/>
        </w:rPr>
        <w:t>Potřeba rozvoje</w:t>
      </w:r>
      <w:r w:rsidRPr="000B521F">
        <w:rPr>
          <w:rFonts w:ascii="Times New Roman" w:hAnsi="Times New Roman" w:cs="Times New Roman"/>
          <w:sz w:val="24"/>
          <w:szCs w:val="24"/>
        </w:rPr>
        <w:t>:</w:t>
      </w:r>
    </w:p>
    <w:p w:rsidR="008206A4" w:rsidRPr="000B521F" w:rsidRDefault="00CF4BE7" w:rsidP="0059011D">
      <w:pPr>
        <w:pStyle w:val="Bezmezer"/>
        <w:numPr>
          <w:ilvl w:val="0"/>
          <w:numId w:val="62"/>
        </w:numPr>
        <w:rPr>
          <w:rFonts w:ascii="Times New Roman" w:hAnsi="Times New Roman" w:cs="Times New Roman"/>
          <w:sz w:val="24"/>
          <w:szCs w:val="24"/>
        </w:rPr>
      </w:pPr>
      <w:r w:rsidRPr="000B521F">
        <w:rPr>
          <w:rFonts w:ascii="Times New Roman" w:hAnsi="Times New Roman" w:cs="Times New Roman"/>
          <w:sz w:val="24"/>
          <w:szCs w:val="24"/>
        </w:rPr>
        <w:t>Posílení tvorby (vývoje) a fungování ICT aplikací a služeb, včetně sdílených služeb zahrnujících budování a modernizaci datových center.</w:t>
      </w:r>
    </w:p>
    <w:p w:rsidR="00AD4618" w:rsidRPr="000B521F" w:rsidRDefault="00AD4618" w:rsidP="0059011D">
      <w:pPr>
        <w:pStyle w:val="Bezmezer"/>
        <w:rPr>
          <w:rFonts w:ascii="Times New Roman" w:hAnsi="Times New Roman" w:cs="Times New Roman"/>
          <w:sz w:val="24"/>
          <w:szCs w:val="24"/>
        </w:rPr>
      </w:pPr>
    </w:p>
    <w:p w:rsidR="00AD4618" w:rsidRPr="000B521F" w:rsidRDefault="00AD4618" w:rsidP="005B6699">
      <w:pPr>
        <w:pStyle w:val="Bezmezer"/>
        <w:rPr>
          <w:rFonts w:ascii="Times New Roman" w:hAnsi="Times New Roman" w:cs="Times New Roman"/>
          <w:b/>
          <w:sz w:val="24"/>
          <w:szCs w:val="24"/>
        </w:rPr>
      </w:pPr>
      <w:r w:rsidRPr="000B521F">
        <w:rPr>
          <w:rFonts w:ascii="Times New Roman" w:hAnsi="Times New Roman" w:cs="Times New Roman"/>
          <w:b/>
          <w:sz w:val="24"/>
          <w:szCs w:val="24"/>
        </w:rPr>
        <w:t>Specifické potřeby výzvy městského a venkovského prostoru a přeshraničních regionů:</w:t>
      </w:r>
    </w:p>
    <w:p w:rsidR="005C2131" w:rsidRDefault="008D25FA" w:rsidP="005C2131">
      <w:pPr>
        <w:pStyle w:val="Bezmezer"/>
        <w:numPr>
          <w:ilvl w:val="0"/>
          <w:numId w:val="63"/>
        </w:numPr>
        <w:spacing w:after="120"/>
        <w:ind w:left="714" w:hanging="357"/>
        <w:contextualSpacing/>
        <w:rPr>
          <w:rFonts w:ascii="Times New Roman" w:hAnsi="Times New Roman" w:cs="Times New Roman"/>
          <w:sz w:val="24"/>
          <w:szCs w:val="24"/>
        </w:rPr>
      </w:pPr>
      <w:r>
        <w:rPr>
          <w:rFonts w:ascii="Times New Roman" w:hAnsi="Times New Roman" w:cs="Times New Roman"/>
          <w:sz w:val="24"/>
          <w:szCs w:val="24"/>
        </w:rPr>
        <w:t>V</w:t>
      </w:r>
      <w:r w:rsidR="00AD4618" w:rsidRPr="000B521F">
        <w:rPr>
          <w:rFonts w:ascii="Times New Roman" w:hAnsi="Times New Roman" w:cs="Times New Roman"/>
          <w:sz w:val="24"/>
          <w:szCs w:val="24"/>
        </w:rPr>
        <w:t>e městech a jejich zázemí jde především o zvýšení kapacit sítí včetně vysokorychlostních</w:t>
      </w:r>
      <w:r>
        <w:rPr>
          <w:rFonts w:ascii="Times New Roman" w:hAnsi="Times New Roman" w:cs="Times New Roman"/>
          <w:sz w:val="24"/>
          <w:szCs w:val="24"/>
        </w:rPr>
        <w:t>.</w:t>
      </w:r>
    </w:p>
    <w:p w:rsidR="008206A4" w:rsidRPr="005C2131" w:rsidRDefault="008D25FA" w:rsidP="005C2131">
      <w:pPr>
        <w:pStyle w:val="Bezmezer"/>
        <w:numPr>
          <w:ilvl w:val="0"/>
          <w:numId w:val="63"/>
        </w:numPr>
        <w:spacing w:after="120"/>
        <w:ind w:left="714" w:hanging="357"/>
        <w:contextualSpacing/>
        <w:rPr>
          <w:rFonts w:ascii="Times New Roman" w:hAnsi="Times New Roman" w:cs="Times New Roman"/>
          <w:sz w:val="24"/>
          <w:szCs w:val="24"/>
        </w:rPr>
      </w:pPr>
      <w:r w:rsidRPr="005C2131">
        <w:rPr>
          <w:rFonts w:ascii="Times New Roman" w:hAnsi="Times New Roman" w:cs="Times New Roman"/>
          <w:sz w:val="24"/>
          <w:szCs w:val="24"/>
        </w:rPr>
        <w:t>V</w:t>
      </w:r>
      <w:r w:rsidR="00AD4618" w:rsidRPr="005C2131">
        <w:rPr>
          <w:rFonts w:ascii="Times New Roman" w:hAnsi="Times New Roman" w:cs="Times New Roman"/>
          <w:sz w:val="24"/>
          <w:szCs w:val="24"/>
        </w:rPr>
        <w:t>e venkovském prostoru zajištění dostupnosti vysokorychlostního internetu</w:t>
      </w:r>
      <w:r w:rsidRPr="005C2131">
        <w:rPr>
          <w:rFonts w:ascii="Times New Roman" w:hAnsi="Times New Roman" w:cs="Times New Roman"/>
          <w:sz w:val="24"/>
          <w:szCs w:val="24"/>
        </w:rPr>
        <w:t>.</w:t>
      </w:r>
    </w:p>
    <w:p w:rsidR="005C2131" w:rsidRDefault="005C2131" w:rsidP="0059011D">
      <w:pPr>
        <w:pStyle w:val="Tabulka"/>
        <w:spacing w:before="120" w:after="60"/>
        <w:rPr>
          <w:szCs w:val="20"/>
        </w:rPr>
      </w:pPr>
    </w:p>
    <w:p w:rsidR="00CF4BE7" w:rsidRPr="000B521F" w:rsidRDefault="00CF4BE7" w:rsidP="0059011D">
      <w:pPr>
        <w:pStyle w:val="Tabulka"/>
        <w:spacing w:before="120" w:after="60"/>
        <w:rPr>
          <w:szCs w:val="20"/>
        </w:rPr>
      </w:pPr>
      <w:r w:rsidRPr="000B521F">
        <w:rPr>
          <w:szCs w:val="20"/>
        </w:rPr>
        <w:t>Vazby na dokumenty EU</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087"/>
      </w:tblGrid>
      <w:tr w:rsidR="00CF4BE7" w:rsidRPr="000B521F" w:rsidTr="00761093">
        <w:trPr>
          <w:trHeight w:val="765"/>
        </w:trPr>
        <w:tc>
          <w:tcPr>
            <w:tcW w:w="1985"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CF4BE7" w:rsidRPr="000B521F" w:rsidRDefault="00CF4BE7"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Strategie Evropa 2020</w:t>
            </w:r>
          </w:p>
        </w:tc>
        <w:tc>
          <w:tcPr>
            <w:tcW w:w="70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4BE7" w:rsidRPr="000B521F" w:rsidRDefault="00CF4BE7" w:rsidP="0059011D">
            <w:pPr>
              <w:pStyle w:val="DAVA"/>
              <w:spacing w:before="60" w:after="60"/>
              <w:rPr>
                <w:rFonts w:ascii="Times New Roman" w:hAnsi="Times New Roman"/>
                <w:sz w:val="20"/>
                <w:szCs w:val="20"/>
              </w:rPr>
            </w:pPr>
            <w:r w:rsidRPr="000B521F">
              <w:rPr>
                <w:rFonts w:ascii="Times New Roman" w:hAnsi="Times New Roman"/>
                <w:sz w:val="20"/>
                <w:szCs w:val="20"/>
              </w:rPr>
              <w:t>Oblast ICT se neváže přímo na kvantifikované cíle Strategie Evropa 2020; vychází se z vazeb na cíle Definované v Digitální agendě EU:</w:t>
            </w:r>
          </w:p>
          <w:p w:rsidR="008D25FA" w:rsidRDefault="00CF4BE7" w:rsidP="008D25FA">
            <w:pPr>
              <w:pStyle w:val="DAVA"/>
              <w:spacing w:before="60" w:after="60"/>
              <w:rPr>
                <w:rFonts w:ascii="Times New Roman" w:hAnsi="Times New Roman"/>
                <w:sz w:val="20"/>
                <w:szCs w:val="20"/>
              </w:rPr>
            </w:pPr>
            <w:r w:rsidRPr="000B521F">
              <w:rPr>
                <w:rFonts w:ascii="Times New Roman" w:hAnsi="Times New Roman"/>
                <w:sz w:val="20"/>
                <w:szCs w:val="20"/>
              </w:rPr>
              <w:t>Iniciativa Digitální program pro Evropu</w:t>
            </w:r>
            <w:r w:rsidR="008D25FA">
              <w:rPr>
                <w:rFonts w:ascii="Times New Roman" w:hAnsi="Times New Roman"/>
                <w:sz w:val="20"/>
                <w:szCs w:val="20"/>
              </w:rPr>
              <w:t>.</w:t>
            </w:r>
          </w:p>
          <w:p w:rsidR="00CF4BE7" w:rsidRPr="000B521F" w:rsidRDefault="00CF4BE7" w:rsidP="008D25FA">
            <w:pPr>
              <w:pStyle w:val="DAVA"/>
              <w:spacing w:before="60" w:after="60"/>
              <w:rPr>
                <w:rFonts w:ascii="Times New Roman" w:hAnsi="Times New Roman"/>
                <w:sz w:val="20"/>
                <w:szCs w:val="20"/>
              </w:rPr>
            </w:pPr>
            <w:r w:rsidRPr="000B521F">
              <w:rPr>
                <w:rFonts w:ascii="Times New Roman" w:hAnsi="Times New Roman"/>
                <w:sz w:val="20"/>
                <w:szCs w:val="20"/>
              </w:rPr>
              <w:t>Integrovaný hlavní směr 4 „Optimalizovat podporu výzkumu, vývoje a inovací, posílit znalostní trojúhelník a rozvinout potenciál digitální ekonomiky“, částečně 6 „Zlepšit obchodní a spotřebitelské prostředí, modernizovat a rozvinout průmyslovou základnu za účelem dosažení plné funkčnosti vnitřního trhu“</w:t>
            </w:r>
            <w:r w:rsidR="008D25FA">
              <w:rPr>
                <w:rFonts w:ascii="Times New Roman" w:hAnsi="Times New Roman"/>
                <w:sz w:val="20"/>
                <w:szCs w:val="20"/>
              </w:rPr>
              <w:t>.</w:t>
            </w:r>
            <w:r w:rsidRPr="000B521F">
              <w:rPr>
                <w:rFonts w:ascii="Times New Roman" w:hAnsi="Times New Roman"/>
                <w:sz w:val="20"/>
                <w:szCs w:val="20"/>
              </w:rPr>
              <w:t xml:space="preserve"> </w:t>
            </w:r>
          </w:p>
        </w:tc>
      </w:tr>
      <w:tr w:rsidR="00CF4BE7" w:rsidRPr="000B521F" w:rsidTr="00761093">
        <w:trPr>
          <w:trHeight w:val="407"/>
        </w:trPr>
        <w:tc>
          <w:tcPr>
            <w:tcW w:w="1985"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CF4BE7" w:rsidRPr="000B521F" w:rsidRDefault="00CF4BE7"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Společný strategický rámec</w:t>
            </w:r>
          </w:p>
        </w:tc>
        <w:tc>
          <w:tcPr>
            <w:tcW w:w="70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4BE7" w:rsidRPr="000B521F" w:rsidRDefault="00CF4BE7" w:rsidP="0059011D">
            <w:pPr>
              <w:pStyle w:val="DAVA"/>
              <w:spacing w:before="60" w:after="60"/>
              <w:rPr>
                <w:rFonts w:ascii="Times New Roman" w:hAnsi="Times New Roman"/>
                <w:sz w:val="20"/>
                <w:szCs w:val="20"/>
              </w:rPr>
            </w:pPr>
            <w:r w:rsidRPr="000B521F">
              <w:rPr>
                <w:rFonts w:ascii="Times New Roman" w:hAnsi="Times New Roman"/>
                <w:sz w:val="20"/>
                <w:szCs w:val="20"/>
              </w:rPr>
              <w:t>Příloha 1: 4.8 Členské státy a Komise vytvoří odpovídající mechanismy koordinace a technické podpory, aby byla zajištěna doplňkovost a efektivní plánování opatření v oblasti ICT s cílem plně využít jednotlivé unijní nástroje (, CEF, TEN-T, Horizon2020) pro financování širokopásmových sítí a infrastruktury digitálních služeb.</w:t>
            </w:r>
          </w:p>
        </w:tc>
      </w:tr>
      <w:tr w:rsidR="00CF4BE7" w:rsidRPr="000B521F" w:rsidTr="00761093">
        <w:trPr>
          <w:trHeight w:val="407"/>
        </w:trPr>
        <w:tc>
          <w:tcPr>
            <w:tcW w:w="1985"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CF4BE7" w:rsidRPr="000B521F" w:rsidRDefault="00CF4BE7"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Tematické cíle</w:t>
            </w:r>
          </w:p>
        </w:tc>
        <w:tc>
          <w:tcPr>
            <w:tcW w:w="7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BE7" w:rsidRPr="000B521F" w:rsidRDefault="00CF4BE7" w:rsidP="008D25FA">
            <w:pPr>
              <w:pStyle w:val="DAVA"/>
              <w:spacing w:before="60" w:after="60"/>
              <w:rPr>
                <w:rFonts w:ascii="Times New Roman" w:hAnsi="Times New Roman"/>
                <w:sz w:val="20"/>
                <w:szCs w:val="20"/>
              </w:rPr>
            </w:pPr>
            <w:r w:rsidRPr="000B521F">
              <w:rPr>
                <w:rFonts w:ascii="Times New Roman" w:hAnsi="Times New Roman"/>
                <w:sz w:val="20"/>
                <w:szCs w:val="20"/>
              </w:rPr>
              <w:t>2. Zlepšení přístupu k informačním a komunikačním technologiím (ICT), jejich využití a kvality</w:t>
            </w:r>
            <w:r w:rsidR="008D25FA">
              <w:rPr>
                <w:rFonts w:ascii="Times New Roman" w:hAnsi="Times New Roman"/>
                <w:sz w:val="20"/>
                <w:szCs w:val="20"/>
              </w:rPr>
              <w:t>.</w:t>
            </w:r>
          </w:p>
        </w:tc>
      </w:tr>
      <w:tr w:rsidR="00CF4BE7" w:rsidRPr="000B521F" w:rsidTr="00761093">
        <w:tc>
          <w:tcPr>
            <w:tcW w:w="1985"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CF4BE7" w:rsidRPr="000B521F" w:rsidRDefault="00CF4BE7"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Specifická doporučení Rady</w:t>
            </w:r>
          </w:p>
        </w:tc>
        <w:tc>
          <w:tcPr>
            <w:tcW w:w="70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4BE7" w:rsidRPr="000B521F" w:rsidRDefault="00CF4BE7" w:rsidP="0059011D">
            <w:pPr>
              <w:pStyle w:val="DAVA"/>
              <w:spacing w:before="60" w:after="60"/>
              <w:rPr>
                <w:rFonts w:ascii="Times New Roman" w:hAnsi="Times New Roman"/>
                <w:sz w:val="20"/>
                <w:szCs w:val="20"/>
              </w:rPr>
            </w:pPr>
            <w:r w:rsidRPr="000B521F">
              <w:rPr>
                <w:rFonts w:ascii="Times New Roman" w:hAnsi="Times New Roman"/>
                <w:sz w:val="20"/>
                <w:szCs w:val="20"/>
              </w:rPr>
              <w:t>není relevantní</w:t>
            </w:r>
          </w:p>
        </w:tc>
      </w:tr>
    </w:tbl>
    <w:p w:rsidR="00CF4BE7" w:rsidRPr="000B521F" w:rsidRDefault="00CF4BE7" w:rsidP="0059011D">
      <w:pPr>
        <w:pStyle w:val="Tabulka"/>
        <w:spacing w:before="120" w:after="60"/>
        <w:rPr>
          <w:szCs w:val="20"/>
        </w:rPr>
      </w:pPr>
      <w:r w:rsidRPr="000B521F">
        <w:rPr>
          <w:szCs w:val="20"/>
        </w:rPr>
        <w:t>Vazby na dokumenty ČR</w:t>
      </w:r>
    </w:p>
    <w:tbl>
      <w:tblPr>
        <w:tblW w:w="90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6"/>
        <w:gridCol w:w="7089"/>
      </w:tblGrid>
      <w:tr w:rsidR="00CF4BE7" w:rsidRPr="000B521F" w:rsidTr="00761093">
        <w:trPr>
          <w:trHeight w:val="395"/>
        </w:trPr>
        <w:tc>
          <w:tcPr>
            <w:tcW w:w="1985"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CF4BE7" w:rsidRPr="000B521F" w:rsidRDefault="00CF4BE7"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Národní program reforem</w:t>
            </w:r>
          </w:p>
        </w:tc>
        <w:tc>
          <w:tcPr>
            <w:tcW w:w="70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4BE7" w:rsidRPr="000B521F" w:rsidRDefault="00CF4BE7" w:rsidP="0059011D">
            <w:pPr>
              <w:pStyle w:val="DAVA"/>
              <w:spacing w:before="60" w:after="60"/>
              <w:rPr>
                <w:rFonts w:ascii="Times New Roman" w:hAnsi="Times New Roman"/>
                <w:sz w:val="20"/>
                <w:szCs w:val="20"/>
              </w:rPr>
            </w:pPr>
            <w:r w:rsidRPr="000B521F">
              <w:rPr>
                <w:rFonts w:ascii="Times New Roman" w:hAnsi="Times New Roman"/>
                <w:sz w:val="20"/>
                <w:szCs w:val="20"/>
              </w:rPr>
              <w:t>3.2.5 Rozvoj digitální infrastruktury a Strategie Digitální Česko</w:t>
            </w:r>
            <w:r w:rsidR="008D25FA">
              <w:rPr>
                <w:rFonts w:ascii="Times New Roman" w:hAnsi="Times New Roman"/>
                <w:sz w:val="20"/>
                <w:szCs w:val="20"/>
              </w:rPr>
              <w:t>.</w:t>
            </w:r>
            <w:r w:rsidRPr="000B521F">
              <w:rPr>
                <w:rFonts w:ascii="Times New Roman" w:hAnsi="Times New Roman"/>
                <w:sz w:val="20"/>
                <w:szCs w:val="20"/>
              </w:rPr>
              <w:t xml:space="preserve"> </w:t>
            </w:r>
          </w:p>
        </w:tc>
      </w:tr>
      <w:tr w:rsidR="00CF4BE7" w:rsidRPr="000B521F" w:rsidTr="00761093">
        <w:trPr>
          <w:trHeight w:val="407"/>
        </w:trPr>
        <w:tc>
          <w:tcPr>
            <w:tcW w:w="1985"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CF4BE7" w:rsidRPr="000B521F" w:rsidRDefault="00CF4BE7"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Strategie mezinárodní konkurenceschopnosti ČR</w:t>
            </w:r>
          </w:p>
        </w:tc>
        <w:tc>
          <w:tcPr>
            <w:tcW w:w="70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4BE7" w:rsidRPr="000B521F" w:rsidRDefault="00CF4BE7" w:rsidP="0059011D">
            <w:pPr>
              <w:pStyle w:val="DAVA"/>
              <w:spacing w:before="60" w:after="60"/>
              <w:rPr>
                <w:rFonts w:ascii="Times New Roman" w:hAnsi="Times New Roman"/>
                <w:sz w:val="20"/>
                <w:szCs w:val="20"/>
              </w:rPr>
            </w:pPr>
            <w:r w:rsidRPr="000B521F">
              <w:rPr>
                <w:rFonts w:ascii="Times New Roman" w:hAnsi="Times New Roman"/>
                <w:sz w:val="20"/>
                <w:szCs w:val="20"/>
              </w:rPr>
              <w:t>1.3 Zjednodušení přístupu ke službám veřejné správy – informační systémy veřejné správy, jednotné inkasní místo</w:t>
            </w:r>
            <w:r w:rsidR="008D25FA">
              <w:rPr>
                <w:rFonts w:ascii="Times New Roman" w:hAnsi="Times New Roman"/>
                <w:sz w:val="20"/>
                <w:szCs w:val="20"/>
              </w:rPr>
              <w:t>.</w:t>
            </w:r>
          </w:p>
          <w:p w:rsidR="00CF4BE7" w:rsidRPr="000B521F" w:rsidRDefault="00CF4BE7" w:rsidP="0059011D">
            <w:pPr>
              <w:pStyle w:val="DAVA"/>
              <w:spacing w:before="60" w:after="60"/>
              <w:rPr>
                <w:rFonts w:ascii="Times New Roman" w:hAnsi="Times New Roman"/>
                <w:sz w:val="20"/>
                <w:szCs w:val="20"/>
              </w:rPr>
            </w:pPr>
            <w:r w:rsidRPr="000B521F">
              <w:rPr>
                <w:rFonts w:ascii="Times New Roman" w:hAnsi="Times New Roman"/>
                <w:sz w:val="20"/>
                <w:szCs w:val="20"/>
              </w:rPr>
              <w:t>2.10 Implementace státní politiky Digitální Česko – rozvoj vysokorychlostního internetu, využití jednotného digitálního trhu domácnostmi a podniky</w:t>
            </w:r>
            <w:r w:rsidR="008D25FA">
              <w:rPr>
                <w:rFonts w:ascii="Times New Roman" w:hAnsi="Times New Roman"/>
                <w:sz w:val="20"/>
                <w:szCs w:val="20"/>
              </w:rPr>
              <w:t>.</w:t>
            </w:r>
          </w:p>
        </w:tc>
      </w:tr>
      <w:tr w:rsidR="00CF4BE7" w:rsidRPr="000B521F" w:rsidTr="00761093">
        <w:tc>
          <w:tcPr>
            <w:tcW w:w="1985"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CF4BE7" w:rsidRPr="000B521F" w:rsidRDefault="00CF4BE7"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Strategie regionálního rozvoje</w:t>
            </w:r>
          </w:p>
        </w:tc>
        <w:tc>
          <w:tcPr>
            <w:tcW w:w="70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4BE7" w:rsidRPr="000B521F" w:rsidRDefault="00CF4BE7" w:rsidP="0059011D">
            <w:pPr>
              <w:pStyle w:val="DAVA"/>
              <w:spacing w:before="60" w:after="60"/>
              <w:rPr>
                <w:rFonts w:ascii="Times New Roman" w:hAnsi="Times New Roman"/>
                <w:sz w:val="20"/>
                <w:szCs w:val="20"/>
              </w:rPr>
            </w:pPr>
            <w:r w:rsidRPr="000B521F">
              <w:rPr>
                <w:rFonts w:ascii="Times New Roman" w:hAnsi="Times New Roman"/>
                <w:sz w:val="20"/>
                <w:szCs w:val="20"/>
              </w:rPr>
              <w:t>Priorita 8 Zkvalitnění institucionálního rámce pro rozvoj regionů, opatření 8.3 Informační a komunikační podpora fungování územní veřejné správy (digitalizace veřejné správy)</w:t>
            </w:r>
            <w:r w:rsidR="008D25FA">
              <w:rPr>
                <w:rFonts w:ascii="Times New Roman" w:hAnsi="Times New Roman"/>
                <w:sz w:val="20"/>
                <w:szCs w:val="20"/>
              </w:rPr>
              <w:t>.</w:t>
            </w:r>
          </w:p>
        </w:tc>
      </w:tr>
      <w:tr w:rsidR="00CF4BE7" w:rsidRPr="000B521F" w:rsidTr="00761093">
        <w:tc>
          <w:tcPr>
            <w:tcW w:w="1985"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CF4BE7" w:rsidRPr="000B521F" w:rsidRDefault="00CF4BE7"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Státní politika v elektronických komunikacích (Digitální Česko)</w:t>
            </w:r>
          </w:p>
        </w:tc>
        <w:tc>
          <w:tcPr>
            <w:tcW w:w="708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4BE7" w:rsidRPr="000B521F" w:rsidRDefault="00CF4BE7" w:rsidP="0059011D">
            <w:pPr>
              <w:pStyle w:val="DAVA"/>
              <w:spacing w:before="60" w:after="60"/>
              <w:rPr>
                <w:rFonts w:ascii="Times New Roman" w:hAnsi="Times New Roman"/>
                <w:sz w:val="20"/>
                <w:szCs w:val="20"/>
              </w:rPr>
            </w:pPr>
            <w:r w:rsidRPr="000B521F">
              <w:rPr>
                <w:rFonts w:ascii="Times New Roman" w:hAnsi="Times New Roman"/>
                <w:sz w:val="20"/>
                <w:szCs w:val="20"/>
              </w:rPr>
              <w:t>Podpora výstavby NGA sítí (využití veřejných zdrojů, zjednodušení administrativy spojené s výstavbou a na snížení poplatků spojených s věcnými břemeny).</w:t>
            </w:r>
          </w:p>
          <w:p w:rsidR="00CF4BE7" w:rsidRPr="000B521F" w:rsidRDefault="00CF4BE7" w:rsidP="0059011D">
            <w:pPr>
              <w:pStyle w:val="DAVA"/>
              <w:spacing w:before="60" w:after="60"/>
              <w:rPr>
                <w:rFonts w:ascii="Times New Roman" w:hAnsi="Times New Roman"/>
                <w:sz w:val="20"/>
                <w:szCs w:val="20"/>
              </w:rPr>
            </w:pPr>
            <w:r w:rsidRPr="000B521F">
              <w:rPr>
                <w:rFonts w:ascii="Times New Roman" w:hAnsi="Times New Roman"/>
                <w:sz w:val="20"/>
                <w:szCs w:val="20"/>
              </w:rPr>
              <w:t>Využívání nových technologií v oblasti ICT</w:t>
            </w:r>
            <w:r w:rsidR="008D25FA">
              <w:rPr>
                <w:rFonts w:ascii="Times New Roman" w:hAnsi="Times New Roman"/>
                <w:sz w:val="20"/>
                <w:szCs w:val="20"/>
              </w:rPr>
              <w:t>.</w:t>
            </w:r>
          </w:p>
          <w:p w:rsidR="00CF4BE7" w:rsidRPr="000B521F" w:rsidRDefault="00CF4BE7" w:rsidP="0059011D">
            <w:pPr>
              <w:pStyle w:val="DAVA"/>
              <w:spacing w:before="60" w:after="60"/>
              <w:rPr>
                <w:rFonts w:ascii="Times New Roman" w:hAnsi="Times New Roman"/>
                <w:sz w:val="20"/>
                <w:szCs w:val="20"/>
              </w:rPr>
            </w:pPr>
            <w:r w:rsidRPr="000B521F">
              <w:rPr>
                <w:rFonts w:ascii="Times New Roman" w:hAnsi="Times New Roman"/>
                <w:sz w:val="20"/>
                <w:szCs w:val="20"/>
              </w:rPr>
              <w:t>Digitální trh</w:t>
            </w:r>
            <w:r w:rsidR="008D25FA">
              <w:rPr>
                <w:rFonts w:ascii="Times New Roman" w:hAnsi="Times New Roman"/>
                <w:sz w:val="20"/>
                <w:szCs w:val="20"/>
              </w:rPr>
              <w:t>.</w:t>
            </w:r>
          </w:p>
          <w:p w:rsidR="00CF4BE7" w:rsidRPr="000B521F" w:rsidRDefault="00CF4BE7" w:rsidP="008D25FA">
            <w:pPr>
              <w:pStyle w:val="DAVA"/>
              <w:spacing w:before="60" w:after="60"/>
              <w:rPr>
                <w:rFonts w:ascii="Times New Roman" w:hAnsi="Times New Roman"/>
                <w:sz w:val="20"/>
                <w:szCs w:val="20"/>
              </w:rPr>
            </w:pPr>
            <w:r w:rsidRPr="000B521F">
              <w:rPr>
                <w:rFonts w:ascii="Times New Roman" w:hAnsi="Times New Roman"/>
                <w:sz w:val="20"/>
                <w:szCs w:val="20"/>
              </w:rPr>
              <w:t>Posílení digitální gramotnosti, dovedností a začlenění</w:t>
            </w:r>
            <w:r w:rsidR="008D25FA">
              <w:rPr>
                <w:rFonts w:ascii="Times New Roman" w:hAnsi="Times New Roman"/>
                <w:sz w:val="20"/>
                <w:szCs w:val="20"/>
              </w:rPr>
              <w:t xml:space="preserve"> </w:t>
            </w:r>
            <w:r w:rsidRPr="000B521F">
              <w:rPr>
                <w:rFonts w:ascii="Times New Roman" w:hAnsi="Times New Roman"/>
                <w:sz w:val="20"/>
                <w:szCs w:val="20"/>
              </w:rPr>
              <w:t>a další opatření</w:t>
            </w:r>
            <w:r w:rsidR="008D25FA">
              <w:rPr>
                <w:rFonts w:ascii="Times New Roman" w:hAnsi="Times New Roman"/>
                <w:sz w:val="20"/>
                <w:szCs w:val="20"/>
              </w:rPr>
              <w:t>.</w:t>
            </w:r>
          </w:p>
        </w:tc>
      </w:tr>
    </w:tbl>
    <w:p w:rsidR="00CF4BE7" w:rsidRPr="000B521F" w:rsidRDefault="00CF4BE7"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Další klíčové dokumenty vztahující se k dané problematické oblasti jsou Efektivní veřejná správa a přátelské veřejné služby - Strategie realizace Smart Administration, Strategický rámec rozvoje veřejné správy a eGovernmentu 2014+, dokument reflektující pilíře Digitální agendy, a další sektorové dokumenty definované v dílčích operačních programech.</w:t>
      </w:r>
    </w:p>
    <w:p w:rsidR="00147E55" w:rsidRPr="000B521F" w:rsidRDefault="00147E55" w:rsidP="0059011D">
      <w:pPr>
        <w:spacing w:after="120" w:line="240" w:lineRule="auto"/>
        <w:jc w:val="both"/>
        <w:rPr>
          <w:rFonts w:ascii="Times New Roman" w:hAnsi="Times New Roman" w:cs="Times New Roman"/>
          <w:sz w:val="24"/>
          <w:szCs w:val="24"/>
        </w:rPr>
      </w:pPr>
    </w:p>
    <w:p w:rsidR="008206A4" w:rsidRPr="000B521F" w:rsidRDefault="00CF4BE7" w:rsidP="0059011D">
      <w:pPr>
        <w:pStyle w:val="Nadpis4"/>
        <w:numPr>
          <w:ilvl w:val="3"/>
          <w:numId w:val="14"/>
        </w:numPr>
        <w:spacing w:before="120" w:after="120"/>
        <w:ind w:left="0" w:firstLine="0"/>
        <w:rPr>
          <w:rFonts w:ascii="Times New Roman" w:hAnsi="Times New Roman" w:cs="Times New Roman"/>
          <w:sz w:val="24"/>
          <w:szCs w:val="24"/>
        </w:rPr>
      </w:pPr>
      <w:bookmarkStart w:id="33" w:name="_Toc374702863"/>
      <w:r w:rsidRPr="000B521F">
        <w:rPr>
          <w:rFonts w:ascii="Times New Roman" w:hAnsi="Times New Roman" w:cs="Times New Roman"/>
          <w:sz w:val="24"/>
          <w:szCs w:val="24"/>
        </w:rPr>
        <w:lastRenderedPageBreak/>
        <w:t>Energetická infrastruktura</w:t>
      </w:r>
      <w:bookmarkEnd w:id="33"/>
    </w:p>
    <w:p w:rsidR="00CF4BE7" w:rsidRPr="000B521F" w:rsidRDefault="00CF4BE7" w:rsidP="0059011D">
      <w:pPr>
        <w:spacing w:after="120" w:line="240" w:lineRule="auto"/>
        <w:rPr>
          <w:rFonts w:ascii="Times New Roman" w:hAnsi="Times New Roman" w:cs="Times New Roman"/>
          <w:b/>
          <w:sz w:val="24"/>
          <w:szCs w:val="24"/>
        </w:rPr>
      </w:pPr>
      <w:r w:rsidRPr="000B521F">
        <w:rPr>
          <w:rFonts w:ascii="Times New Roman" w:hAnsi="Times New Roman" w:cs="Times New Roman"/>
          <w:b/>
          <w:sz w:val="24"/>
          <w:szCs w:val="24"/>
        </w:rPr>
        <w:t>Východiska a charakteristika</w:t>
      </w:r>
    </w:p>
    <w:p w:rsidR="00CF4BE7" w:rsidRPr="000B521F" w:rsidRDefault="00CF4BE7"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Dle státní energetické koncepce ČR současná energetická spotřeba v České republice je pokryta z více než 50% domácími zdroji primární energie. Ukazatel dovozní energetické závislosti ČR (včetně zahrnutí jaderného paliva) dosahuje tedy méně než 50% a patří tak k nejnižším v celé EU. To je v situaci celosvětového důrazu na energetickou bezpečnost jedna ze silných stránek tuzemské energetiky. Česká republika je plně soběstačná ve výrobě elektřiny a tepla. Avšak s ohledem na pokles využívání nejvýznamnějšího domácího zdroje energie (hnědé a černé uhlí) je potřeba v příštích desetiletích počítat s nárůstem dovozní energetické závislosti až do výše 65% do roku 2030 a 70% do roku 2040. </w:t>
      </w:r>
    </w:p>
    <w:p w:rsidR="00CF4BE7" w:rsidRPr="000B521F" w:rsidRDefault="00CF4BE7" w:rsidP="0059011D">
      <w:pPr>
        <w:spacing w:after="120" w:line="240" w:lineRule="auto"/>
        <w:jc w:val="both"/>
        <w:rPr>
          <w:rFonts w:ascii="Times New Roman" w:eastAsia="Times New Roman" w:hAnsi="Times New Roman" w:cs="Times New Roman"/>
          <w:sz w:val="24"/>
          <w:szCs w:val="24"/>
        </w:rPr>
      </w:pPr>
      <w:r w:rsidRPr="000B521F">
        <w:rPr>
          <w:rFonts w:ascii="Times New Roman" w:hAnsi="Times New Roman" w:cs="Times New Roman"/>
          <w:sz w:val="24"/>
          <w:szCs w:val="24"/>
        </w:rPr>
        <w:t>Pro zajištění maximálně možné nezávislosti ČR na cizích energetických zdrojích je třeba podporovat optimální využití konvenčních i obnovitelných zdrojů energie na území ČR. Cílová hodnota pro EU vyplývající ze strategie Evropa 2020 činí 20 % podílu energie z obnovitelných zdrojů v roce 2020. Pro Českou republiku byl Evropskou komisí stanoven i s ohledem na omezené možnosti vzhledem ke geografickým podmínkám nižší, minimálně 13 % podíl energie z obnovitelných zdrojů na hrubé konečné spotřebě energie v roce 2020. Podíl energie z OZE od roku 2005 v ČR díky přijaté podpoře setrvale a výrazně stoupal, až dosáhl v roce 2011  9,35 % hrubé domácí konečné spotřeby energie.Cílem ČR je další zvýšení podílu energie z OZE, avšak při přehodnocení formy podpory a minimalizace finančních dopadů OZE na ekonomiku a obyvatelstvo.</w:t>
      </w:r>
    </w:p>
    <w:p w:rsidR="00CF4BE7" w:rsidRPr="000B521F" w:rsidRDefault="00CF4BE7" w:rsidP="0059011D">
      <w:pPr>
        <w:spacing w:after="120" w:line="240" w:lineRule="auto"/>
        <w:jc w:val="both"/>
        <w:rPr>
          <w:rFonts w:ascii="Times New Roman" w:eastAsia="Times New Roman" w:hAnsi="Times New Roman" w:cs="Times New Roman"/>
          <w:sz w:val="24"/>
          <w:szCs w:val="24"/>
        </w:rPr>
      </w:pPr>
      <w:r w:rsidRPr="000B521F">
        <w:rPr>
          <w:rFonts w:ascii="Times New Roman" w:eastAsia="Times New Roman" w:hAnsi="Times New Roman" w:cs="Times New Roman"/>
          <w:sz w:val="24"/>
          <w:szCs w:val="24"/>
        </w:rPr>
        <w:t xml:space="preserve">Plynulý nárůst spotřeby je patrný po celém území ČR, což koresponduje s očekávaným trendem ve všech vyspělých zemích. Důsledkem je pak zvýšení potřeby transformačního výkonu přenosové soustavy a distribuční soustavy. Požadavek na zvýšení transformačního výkonu není zapříčiněn jen nárůstem spotřeby, ale může být zapříčiněn úbytkem klasických zdrojů, pokud tento úbytek není nahrazen zdroji s klasickým charakterem výroby, ale je nahrazen zdroji rozptýlené výroby včetně intermitentních (OZE), které nejsou použitelné pro základní zatížení. V návaznosti je třeba rozvíjet celou elektrizační soustavu a to právě na úrovních přenosových a distribučních sítí. Rozvoj zdrojové základny je podmíněn výstavbou nových vedení zajišťujících spolehlivé vyvedení výkonů. Bez rozvoje a modernizace elektrizační soustavy nelze v budoucnu dostatečně uspokojit požadavky rozvíjejících se regionů. </w:t>
      </w:r>
    </w:p>
    <w:p w:rsidR="00CF4BE7" w:rsidRPr="000B521F" w:rsidRDefault="00CF4BE7"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Stejně tak propojení ČR se sítěmi okolních států (především ve směru sever – jih)není dostatečné ve světle změn energetického mixu evropských států (zejména sousedních) a s tím související zajištění bezpečnosti dodávek energií. Pro integraci trhu je nutné posílit vnitřní i přeshraniční kapacity přenosových vedení elektrické energie. Kvalitní napojení energetických sítí na evropské struktury je významné z hlediska energetické bezpečnosti a zajištění stálosti dodávek při exportu i importu energie.</w:t>
      </w:r>
      <w:r w:rsidRPr="000B521F">
        <w:rPr>
          <w:rFonts w:ascii="Times New Roman" w:eastAsia="Times New Roman" w:hAnsi="Times New Roman" w:cs="Times New Roman"/>
          <w:sz w:val="24"/>
          <w:szCs w:val="24"/>
        </w:rPr>
        <w:t>Je očekávána integrace nových inteligentních technologických prvků jako jsou dálkově ovládané prvky, technologické prvky řízení napětí, prvky dálkového řízení spotřeby a inteligentního měření, které slouží jako regulační prvek v tzv. inteligentních sítích (smartgrids). Další integrace OZE je podmíněna komplexním posílením / rozvojem elektrizační soustavy.</w:t>
      </w:r>
      <w:r w:rsidRPr="000B521F">
        <w:rPr>
          <w:rFonts w:ascii="Times New Roman" w:hAnsi="Times New Roman" w:cs="Times New Roman"/>
          <w:sz w:val="24"/>
          <w:szCs w:val="24"/>
        </w:rPr>
        <w:t>Rozvoj energetické infrastruktury a odstranění kapacitních omezení (tzv. úzkých míst) představuje významný impuls pro rozvoj průmyslu, podnikání, celé ekonomiky v ČR do roku 2020. Potřeby investic do energetické infrastruktury jsou definovány ve Státní energetické koncepci a jsou dále průběžně analyzovány provozovatelem přenosové soustavy a distribučních soustav.</w:t>
      </w:r>
    </w:p>
    <w:p w:rsidR="00CF4BE7" w:rsidRPr="000B521F" w:rsidRDefault="00CF4BE7" w:rsidP="0059011D">
      <w:pPr>
        <w:pStyle w:val="Standardntext"/>
        <w:rPr>
          <w:rFonts w:ascii="Times New Roman" w:hAnsi="Times New Roman" w:cs="Times New Roman"/>
          <w:color w:val="000000"/>
        </w:rPr>
      </w:pPr>
      <w:r w:rsidRPr="000B521F">
        <w:rPr>
          <w:rFonts w:ascii="Times New Roman" w:hAnsi="Times New Roman" w:cs="Times New Roman"/>
          <w:color w:val="000000"/>
        </w:rPr>
        <w:t xml:space="preserve">Výroba elektřiny v ČR je spojena s vysokými ztrátami kolem 500 PJ energie ročně. Tyto ztráty vznikají z fyzikální podstaty odvedením nízkokapacitního tepla do okolního prostředí. Současně je nevyužit v mnoha lokalitách potenciál kombinované výroby elektřiny a tepla </w:t>
      </w:r>
      <w:r w:rsidRPr="000B521F">
        <w:rPr>
          <w:rFonts w:ascii="Times New Roman" w:hAnsi="Times New Roman" w:cs="Times New Roman"/>
          <w:color w:val="000000"/>
        </w:rPr>
        <w:lastRenderedPageBreak/>
        <w:t>(KVET), kde je poptávka po užitečném teple realizována výtopenským režimem. Rozvodná tepelná zařízení (RTZ), která umožňují existenci a rozvoj kombinované výroby elektřiny a tepla již v některých případech nevyhovují současným technickým požadavkům na rozvod tepelné energie a docházím ke zvýšeným ztrátám energie. V některých případech bude nutno počítat s řízeným přechodem některých velkých soustav na větší množství menších systémů využívajících menší kogenerační jednotky.</w:t>
      </w:r>
    </w:p>
    <w:p w:rsidR="00CF4BE7" w:rsidRPr="000B521F" w:rsidRDefault="00CF4BE7"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Rozvoj elektrizační soustavy (přenosové a distribuční) </w:t>
      </w:r>
      <w:r w:rsidRPr="000B521F">
        <w:rPr>
          <w:rFonts w:ascii="Times New Roman" w:eastAsia="Times New Roman" w:hAnsi="Times New Roman" w:cs="Times New Roman"/>
          <w:sz w:val="24"/>
          <w:szCs w:val="24"/>
        </w:rPr>
        <w:t xml:space="preserve">a odstranění kapacitních omezení (tzv. úzkých míst), zvýšení využívání </w:t>
      </w:r>
      <w:r w:rsidRPr="000B521F">
        <w:rPr>
          <w:rFonts w:ascii="Times New Roman" w:hAnsi="Times New Roman" w:cs="Times New Roman"/>
          <w:sz w:val="24"/>
          <w:szCs w:val="24"/>
        </w:rPr>
        <w:t>kombinovaných zdrojů elektřiny a tepla a snížení ztrát v tepelných rozvodných zařízeních pomohou rozvíjet podnikatelské aktivity v dodavatelském řetězci od vývoje, výroby, přes instalaci zdroje energie až po výrobu energie. Mají tak silnou vazbu na problémovou oblast Konkurenceschopné podniky a Výzkumný a inovační systém. Silná vazba je rovněž na problémovou oblast Vzdělávání, zejména směrem k podpoře technických oborů. Úspory energie budou mít pozitivní vliv jak na kvalitu ovzduší, tak i na snížení produkce CO</w:t>
      </w:r>
      <w:r w:rsidRPr="000B521F">
        <w:rPr>
          <w:rFonts w:ascii="Times New Roman" w:hAnsi="Times New Roman" w:cs="Times New Roman"/>
          <w:sz w:val="24"/>
          <w:szCs w:val="24"/>
          <w:vertAlign w:val="subscript"/>
        </w:rPr>
        <w:t xml:space="preserve">2 </w:t>
      </w:r>
      <w:r w:rsidRPr="000B521F">
        <w:rPr>
          <w:rFonts w:ascii="Times New Roman" w:hAnsi="Times New Roman" w:cs="Times New Roman"/>
          <w:sz w:val="24"/>
          <w:szCs w:val="24"/>
        </w:rPr>
        <w:t>(zde jednoznačná vazba na problémovou oblast Životní prostředí a Přizpůsobení se změně klimatu).</w:t>
      </w:r>
    </w:p>
    <w:p w:rsidR="00CF4BE7" w:rsidRPr="000B521F" w:rsidRDefault="00CF4BE7" w:rsidP="0059011D">
      <w:pPr>
        <w:spacing w:after="120" w:line="240" w:lineRule="auto"/>
        <w:jc w:val="both"/>
        <w:rPr>
          <w:rFonts w:ascii="Times New Roman" w:hAnsi="Times New Roman" w:cs="Times New Roman"/>
          <w:bCs/>
          <w:sz w:val="24"/>
          <w:szCs w:val="24"/>
        </w:rPr>
      </w:pPr>
      <w:r w:rsidRPr="000B521F">
        <w:rPr>
          <w:rFonts w:ascii="Times New Roman" w:hAnsi="Times New Roman" w:cs="Times New Roman"/>
          <w:bCs/>
          <w:sz w:val="24"/>
          <w:szCs w:val="24"/>
        </w:rPr>
        <w:t>Na problémovou oblast energetická infrastruktura navazuje problematika energetické účinnosti,která je řešena v problémové oblasti Konkurenceschopné podniky (podnikatelský sektor) a v oblasti Životní prostředí (veřejný a bytový sektor).</w:t>
      </w:r>
    </w:p>
    <w:p w:rsidR="00147E55" w:rsidRPr="000B521F" w:rsidRDefault="00147E55" w:rsidP="0059011D">
      <w:pPr>
        <w:spacing w:after="120" w:line="240" w:lineRule="auto"/>
        <w:jc w:val="both"/>
        <w:rPr>
          <w:rFonts w:ascii="Times New Roman" w:hAnsi="Times New Roman" w:cs="Times New Roman"/>
          <w:b/>
          <w:sz w:val="24"/>
          <w:szCs w:val="24"/>
        </w:rPr>
      </w:pPr>
    </w:p>
    <w:p w:rsidR="00CF4BE7" w:rsidRPr="000B521F" w:rsidRDefault="00CF4BE7" w:rsidP="0059011D">
      <w:pPr>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Zkušenosti z programového období 2007</w:t>
      </w:r>
      <w:r w:rsidR="00833CB5">
        <w:rPr>
          <w:rFonts w:ascii="Times New Roman" w:hAnsi="Times New Roman" w:cs="Times New Roman"/>
          <w:b/>
          <w:sz w:val="24"/>
          <w:szCs w:val="24"/>
        </w:rPr>
        <w:t>–</w:t>
      </w:r>
      <w:r w:rsidRPr="000B521F">
        <w:rPr>
          <w:rFonts w:ascii="Times New Roman" w:hAnsi="Times New Roman" w:cs="Times New Roman"/>
          <w:b/>
          <w:sz w:val="24"/>
          <w:szCs w:val="24"/>
        </w:rPr>
        <w:t>2013 a stav dosažení současných cílů</w:t>
      </w:r>
    </w:p>
    <w:p w:rsidR="00CF4BE7" w:rsidRPr="000B521F" w:rsidRDefault="00CF4BE7" w:rsidP="0059011D">
      <w:p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Hlavním cílem v oblasti energetiky v období 2007–2013 bylo maximálně stimulovat aktivitu podnikatelů v oblasti zvyšování účinnosti při výrobě, přenosu a spotřeby</w:t>
      </w:r>
      <w:r w:rsidR="0034170B" w:rsidRPr="000B521F">
        <w:rPr>
          <w:rFonts w:ascii="Times New Roman" w:hAnsi="Times New Roman" w:cs="Times New Roman"/>
          <w:color w:val="000000"/>
          <w:sz w:val="24"/>
          <w:szCs w:val="24"/>
        </w:rPr>
        <w:t xml:space="preserve"> </w:t>
      </w:r>
      <w:r w:rsidRPr="000B521F">
        <w:rPr>
          <w:rFonts w:ascii="Times New Roman" w:hAnsi="Times New Roman" w:cs="Times New Roman"/>
          <w:color w:val="000000"/>
          <w:sz w:val="24"/>
          <w:szCs w:val="24"/>
        </w:rPr>
        <w:t xml:space="preserve">energie. </w:t>
      </w:r>
    </w:p>
    <w:p w:rsidR="00CF4BE7" w:rsidRPr="000B521F" w:rsidRDefault="00CF4BE7" w:rsidP="0059011D">
      <w:p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 xml:space="preserve">Konkrétní cíle byly stanoveny v podobě roční úspory energie. Z důvodu stále probíhající realizace projektů není možné v současnosti vyhodnotit stav dosažení předem stanového cíle z hlediska roční úspory energie. Nicméně podle připravených projektů lze říci, že již na konci roku 2012 bylo dosaženo cca hodnoty 6 000 TJ, což znamená, že celkový indikátor je již naplněn na více než 60%. Z celorepublikového hlediska se jedná o jeden z nejvýznamnějších příspěvků v oblasti dotačních titulů zaměřených na snižování energetické náročnosti. </w:t>
      </w:r>
    </w:p>
    <w:p w:rsidR="00147E55" w:rsidRPr="000B521F" w:rsidRDefault="00147E55" w:rsidP="0059011D">
      <w:pPr>
        <w:spacing w:after="120" w:line="240" w:lineRule="auto"/>
        <w:jc w:val="both"/>
        <w:rPr>
          <w:rFonts w:ascii="Times New Roman" w:hAnsi="Times New Roman" w:cs="Times New Roman"/>
          <w:b/>
          <w:sz w:val="24"/>
          <w:szCs w:val="24"/>
        </w:rPr>
      </w:pPr>
    </w:p>
    <w:p w:rsidR="00CF4BE7" w:rsidRPr="000B521F" w:rsidRDefault="00CF4BE7" w:rsidP="0059011D">
      <w:pPr>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Hlavní identifikované problémy a potřeby rozvoje:</w:t>
      </w:r>
    </w:p>
    <w:p w:rsidR="00CF4BE7" w:rsidRPr="000B521F" w:rsidRDefault="00CF4BE7"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b/>
          <w:i/>
          <w:sz w:val="24"/>
          <w:szCs w:val="24"/>
        </w:rPr>
        <w:t>1. Závislost na neobnovitelných zdrojích energie, nízká orientace na využití obnovitelných zdrojů energie</w:t>
      </w:r>
      <w:r w:rsidRPr="000B521F">
        <w:rPr>
          <w:rFonts w:ascii="Times New Roman" w:hAnsi="Times New Roman" w:cs="Times New Roman"/>
          <w:sz w:val="24"/>
          <w:szCs w:val="24"/>
        </w:rPr>
        <w:t>.</w:t>
      </w:r>
    </w:p>
    <w:p w:rsidR="00CF4BE7" w:rsidRPr="000B521F" w:rsidRDefault="00CF4BE7" w:rsidP="0059011D">
      <w:pPr>
        <w:pStyle w:val="Bezmezer"/>
        <w:jc w:val="both"/>
        <w:rPr>
          <w:rFonts w:ascii="Times New Roman" w:hAnsi="Times New Roman" w:cs="Times New Roman"/>
          <w:sz w:val="24"/>
          <w:szCs w:val="24"/>
        </w:rPr>
      </w:pPr>
      <w:r w:rsidRPr="000B521F">
        <w:rPr>
          <w:rFonts w:ascii="Times New Roman" w:hAnsi="Times New Roman" w:cs="Times New Roman"/>
          <w:i/>
          <w:sz w:val="24"/>
          <w:szCs w:val="24"/>
        </w:rPr>
        <w:t>Potřeba rozvoje</w:t>
      </w:r>
      <w:r w:rsidRPr="000B521F">
        <w:rPr>
          <w:rFonts w:ascii="Times New Roman" w:hAnsi="Times New Roman" w:cs="Times New Roman"/>
          <w:sz w:val="24"/>
          <w:szCs w:val="24"/>
        </w:rPr>
        <w:t>:</w:t>
      </w:r>
    </w:p>
    <w:p w:rsidR="008206A4" w:rsidRPr="000B521F" w:rsidRDefault="00CF4BE7" w:rsidP="0059011D">
      <w:pPr>
        <w:pStyle w:val="Odstavecseseznamem"/>
        <w:numPr>
          <w:ilvl w:val="0"/>
          <w:numId w:val="64"/>
        </w:numPr>
        <w:spacing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Zvyšování podílu obnovitelných zdrojů energie </w:t>
      </w:r>
      <w:r w:rsidR="004F244F">
        <w:rPr>
          <w:rFonts w:ascii="Times New Roman" w:hAnsi="Times New Roman" w:cs="Times New Roman"/>
          <w:sz w:val="24"/>
          <w:szCs w:val="24"/>
        </w:rPr>
        <w:t>(zejména biomasa a bioplyn)</w:t>
      </w:r>
      <w:r w:rsidR="004F244F" w:rsidRPr="00DE24AF">
        <w:rPr>
          <w:rFonts w:ascii="Times New Roman" w:hAnsi="Times New Roman" w:cs="Times New Roman"/>
          <w:sz w:val="24"/>
          <w:szCs w:val="24"/>
        </w:rPr>
        <w:t xml:space="preserve"> </w:t>
      </w:r>
      <w:r w:rsidRPr="000B521F">
        <w:rPr>
          <w:rFonts w:ascii="Times New Roman" w:hAnsi="Times New Roman" w:cs="Times New Roman"/>
          <w:sz w:val="24"/>
          <w:szCs w:val="24"/>
        </w:rPr>
        <w:t>na spotřebě.</w:t>
      </w:r>
    </w:p>
    <w:p w:rsidR="00CF4BE7" w:rsidRPr="000B521F" w:rsidRDefault="00CF4BE7"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b/>
          <w:i/>
          <w:sz w:val="24"/>
          <w:szCs w:val="24"/>
        </w:rPr>
        <w:t>2. Nedostatečná modernost a kapacita přenosové soustavy</w:t>
      </w:r>
      <w:r w:rsidRPr="000B521F">
        <w:rPr>
          <w:rFonts w:ascii="Times New Roman" w:hAnsi="Times New Roman" w:cs="Times New Roman"/>
          <w:sz w:val="24"/>
          <w:szCs w:val="24"/>
        </w:rPr>
        <w:t xml:space="preserve"> (PS) zajišťující nárůst spotřeby, připojení nových zdrojů a tranzitní nároky na PS v ČR ve směru sever – jih, garantující bezpečnost a spolehlivost provozu na současné úrovni.</w:t>
      </w:r>
    </w:p>
    <w:p w:rsidR="00CF4BE7" w:rsidRPr="000B521F" w:rsidRDefault="00CF4BE7" w:rsidP="0059011D">
      <w:pPr>
        <w:pStyle w:val="Bezmezer"/>
        <w:jc w:val="both"/>
        <w:rPr>
          <w:rFonts w:ascii="Times New Roman" w:hAnsi="Times New Roman" w:cs="Times New Roman"/>
          <w:sz w:val="24"/>
          <w:szCs w:val="24"/>
        </w:rPr>
      </w:pPr>
      <w:r w:rsidRPr="000B521F">
        <w:rPr>
          <w:rFonts w:ascii="Times New Roman" w:hAnsi="Times New Roman" w:cs="Times New Roman"/>
          <w:i/>
          <w:sz w:val="24"/>
          <w:szCs w:val="24"/>
        </w:rPr>
        <w:t>Potřeba rozvoje:</w:t>
      </w:r>
    </w:p>
    <w:p w:rsidR="008206A4" w:rsidRPr="000B521F" w:rsidRDefault="00CF4BE7" w:rsidP="0059011D">
      <w:pPr>
        <w:pStyle w:val="Odstavecseseznamem"/>
        <w:numPr>
          <w:ilvl w:val="0"/>
          <w:numId w:val="64"/>
        </w:numPr>
        <w:spacing w:line="240" w:lineRule="auto"/>
        <w:jc w:val="both"/>
        <w:rPr>
          <w:rFonts w:ascii="Times New Roman" w:hAnsi="Times New Roman" w:cs="Times New Roman"/>
          <w:sz w:val="24"/>
          <w:szCs w:val="24"/>
        </w:rPr>
      </w:pPr>
      <w:r w:rsidRPr="000B521F">
        <w:rPr>
          <w:rFonts w:ascii="Times New Roman" w:hAnsi="Times New Roman" w:cs="Times New Roman"/>
          <w:sz w:val="24"/>
          <w:szCs w:val="24"/>
        </w:rPr>
        <w:t>Posílení a modernizace přenosové soustavy (vedení a transformovny).</w:t>
      </w:r>
    </w:p>
    <w:p w:rsidR="00147E55" w:rsidRPr="000B521F" w:rsidRDefault="00147E55" w:rsidP="0059011D">
      <w:pPr>
        <w:spacing w:after="120" w:line="240" w:lineRule="auto"/>
        <w:jc w:val="both"/>
        <w:rPr>
          <w:rFonts w:ascii="Times New Roman" w:hAnsi="Times New Roman" w:cs="Times New Roman"/>
          <w:b/>
          <w:i/>
          <w:sz w:val="24"/>
          <w:szCs w:val="24"/>
        </w:rPr>
      </w:pPr>
    </w:p>
    <w:p w:rsidR="00CF4BE7" w:rsidRPr="000B521F" w:rsidRDefault="00CF4BE7" w:rsidP="0059011D">
      <w:pPr>
        <w:spacing w:after="120" w:line="240" w:lineRule="auto"/>
        <w:jc w:val="both"/>
        <w:rPr>
          <w:rFonts w:ascii="Times New Roman" w:hAnsi="Times New Roman" w:cs="Times New Roman"/>
          <w:b/>
          <w:i/>
          <w:sz w:val="24"/>
          <w:szCs w:val="24"/>
        </w:rPr>
      </w:pPr>
      <w:r w:rsidRPr="000B521F">
        <w:rPr>
          <w:rFonts w:ascii="Times New Roman" w:hAnsi="Times New Roman" w:cs="Times New Roman"/>
          <w:b/>
          <w:i/>
          <w:sz w:val="24"/>
          <w:szCs w:val="24"/>
        </w:rPr>
        <w:t>3. Vysoký podíl ztrát tepelné energie v tepelných rozvodných zařízeních a nevyužitý potenciál kombinované výroby elektřiny a tepla.</w:t>
      </w:r>
    </w:p>
    <w:p w:rsidR="00CF4BE7" w:rsidRPr="000B521F" w:rsidRDefault="00CF4BE7" w:rsidP="0059011D">
      <w:pPr>
        <w:pStyle w:val="Bezmezer"/>
        <w:jc w:val="both"/>
        <w:rPr>
          <w:rFonts w:ascii="Times New Roman" w:hAnsi="Times New Roman" w:cs="Times New Roman"/>
          <w:sz w:val="24"/>
          <w:szCs w:val="24"/>
        </w:rPr>
      </w:pPr>
      <w:r w:rsidRPr="000B521F">
        <w:rPr>
          <w:rFonts w:ascii="Times New Roman" w:hAnsi="Times New Roman" w:cs="Times New Roman"/>
          <w:i/>
          <w:sz w:val="24"/>
          <w:szCs w:val="24"/>
        </w:rPr>
        <w:lastRenderedPageBreak/>
        <w:t>Potřeba rozvoje:</w:t>
      </w:r>
    </w:p>
    <w:p w:rsidR="008206A4" w:rsidRPr="000B521F" w:rsidRDefault="00CF4BE7" w:rsidP="0059011D">
      <w:pPr>
        <w:pStyle w:val="Odstavecseseznamem"/>
        <w:numPr>
          <w:ilvl w:val="0"/>
          <w:numId w:val="64"/>
        </w:numPr>
        <w:spacing w:line="240" w:lineRule="auto"/>
        <w:jc w:val="both"/>
        <w:rPr>
          <w:rFonts w:ascii="Times New Roman" w:hAnsi="Times New Roman" w:cs="Times New Roman"/>
          <w:sz w:val="24"/>
          <w:szCs w:val="24"/>
        </w:rPr>
      </w:pPr>
      <w:r w:rsidRPr="000B521F">
        <w:rPr>
          <w:rFonts w:ascii="Times New Roman" w:hAnsi="Times New Roman" w:cs="Times New Roman"/>
          <w:sz w:val="24"/>
          <w:szCs w:val="24"/>
        </w:rPr>
        <w:t>Výstavba a modernizace systémů zásobování tepelnou energií a zdrojů kombinované výroby elektřiny a tepla.</w:t>
      </w:r>
    </w:p>
    <w:p w:rsidR="00147E55" w:rsidRPr="000B521F" w:rsidRDefault="00147E55" w:rsidP="0059011D">
      <w:pPr>
        <w:spacing w:after="120" w:line="240" w:lineRule="auto"/>
        <w:jc w:val="both"/>
        <w:rPr>
          <w:rFonts w:ascii="Times New Roman" w:hAnsi="Times New Roman" w:cs="Times New Roman"/>
          <w:b/>
          <w:i/>
          <w:sz w:val="24"/>
          <w:szCs w:val="24"/>
        </w:rPr>
      </w:pPr>
    </w:p>
    <w:p w:rsidR="00CF4BE7" w:rsidRPr="000B521F" w:rsidRDefault="00CF4BE7"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b/>
          <w:i/>
          <w:sz w:val="24"/>
          <w:szCs w:val="24"/>
        </w:rPr>
        <w:t>4. Nedostatečná modernost a kapacita distribučních soustav</w:t>
      </w:r>
      <w:r w:rsidRPr="000B521F">
        <w:rPr>
          <w:rFonts w:ascii="Times New Roman" w:hAnsi="Times New Roman" w:cs="Times New Roman"/>
          <w:sz w:val="24"/>
          <w:szCs w:val="24"/>
        </w:rPr>
        <w:t xml:space="preserve"> z pohledu připojení distribuovaných (včetně intermitentních) zdrojů energie, dálkové spotřeby, spolehlivosti provozu a akumulace energie.</w:t>
      </w:r>
    </w:p>
    <w:p w:rsidR="00CF4BE7" w:rsidRPr="000B521F" w:rsidRDefault="00CF4BE7" w:rsidP="0059011D">
      <w:pPr>
        <w:pStyle w:val="Bezmezer"/>
        <w:jc w:val="both"/>
        <w:rPr>
          <w:rFonts w:ascii="Times New Roman" w:hAnsi="Times New Roman" w:cs="Times New Roman"/>
          <w:sz w:val="24"/>
          <w:szCs w:val="24"/>
        </w:rPr>
      </w:pPr>
      <w:r w:rsidRPr="000B521F">
        <w:rPr>
          <w:rFonts w:ascii="Times New Roman" w:hAnsi="Times New Roman" w:cs="Times New Roman"/>
          <w:i/>
          <w:sz w:val="24"/>
          <w:szCs w:val="24"/>
        </w:rPr>
        <w:t>Potřeba rozvoje:</w:t>
      </w:r>
    </w:p>
    <w:p w:rsidR="008206A4" w:rsidRPr="000B521F" w:rsidRDefault="00CF4BE7" w:rsidP="0059011D">
      <w:pPr>
        <w:pStyle w:val="Bezmezer"/>
        <w:numPr>
          <w:ilvl w:val="0"/>
          <w:numId w:val="64"/>
        </w:numPr>
        <w:jc w:val="both"/>
        <w:rPr>
          <w:rFonts w:ascii="Times New Roman" w:hAnsi="Times New Roman" w:cs="Times New Roman"/>
          <w:sz w:val="24"/>
          <w:szCs w:val="24"/>
        </w:rPr>
      </w:pPr>
      <w:r w:rsidRPr="000B521F">
        <w:rPr>
          <w:rFonts w:ascii="Times New Roman" w:hAnsi="Times New Roman" w:cs="Times New Roman"/>
          <w:sz w:val="24"/>
          <w:szCs w:val="24"/>
        </w:rPr>
        <w:t>Modernizace distribučních soustav s důrazem na zavádění prvků inteligentních sítí (</w:t>
      </w:r>
      <w:r w:rsidRPr="000B521F">
        <w:rPr>
          <w:rFonts w:ascii="Times New Roman" w:hAnsi="Times New Roman" w:cs="Times New Roman"/>
          <w:bCs/>
          <w:iCs/>
          <w:sz w:val="24"/>
          <w:szCs w:val="24"/>
        </w:rPr>
        <w:t xml:space="preserve">smartgrids) </w:t>
      </w:r>
      <w:r w:rsidRPr="000B521F">
        <w:rPr>
          <w:rFonts w:ascii="Times New Roman" w:hAnsi="Times New Roman" w:cs="Times New Roman"/>
          <w:sz w:val="24"/>
          <w:szCs w:val="24"/>
        </w:rPr>
        <w:t>za účelem minimalizace úzkých profilů a integrace decentralizovaných zdrojů energie a zlepšování spolehlivosti dodávek elektřiny.</w:t>
      </w:r>
    </w:p>
    <w:p w:rsidR="005C2131" w:rsidRDefault="005C2131" w:rsidP="0059011D">
      <w:pPr>
        <w:pStyle w:val="Tabulka"/>
        <w:spacing w:before="120" w:after="60"/>
        <w:rPr>
          <w:szCs w:val="20"/>
        </w:rPr>
      </w:pPr>
    </w:p>
    <w:p w:rsidR="00CF4BE7" w:rsidRPr="000B521F" w:rsidRDefault="00CF4BE7" w:rsidP="0059011D">
      <w:pPr>
        <w:pStyle w:val="Tabulka"/>
        <w:spacing w:before="120" w:after="60"/>
        <w:rPr>
          <w:szCs w:val="20"/>
        </w:rPr>
      </w:pPr>
      <w:r w:rsidRPr="000B521F">
        <w:rPr>
          <w:szCs w:val="20"/>
        </w:rPr>
        <w:t>Vazby na dokumenty EU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9"/>
        <w:gridCol w:w="7401"/>
      </w:tblGrid>
      <w:tr w:rsidR="00CF4BE7" w:rsidRPr="000B521F" w:rsidTr="00761093">
        <w:trPr>
          <w:trHeight w:val="765"/>
        </w:trPr>
        <w:tc>
          <w:tcPr>
            <w:tcW w:w="173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CF4BE7" w:rsidRPr="000B521F" w:rsidRDefault="00CF4BE7"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Strategie Evropa 2020</w:t>
            </w:r>
          </w:p>
        </w:tc>
        <w:tc>
          <w:tcPr>
            <w:tcW w:w="74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4BE7" w:rsidRPr="000B521F" w:rsidRDefault="00CF4BE7" w:rsidP="0059011D">
            <w:pPr>
              <w:pStyle w:val="DAVA"/>
              <w:spacing w:before="60" w:after="60"/>
              <w:rPr>
                <w:rFonts w:ascii="Times New Roman" w:hAnsi="Times New Roman"/>
                <w:sz w:val="20"/>
                <w:szCs w:val="20"/>
              </w:rPr>
            </w:pPr>
            <w:r w:rsidRPr="000B521F">
              <w:rPr>
                <w:rFonts w:ascii="Times New Roman" w:hAnsi="Times New Roman"/>
                <w:sz w:val="20"/>
                <w:szCs w:val="20"/>
              </w:rPr>
              <w:t xml:space="preserve">Cíl Snížit emise skleníkových plynů oproti úrovním roku 1990 nejméně o 20% nebo, pokud budou podmínky příznivé, o 30%; zvýšit podíl obnovitelných zdrojů energie v naší konečné spotřebě energie na 20% a zvýšit energetickou účinnost o 20%. Iniciativa „Evropa méně náročná na zdroje“ (částečně iniciativy „Průmyslová politika pro svět globalizace“ a „Unie inovací“). </w:t>
            </w:r>
          </w:p>
          <w:p w:rsidR="00CF4BE7" w:rsidRPr="000B521F" w:rsidRDefault="00CF4BE7" w:rsidP="0059011D">
            <w:pPr>
              <w:pStyle w:val="DAVA"/>
              <w:spacing w:before="60" w:after="60"/>
              <w:rPr>
                <w:rFonts w:ascii="Times New Roman" w:hAnsi="Times New Roman"/>
                <w:sz w:val="20"/>
                <w:szCs w:val="20"/>
              </w:rPr>
            </w:pPr>
            <w:r w:rsidRPr="000B521F">
              <w:rPr>
                <w:rFonts w:ascii="Times New Roman" w:hAnsi="Times New Roman"/>
                <w:sz w:val="20"/>
                <w:szCs w:val="20"/>
              </w:rPr>
              <w:t>Integrovaný hlavní směr 5 „Zefektivnit využívání zdrojů a snížit emise skleníkových plynů“</w:t>
            </w:r>
            <w:r w:rsidR="008D25FA">
              <w:rPr>
                <w:rFonts w:ascii="Times New Roman" w:hAnsi="Times New Roman"/>
                <w:sz w:val="20"/>
                <w:szCs w:val="20"/>
              </w:rPr>
              <w:t>.</w:t>
            </w:r>
            <w:r w:rsidRPr="000B521F">
              <w:rPr>
                <w:rFonts w:ascii="Times New Roman" w:hAnsi="Times New Roman"/>
                <w:sz w:val="20"/>
                <w:szCs w:val="20"/>
              </w:rPr>
              <w:t xml:space="preserve"> </w:t>
            </w:r>
          </w:p>
        </w:tc>
      </w:tr>
      <w:tr w:rsidR="00CF4BE7" w:rsidRPr="000B521F" w:rsidTr="00761093">
        <w:trPr>
          <w:trHeight w:val="407"/>
        </w:trPr>
        <w:tc>
          <w:tcPr>
            <w:tcW w:w="173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CF4BE7" w:rsidRPr="000B521F" w:rsidRDefault="00CF4BE7"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Společný strategický rámec</w:t>
            </w:r>
          </w:p>
        </w:tc>
        <w:tc>
          <w:tcPr>
            <w:tcW w:w="74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4BE7" w:rsidRPr="000B521F" w:rsidRDefault="00CF4BE7" w:rsidP="00833CB5">
            <w:pPr>
              <w:pStyle w:val="DAVA"/>
              <w:spacing w:before="60" w:after="60"/>
              <w:rPr>
                <w:rFonts w:ascii="Times New Roman" w:hAnsi="Times New Roman"/>
                <w:sz w:val="20"/>
                <w:szCs w:val="20"/>
              </w:rPr>
            </w:pPr>
            <w:r w:rsidRPr="000B521F">
              <w:rPr>
                <w:rFonts w:ascii="Times New Roman" w:hAnsi="Times New Roman"/>
                <w:sz w:val="20"/>
                <w:szCs w:val="20"/>
              </w:rPr>
              <w:t xml:space="preserve">Příloha 1: Nástroj na propojení Evropy (CEF) </w:t>
            </w:r>
            <w:r w:rsidR="00833CB5">
              <w:rPr>
                <w:rFonts w:ascii="Times New Roman" w:hAnsi="Times New Roman"/>
                <w:sz w:val="20"/>
                <w:szCs w:val="20"/>
              </w:rPr>
              <w:t>–</w:t>
            </w:r>
            <w:r w:rsidRPr="000B521F">
              <w:rPr>
                <w:rFonts w:ascii="Times New Roman" w:hAnsi="Times New Roman"/>
                <w:sz w:val="20"/>
                <w:szCs w:val="20"/>
              </w:rPr>
              <w:t xml:space="preserve"> s cílem maximalizovat evropskou přidanou hodnotu v oblasti dopravy, telekomunikací a energetiky zajistí členské státy a Komise, aby intervence EFRR a FS byly plánovány v úzké součinnosti s podporou poskytovanou z CEF, aby byla zajištěna doplňkovost, vyloučeny duplicity a zajištěno optimální propojení různých typů infrastruktury na místní, regionální a národní úrovni i napříč Unií. V rámci CEF mohou být financovány jen projekty, které jsou označeny jako Projekty společného zájmu (PCI). Ostatní modernizace a rozvoj přenosové soustavy nelze financovat z CEF.</w:t>
            </w:r>
          </w:p>
        </w:tc>
      </w:tr>
      <w:tr w:rsidR="00CF4BE7" w:rsidRPr="000B521F" w:rsidTr="00761093">
        <w:trPr>
          <w:trHeight w:val="407"/>
        </w:trPr>
        <w:tc>
          <w:tcPr>
            <w:tcW w:w="173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CF4BE7" w:rsidRPr="000B521F" w:rsidRDefault="00CF4BE7"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Tematické cíle</w:t>
            </w:r>
          </w:p>
        </w:tc>
        <w:tc>
          <w:tcPr>
            <w:tcW w:w="74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BE7" w:rsidRPr="000B521F" w:rsidRDefault="00CF4BE7" w:rsidP="0059011D">
            <w:pPr>
              <w:pStyle w:val="DAVA"/>
              <w:spacing w:before="60" w:after="60"/>
              <w:jc w:val="left"/>
              <w:rPr>
                <w:rFonts w:ascii="Times New Roman" w:hAnsi="Times New Roman"/>
                <w:sz w:val="20"/>
                <w:szCs w:val="20"/>
              </w:rPr>
            </w:pPr>
            <w:r w:rsidRPr="000B521F">
              <w:rPr>
                <w:rFonts w:ascii="Times New Roman" w:hAnsi="Times New Roman"/>
                <w:sz w:val="20"/>
                <w:szCs w:val="20"/>
              </w:rPr>
              <w:t>4. Podpora přechodu na nízkouhlíkové hospodářství ve všech odvětvích</w:t>
            </w:r>
            <w:r w:rsidR="008D25FA">
              <w:rPr>
                <w:rFonts w:ascii="Times New Roman" w:hAnsi="Times New Roman"/>
                <w:sz w:val="20"/>
                <w:szCs w:val="20"/>
              </w:rPr>
              <w:t>.</w:t>
            </w:r>
          </w:p>
          <w:p w:rsidR="00CF4BE7" w:rsidRPr="000B521F" w:rsidRDefault="00CF4BE7" w:rsidP="0059011D">
            <w:pPr>
              <w:pStyle w:val="DAVA"/>
              <w:spacing w:before="60" w:after="60"/>
              <w:rPr>
                <w:rFonts w:ascii="Times New Roman" w:hAnsi="Times New Roman"/>
                <w:sz w:val="20"/>
                <w:szCs w:val="20"/>
              </w:rPr>
            </w:pPr>
          </w:p>
        </w:tc>
      </w:tr>
      <w:tr w:rsidR="00CF4BE7" w:rsidRPr="000B521F" w:rsidTr="00761093">
        <w:tc>
          <w:tcPr>
            <w:tcW w:w="1739"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CF4BE7" w:rsidRPr="000B521F" w:rsidRDefault="00CF4BE7"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Specifická doporučení Rady</w:t>
            </w:r>
          </w:p>
        </w:tc>
        <w:tc>
          <w:tcPr>
            <w:tcW w:w="74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4BE7" w:rsidRPr="000B521F" w:rsidRDefault="00F13212" w:rsidP="0059011D">
            <w:pPr>
              <w:pStyle w:val="DAVA"/>
              <w:spacing w:before="60" w:after="60"/>
              <w:rPr>
                <w:rFonts w:ascii="Times New Roman" w:hAnsi="Times New Roman"/>
                <w:sz w:val="20"/>
                <w:szCs w:val="20"/>
              </w:rPr>
            </w:pPr>
            <w:r w:rsidRPr="000B521F">
              <w:rPr>
                <w:rFonts w:ascii="Times New Roman" w:hAnsi="Times New Roman"/>
                <w:sz w:val="20"/>
                <w:szCs w:val="20"/>
              </w:rPr>
              <w:t>7. “Snížení počtu regulovaných profesí a snížení energetické náročnosti”</w:t>
            </w:r>
            <w:r w:rsidR="008D25FA">
              <w:rPr>
                <w:rFonts w:ascii="Times New Roman" w:hAnsi="Times New Roman"/>
                <w:sz w:val="20"/>
                <w:szCs w:val="20"/>
              </w:rPr>
              <w:t>.</w:t>
            </w:r>
          </w:p>
        </w:tc>
      </w:tr>
    </w:tbl>
    <w:p w:rsidR="00CF4BE7" w:rsidRPr="000B521F" w:rsidRDefault="00CF4BE7" w:rsidP="0059011D">
      <w:pPr>
        <w:pStyle w:val="Tabulka"/>
        <w:spacing w:before="120" w:after="60"/>
        <w:rPr>
          <w:szCs w:val="20"/>
        </w:rPr>
      </w:pPr>
      <w:r w:rsidRPr="000B521F">
        <w:rPr>
          <w:szCs w:val="20"/>
        </w:rPr>
        <w:t>Vazby na dokumenty ČR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7477"/>
      </w:tblGrid>
      <w:tr w:rsidR="00CF4BE7" w:rsidRPr="000B521F" w:rsidTr="00761093">
        <w:trPr>
          <w:trHeight w:val="395"/>
        </w:trPr>
        <w:tc>
          <w:tcPr>
            <w:tcW w:w="1701"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CF4BE7" w:rsidRPr="000B521F" w:rsidRDefault="00CF4BE7"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Národní program reforem</w:t>
            </w:r>
          </w:p>
        </w:tc>
        <w:tc>
          <w:tcPr>
            <w:tcW w:w="74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F4BE7" w:rsidRPr="000B521F" w:rsidRDefault="00CF4BE7" w:rsidP="0059011D">
            <w:pPr>
              <w:pStyle w:val="DAVA"/>
              <w:spacing w:before="60" w:after="60"/>
              <w:rPr>
                <w:rFonts w:ascii="Times New Roman" w:hAnsi="Times New Roman"/>
                <w:sz w:val="20"/>
                <w:szCs w:val="20"/>
              </w:rPr>
            </w:pPr>
            <w:r w:rsidRPr="000B521F">
              <w:rPr>
                <w:rFonts w:ascii="Times New Roman" w:hAnsi="Times New Roman"/>
                <w:sz w:val="20"/>
                <w:szCs w:val="20"/>
              </w:rPr>
              <w:t>3.2.2 Udržitelný průmyslový sektor (3.2.2.1 Energetika) – zvyšování energetické účinnosti</w:t>
            </w:r>
            <w:r w:rsidR="008D25FA">
              <w:rPr>
                <w:rFonts w:ascii="Times New Roman" w:hAnsi="Times New Roman"/>
                <w:sz w:val="20"/>
                <w:szCs w:val="20"/>
              </w:rPr>
              <w:t>.</w:t>
            </w:r>
          </w:p>
          <w:p w:rsidR="00CF4BE7" w:rsidRPr="000B521F" w:rsidRDefault="00CF4BE7" w:rsidP="0059011D">
            <w:pPr>
              <w:pStyle w:val="DAVA"/>
              <w:spacing w:before="60" w:after="60"/>
              <w:rPr>
                <w:rFonts w:ascii="Times New Roman" w:hAnsi="Times New Roman"/>
                <w:sz w:val="20"/>
                <w:szCs w:val="20"/>
              </w:rPr>
            </w:pPr>
            <w:r w:rsidRPr="000B521F">
              <w:rPr>
                <w:rFonts w:ascii="Times New Roman" w:hAnsi="Times New Roman"/>
                <w:sz w:val="20"/>
                <w:szCs w:val="20"/>
              </w:rPr>
              <w:t>3.2.4 Rozvoj energetické a environmentální infrastruktury(3.2.4.1 Rozvoj síťové infrastruktury) – účinná regulace toků elektřiny, posílení přenosových sítí.</w:t>
            </w:r>
          </w:p>
        </w:tc>
      </w:tr>
      <w:tr w:rsidR="00CF4BE7" w:rsidRPr="000B521F" w:rsidTr="00761093">
        <w:trPr>
          <w:trHeight w:val="407"/>
        </w:trPr>
        <w:tc>
          <w:tcPr>
            <w:tcW w:w="1701"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CF4BE7" w:rsidRPr="000B521F" w:rsidRDefault="00CF4BE7"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Strategie mezinárodní konkurenceschopnosti ČR</w:t>
            </w:r>
          </w:p>
        </w:tc>
        <w:tc>
          <w:tcPr>
            <w:tcW w:w="74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4BE7" w:rsidRPr="000B521F" w:rsidRDefault="00CF4BE7" w:rsidP="0059011D">
            <w:pPr>
              <w:pStyle w:val="DAVA"/>
              <w:spacing w:before="60" w:after="60"/>
              <w:rPr>
                <w:rFonts w:ascii="Times New Roman" w:hAnsi="Times New Roman"/>
                <w:sz w:val="20"/>
                <w:szCs w:val="20"/>
              </w:rPr>
            </w:pPr>
            <w:r w:rsidRPr="000B521F">
              <w:rPr>
                <w:rFonts w:ascii="Times New Roman" w:hAnsi="Times New Roman"/>
                <w:sz w:val="20"/>
                <w:szCs w:val="20"/>
              </w:rPr>
              <w:t>2.9 Státní energetická koncepce a strategické usměrňování - dosažení vyváženého energetického mixu, zvýšení využívání obnovitelných zdrojů, a rozvoj inteligentních sítí a snížení emisí skleníkových plynů</w:t>
            </w:r>
            <w:r w:rsidR="008D25FA">
              <w:rPr>
                <w:rFonts w:ascii="Times New Roman" w:hAnsi="Times New Roman"/>
                <w:sz w:val="20"/>
                <w:szCs w:val="20"/>
              </w:rPr>
              <w:t>.</w:t>
            </w:r>
          </w:p>
        </w:tc>
      </w:tr>
      <w:tr w:rsidR="00CF4BE7" w:rsidRPr="000B521F" w:rsidTr="00761093">
        <w:tc>
          <w:tcPr>
            <w:tcW w:w="1701"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CF4BE7" w:rsidRPr="000B521F" w:rsidRDefault="00CF4BE7"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Strategie regionálního rozvoje</w:t>
            </w:r>
          </w:p>
        </w:tc>
        <w:tc>
          <w:tcPr>
            <w:tcW w:w="74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4BE7" w:rsidRPr="000B521F" w:rsidRDefault="00CF4BE7" w:rsidP="0059011D">
            <w:pPr>
              <w:pStyle w:val="DAVA"/>
              <w:spacing w:before="60" w:after="60"/>
              <w:rPr>
                <w:rFonts w:ascii="Times New Roman" w:hAnsi="Times New Roman"/>
                <w:sz w:val="20"/>
                <w:szCs w:val="20"/>
              </w:rPr>
            </w:pPr>
            <w:r w:rsidRPr="000B521F">
              <w:rPr>
                <w:rFonts w:ascii="Times New Roman" w:hAnsi="Times New Roman"/>
                <w:sz w:val="20"/>
                <w:szCs w:val="20"/>
              </w:rPr>
              <w:t>Priorita 2 Rozvoj klíčové infrastruktury nadregionálního významu 2.3 Rozšíření a modernizace energetických sítí</w:t>
            </w:r>
            <w:r w:rsidR="008D25FA">
              <w:rPr>
                <w:rFonts w:ascii="Times New Roman" w:hAnsi="Times New Roman"/>
                <w:sz w:val="20"/>
                <w:szCs w:val="20"/>
              </w:rPr>
              <w:t>.</w:t>
            </w:r>
          </w:p>
          <w:p w:rsidR="00CF4BE7" w:rsidRPr="000B521F" w:rsidRDefault="00CF4BE7" w:rsidP="0059011D">
            <w:pPr>
              <w:pStyle w:val="DAVA"/>
              <w:spacing w:before="60" w:after="60"/>
              <w:rPr>
                <w:rFonts w:ascii="Times New Roman" w:hAnsi="Times New Roman"/>
                <w:sz w:val="20"/>
                <w:szCs w:val="20"/>
              </w:rPr>
            </w:pPr>
            <w:r w:rsidRPr="000B521F">
              <w:rPr>
                <w:rFonts w:ascii="Times New Roman" w:hAnsi="Times New Roman"/>
                <w:sz w:val="20"/>
                <w:szCs w:val="20"/>
              </w:rPr>
              <w:t>Priorita 6 Ochrana a udržitelné využívání zdrojů v regionech (6.3 Využívání obnovitelných zdrojů energie a podpora úspor energie ve vazbě na místní podmínky)</w:t>
            </w:r>
            <w:r w:rsidR="008D25FA">
              <w:rPr>
                <w:rFonts w:ascii="Times New Roman" w:hAnsi="Times New Roman"/>
                <w:sz w:val="20"/>
                <w:szCs w:val="20"/>
              </w:rPr>
              <w:t>.</w:t>
            </w:r>
          </w:p>
        </w:tc>
      </w:tr>
      <w:tr w:rsidR="00CF4BE7" w:rsidRPr="000B521F" w:rsidTr="00761093">
        <w:tc>
          <w:tcPr>
            <w:tcW w:w="1701"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CF4BE7" w:rsidRPr="000B521F" w:rsidRDefault="00CF4BE7"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Státní energetická koncepce</w:t>
            </w:r>
          </w:p>
        </w:tc>
        <w:tc>
          <w:tcPr>
            <w:tcW w:w="74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F4BE7" w:rsidRPr="000B521F" w:rsidRDefault="00CF4BE7" w:rsidP="0059011D">
            <w:pPr>
              <w:pStyle w:val="DAVA"/>
              <w:spacing w:before="60" w:after="60"/>
              <w:rPr>
                <w:rFonts w:ascii="Times New Roman" w:hAnsi="Times New Roman"/>
                <w:sz w:val="20"/>
                <w:szCs w:val="20"/>
              </w:rPr>
            </w:pPr>
            <w:r w:rsidRPr="000B521F">
              <w:rPr>
                <w:rFonts w:ascii="Times New Roman" w:hAnsi="Times New Roman"/>
                <w:sz w:val="20"/>
                <w:szCs w:val="20"/>
              </w:rPr>
              <w:t>Provázanost na celý dokument, tj. všechny priority:</w:t>
            </w:r>
          </w:p>
          <w:p w:rsidR="008206A4" w:rsidRPr="000B521F" w:rsidRDefault="00CF4BE7" w:rsidP="0059011D">
            <w:pPr>
              <w:pStyle w:val="DAVA"/>
              <w:numPr>
                <w:ilvl w:val="0"/>
                <w:numId w:val="65"/>
              </w:numPr>
              <w:spacing w:before="40" w:after="40"/>
              <w:ind w:left="453" w:hanging="357"/>
              <w:rPr>
                <w:rFonts w:ascii="Times New Roman" w:hAnsi="Times New Roman"/>
                <w:sz w:val="20"/>
                <w:szCs w:val="20"/>
              </w:rPr>
            </w:pPr>
            <w:r w:rsidRPr="000B521F">
              <w:rPr>
                <w:rFonts w:ascii="Times New Roman" w:hAnsi="Times New Roman"/>
                <w:sz w:val="20"/>
                <w:szCs w:val="20"/>
              </w:rPr>
              <w:t xml:space="preserve">Vyvážený mix zdrojů založený na jejich širokém portfoliu, efektivním využití všech dostupných tuzemských energetických zdrojů a udržení přebytkové výkonové </w:t>
            </w:r>
            <w:r w:rsidRPr="000B521F">
              <w:rPr>
                <w:rFonts w:ascii="Times New Roman" w:hAnsi="Times New Roman"/>
                <w:sz w:val="20"/>
                <w:szCs w:val="20"/>
              </w:rPr>
              <w:lastRenderedPageBreak/>
              <w:t>bilance ES s dostatkem rezerv. Udržování dostupných strategických rezerv tuzemských forem energie.</w:t>
            </w:r>
          </w:p>
          <w:p w:rsidR="008206A4" w:rsidRPr="000B521F" w:rsidRDefault="00CF4BE7" w:rsidP="0059011D">
            <w:pPr>
              <w:pStyle w:val="DAVA"/>
              <w:numPr>
                <w:ilvl w:val="0"/>
                <w:numId w:val="65"/>
              </w:numPr>
              <w:spacing w:before="40" w:after="40"/>
              <w:ind w:left="453" w:hanging="357"/>
              <w:rPr>
                <w:rFonts w:ascii="Times New Roman" w:hAnsi="Times New Roman"/>
                <w:sz w:val="20"/>
                <w:szCs w:val="20"/>
              </w:rPr>
            </w:pPr>
            <w:r w:rsidRPr="000B521F">
              <w:rPr>
                <w:rFonts w:ascii="Times New Roman" w:hAnsi="Times New Roman"/>
                <w:sz w:val="20"/>
                <w:szCs w:val="20"/>
              </w:rPr>
              <w:t>Zvyšování energetické účinnosti a dosažení úspor energie v hospodářství i v domácnostech.</w:t>
            </w:r>
          </w:p>
          <w:p w:rsidR="008206A4" w:rsidRPr="000B521F" w:rsidRDefault="00CF4BE7" w:rsidP="0059011D">
            <w:pPr>
              <w:pStyle w:val="DAVA"/>
              <w:numPr>
                <w:ilvl w:val="0"/>
                <w:numId w:val="65"/>
              </w:numPr>
              <w:spacing w:before="40" w:after="40"/>
              <w:ind w:left="453" w:hanging="357"/>
              <w:rPr>
                <w:rFonts w:ascii="Times New Roman" w:hAnsi="Times New Roman"/>
                <w:sz w:val="20"/>
                <w:szCs w:val="20"/>
              </w:rPr>
            </w:pPr>
            <w:r w:rsidRPr="000B521F">
              <w:rPr>
                <w:rFonts w:ascii="Times New Roman" w:hAnsi="Times New Roman"/>
                <w:sz w:val="20"/>
                <w:szCs w:val="20"/>
              </w:rPr>
              <w:t>Rozvoj síťové infrastruktury ČR v kontextu zemí střední Evropy, posílení mezinárodní spolupráce a integrace trhů s elektřinou a plynem v regionu včetně podpory vytváření účinné a akceschopné společné energetické politiky EU.</w:t>
            </w:r>
          </w:p>
          <w:p w:rsidR="008206A4" w:rsidRPr="000B521F" w:rsidRDefault="00CF4BE7" w:rsidP="0059011D">
            <w:pPr>
              <w:pStyle w:val="DAVA"/>
              <w:numPr>
                <w:ilvl w:val="0"/>
                <w:numId w:val="65"/>
              </w:numPr>
              <w:spacing w:before="40" w:after="40"/>
              <w:ind w:left="453" w:hanging="357"/>
              <w:rPr>
                <w:rFonts w:ascii="Times New Roman" w:hAnsi="Times New Roman"/>
                <w:sz w:val="20"/>
                <w:szCs w:val="20"/>
              </w:rPr>
            </w:pPr>
            <w:r w:rsidRPr="000B521F">
              <w:rPr>
                <w:rFonts w:ascii="Times New Roman" w:hAnsi="Times New Roman"/>
                <w:sz w:val="20"/>
                <w:szCs w:val="20"/>
              </w:rPr>
              <w:t>Podpora výzkumu, vývoje a inovací zajišťující konkurenceschopnost české energetiky a podpora školství, s cílem nutnosti generační obměny a zlepšení kvality technické inteligence v oblasti energetiky.</w:t>
            </w:r>
          </w:p>
          <w:p w:rsidR="008206A4" w:rsidRPr="000B521F" w:rsidRDefault="00CF4BE7" w:rsidP="00A91333">
            <w:pPr>
              <w:pStyle w:val="DAVA"/>
              <w:numPr>
                <w:ilvl w:val="0"/>
                <w:numId w:val="65"/>
              </w:numPr>
              <w:spacing w:before="40" w:after="40"/>
              <w:ind w:left="453" w:hanging="357"/>
              <w:rPr>
                <w:rFonts w:ascii="Times New Roman" w:hAnsi="Times New Roman"/>
                <w:sz w:val="20"/>
                <w:szCs w:val="20"/>
              </w:rPr>
            </w:pPr>
            <w:r w:rsidRPr="000B521F">
              <w:rPr>
                <w:rFonts w:ascii="Times New Roman" w:hAnsi="Times New Roman"/>
                <w:sz w:val="20"/>
                <w:szCs w:val="20"/>
              </w:rPr>
              <w:t>Zvýšení energetické bezpečnosti a odolnosti ČR a posílení schopnosti zajistit nezbytné dodávky energií v případech kumulace poruch</w:t>
            </w:r>
            <w:r w:rsidR="00A91333">
              <w:rPr>
                <w:rFonts w:ascii="Times New Roman" w:hAnsi="Times New Roman"/>
                <w:sz w:val="20"/>
                <w:szCs w:val="20"/>
              </w:rPr>
              <w:t>.</w:t>
            </w:r>
          </w:p>
        </w:tc>
      </w:tr>
    </w:tbl>
    <w:p w:rsidR="00CF4BE7" w:rsidRDefault="00CF4BE7" w:rsidP="00833CB5">
      <w:pPr>
        <w:spacing w:after="120" w:line="240" w:lineRule="auto"/>
        <w:jc w:val="both"/>
        <w:rPr>
          <w:rFonts w:ascii="Times New Roman" w:hAnsi="Times New Roman" w:cs="Times New Roman"/>
          <w:sz w:val="24"/>
          <w:szCs w:val="24"/>
        </w:rPr>
      </w:pPr>
      <w:r w:rsidRPr="005B6699">
        <w:rPr>
          <w:rFonts w:ascii="Times New Roman" w:hAnsi="Times New Roman" w:cs="Times New Roman"/>
          <w:sz w:val="24"/>
          <w:szCs w:val="24"/>
        </w:rPr>
        <w:lastRenderedPageBreak/>
        <w:t xml:space="preserve">Další klíčové dokumenty vztahující se k dané problémové oblasti jsou SET plán, Národní akční plán České republiky pro energii z obnovitelných zdrojů, Akční plán energetické účinnosti ČR, Plán odpadového hospodářství, Akční plán pro biomasu v ČR na období 2012–2020, Státní politika životního prostředí, </w:t>
      </w:r>
      <w:r w:rsidR="00BD0121">
        <w:rPr>
          <w:rFonts w:ascii="Times New Roman" w:hAnsi="Times New Roman" w:cs="Times New Roman"/>
          <w:sz w:val="24"/>
          <w:szCs w:val="24"/>
        </w:rPr>
        <w:t xml:space="preserve">Politika územního rozvoje ČR, </w:t>
      </w:r>
      <w:r w:rsidRPr="005B6699">
        <w:rPr>
          <w:rFonts w:ascii="Times New Roman" w:hAnsi="Times New Roman" w:cs="Times New Roman"/>
          <w:sz w:val="24"/>
          <w:szCs w:val="24"/>
        </w:rPr>
        <w:t>dokumenty krajů v dané oblasti (např. územní energetické koncepce) a další sektorové dokumenty definované v dílčích operačních programech.</w:t>
      </w:r>
    </w:p>
    <w:p w:rsidR="005C2131" w:rsidRPr="005B6699" w:rsidRDefault="005C2131" w:rsidP="00833CB5">
      <w:pPr>
        <w:spacing w:after="120" w:line="240" w:lineRule="auto"/>
        <w:jc w:val="both"/>
        <w:rPr>
          <w:rFonts w:ascii="Times New Roman" w:hAnsi="Times New Roman" w:cs="Times New Roman"/>
          <w:sz w:val="24"/>
          <w:szCs w:val="24"/>
        </w:rPr>
      </w:pPr>
    </w:p>
    <w:p w:rsidR="00CF4BE7" w:rsidRPr="000B521F" w:rsidRDefault="00CF4BE7" w:rsidP="0059011D">
      <w:pPr>
        <w:pStyle w:val="Tabulka"/>
        <w:spacing w:before="120" w:after="60"/>
        <w:rPr>
          <w:szCs w:val="20"/>
        </w:rPr>
      </w:pPr>
      <w:r w:rsidRPr="000B521F">
        <w:rPr>
          <w:szCs w:val="20"/>
        </w:rPr>
        <w:t>Cíle strategie Evropa 2020 a cíle Národního programu reforem</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2"/>
        <w:gridCol w:w="989"/>
        <w:gridCol w:w="984"/>
        <w:gridCol w:w="826"/>
        <w:gridCol w:w="1305"/>
        <w:gridCol w:w="952"/>
        <w:gridCol w:w="954"/>
      </w:tblGrid>
      <w:tr w:rsidR="00CF4BE7" w:rsidRPr="000B521F" w:rsidTr="00761093">
        <w:tc>
          <w:tcPr>
            <w:tcW w:w="3062"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CF4BE7" w:rsidRPr="000B521F" w:rsidRDefault="00CF4BE7" w:rsidP="0059011D">
            <w:pPr>
              <w:spacing w:after="120" w:line="240" w:lineRule="auto"/>
              <w:rPr>
                <w:rFonts w:ascii="Times New Roman" w:hAnsi="Times New Roman" w:cs="Times New Roman"/>
                <w:b/>
                <w:sz w:val="20"/>
                <w:szCs w:val="20"/>
              </w:rPr>
            </w:pPr>
            <w:r w:rsidRPr="000B521F">
              <w:rPr>
                <w:rFonts w:ascii="Times New Roman" w:hAnsi="Times New Roman" w:cs="Times New Roman"/>
                <w:b/>
                <w:sz w:val="20"/>
                <w:szCs w:val="20"/>
              </w:rPr>
              <w:t>Hlavní cíl strategie Evropa 2020</w:t>
            </w:r>
          </w:p>
        </w:tc>
        <w:tc>
          <w:tcPr>
            <w:tcW w:w="989" w:type="dxa"/>
            <w:tcBorders>
              <w:top w:val="single" w:sz="4" w:space="0" w:color="000000"/>
              <w:left w:val="single" w:sz="4" w:space="0" w:color="000000"/>
              <w:bottom w:val="single" w:sz="4" w:space="0" w:color="000000"/>
              <w:right w:val="single" w:sz="6" w:space="0" w:color="auto"/>
            </w:tcBorders>
            <w:shd w:val="clear" w:color="auto" w:fill="8DB3E2" w:themeFill="text2" w:themeFillTint="66"/>
            <w:vAlign w:val="center"/>
            <w:hideMark/>
          </w:tcPr>
          <w:p w:rsidR="00CF4BE7" w:rsidRPr="000B521F" w:rsidRDefault="00CF4BE7" w:rsidP="0059011D">
            <w:pPr>
              <w:spacing w:after="120" w:line="240" w:lineRule="auto"/>
              <w:jc w:val="center"/>
              <w:rPr>
                <w:rFonts w:ascii="Times New Roman" w:hAnsi="Times New Roman" w:cs="Times New Roman"/>
                <w:b/>
                <w:sz w:val="20"/>
                <w:szCs w:val="20"/>
              </w:rPr>
            </w:pPr>
            <w:r w:rsidRPr="000B521F">
              <w:rPr>
                <w:rFonts w:ascii="Times New Roman" w:hAnsi="Times New Roman" w:cs="Times New Roman"/>
                <w:b/>
                <w:sz w:val="20"/>
                <w:szCs w:val="20"/>
              </w:rPr>
              <w:t>Cíl EU k 2020</w:t>
            </w:r>
          </w:p>
        </w:tc>
        <w:tc>
          <w:tcPr>
            <w:tcW w:w="984" w:type="dxa"/>
            <w:tcBorders>
              <w:top w:val="single" w:sz="4" w:space="0" w:color="000000"/>
              <w:left w:val="single" w:sz="6" w:space="0" w:color="auto"/>
              <w:bottom w:val="single" w:sz="4" w:space="0" w:color="000000"/>
              <w:right w:val="single" w:sz="4" w:space="0" w:color="000000"/>
            </w:tcBorders>
            <w:shd w:val="clear" w:color="auto" w:fill="8DB3E2" w:themeFill="text2" w:themeFillTint="66"/>
            <w:vAlign w:val="center"/>
            <w:hideMark/>
          </w:tcPr>
          <w:p w:rsidR="00CF4BE7" w:rsidRPr="000B521F" w:rsidRDefault="00CF4BE7" w:rsidP="0059011D">
            <w:pPr>
              <w:spacing w:after="120" w:line="240" w:lineRule="auto"/>
              <w:jc w:val="center"/>
              <w:rPr>
                <w:rFonts w:ascii="Times New Roman" w:hAnsi="Times New Roman" w:cs="Times New Roman"/>
                <w:b/>
                <w:sz w:val="20"/>
                <w:szCs w:val="20"/>
              </w:rPr>
            </w:pPr>
            <w:r w:rsidRPr="000B521F">
              <w:rPr>
                <w:rFonts w:ascii="Times New Roman" w:hAnsi="Times New Roman" w:cs="Times New Roman"/>
                <w:b/>
                <w:sz w:val="20"/>
                <w:szCs w:val="20"/>
              </w:rPr>
              <w:t>Stav EU k 2010</w:t>
            </w:r>
          </w:p>
        </w:tc>
        <w:tc>
          <w:tcPr>
            <w:tcW w:w="826" w:type="dxa"/>
            <w:tcBorders>
              <w:top w:val="single" w:sz="4" w:space="0" w:color="000000"/>
              <w:left w:val="single" w:sz="4" w:space="0" w:color="000000"/>
              <w:bottom w:val="single" w:sz="4" w:space="0" w:color="000000"/>
              <w:right w:val="single" w:sz="6" w:space="0" w:color="auto"/>
            </w:tcBorders>
            <w:shd w:val="clear" w:color="auto" w:fill="8DB3E2" w:themeFill="text2" w:themeFillTint="66"/>
            <w:vAlign w:val="center"/>
            <w:hideMark/>
          </w:tcPr>
          <w:p w:rsidR="00CF4BE7" w:rsidRPr="000B521F" w:rsidRDefault="00CF4BE7" w:rsidP="0059011D">
            <w:pPr>
              <w:spacing w:after="120" w:line="240" w:lineRule="auto"/>
              <w:jc w:val="center"/>
              <w:rPr>
                <w:rFonts w:ascii="Times New Roman" w:hAnsi="Times New Roman" w:cs="Times New Roman"/>
                <w:b/>
                <w:sz w:val="20"/>
                <w:szCs w:val="20"/>
              </w:rPr>
            </w:pPr>
            <w:r w:rsidRPr="000B521F">
              <w:rPr>
                <w:rFonts w:ascii="Times New Roman" w:hAnsi="Times New Roman" w:cs="Times New Roman"/>
                <w:b/>
                <w:sz w:val="20"/>
                <w:szCs w:val="20"/>
              </w:rPr>
              <w:t>Stav EU k 2011</w:t>
            </w:r>
          </w:p>
        </w:tc>
        <w:tc>
          <w:tcPr>
            <w:tcW w:w="1305" w:type="dxa"/>
            <w:tcBorders>
              <w:top w:val="single" w:sz="4" w:space="0" w:color="000000"/>
              <w:left w:val="single" w:sz="4" w:space="0" w:color="000000"/>
              <w:bottom w:val="single" w:sz="4" w:space="0" w:color="000000"/>
              <w:right w:val="single" w:sz="6" w:space="0" w:color="auto"/>
            </w:tcBorders>
            <w:shd w:val="clear" w:color="auto" w:fill="8DB3E2" w:themeFill="text2" w:themeFillTint="66"/>
            <w:vAlign w:val="center"/>
            <w:hideMark/>
          </w:tcPr>
          <w:p w:rsidR="00CF4BE7" w:rsidRPr="000B521F" w:rsidRDefault="00CF4BE7" w:rsidP="0059011D">
            <w:pPr>
              <w:spacing w:after="120" w:line="240" w:lineRule="auto"/>
              <w:jc w:val="center"/>
              <w:rPr>
                <w:rFonts w:ascii="Times New Roman" w:hAnsi="Times New Roman" w:cs="Times New Roman"/>
                <w:b/>
                <w:sz w:val="20"/>
                <w:szCs w:val="20"/>
              </w:rPr>
            </w:pPr>
            <w:r w:rsidRPr="000B521F">
              <w:rPr>
                <w:rFonts w:ascii="Times New Roman" w:hAnsi="Times New Roman" w:cs="Times New Roman"/>
                <w:b/>
                <w:sz w:val="20"/>
                <w:szCs w:val="20"/>
              </w:rPr>
              <w:t>Cíl ČR k 2020</w:t>
            </w:r>
          </w:p>
        </w:tc>
        <w:tc>
          <w:tcPr>
            <w:tcW w:w="952" w:type="dxa"/>
            <w:tcBorders>
              <w:top w:val="single" w:sz="4" w:space="0" w:color="000000"/>
              <w:left w:val="single" w:sz="4" w:space="0" w:color="000000"/>
              <w:bottom w:val="single" w:sz="4" w:space="0" w:color="000000"/>
              <w:right w:val="single" w:sz="6" w:space="0" w:color="auto"/>
            </w:tcBorders>
            <w:shd w:val="clear" w:color="auto" w:fill="8DB3E2" w:themeFill="text2" w:themeFillTint="66"/>
            <w:vAlign w:val="center"/>
            <w:hideMark/>
          </w:tcPr>
          <w:p w:rsidR="00CF4BE7" w:rsidRPr="000B521F" w:rsidRDefault="00CF4BE7" w:rsidP="0059011D">
            <w:pPr>
              <w:spacing w:after="120" w:line="240" w:lineRule="auto"/>
              <w:jc w:val="center"/>
              <w:rPr>
                <w:rFonts w:ascii="Times New Roman" w:hAnsi="Times New Roman" w:cs="Times New Roman"/>
                <w:b/>
                <w:sz w:val="20"/>
                <w:szCs w:val="20"/>
              </w:rPr>
            </w:pPr>
            <w:r w:rsidRPr="000B521F">
              <w:rPr>
                <w:rFonts w:ascii="Times New Roman" w:hAnsi="Times New Roman" w:cs="Times New Roman"/>
                <w:b/>
                <w:sz w:val="20"/>
                <w:szCs w:val="20"/>
              </w:rPr>
              <w:t>Stav ČR k 2010</w:t>
            </w:r>
          </w:p>
        </w:tc>
        <w:tc>
          <w:tcPr>
            <w:tcW w:w="954" w:type="dxa"/>
            <w:tcBorders>
              <w:top w:val="single" w:sz="4" w:space="0" w:color="000000"/>
              <w:left w:val="single" w:sz="6" w:space="0" w:color="auto"/>
              <w:bottom w:val="single" w:sz="4" w:space="0" w:color="000000"/>
              <w:right w:val="single" w:sz="4" w:space="0" w:color="000000"/>
            </w:tcBorders>
            <w:shd w:val="clear" w:color="auto" w:fill="8DB3E2" w:themeFill="text2" w:themeFillTint="66"/>
            <w:vAlign w:val="center"/>
            <w:hideMark/>
          </w:tcPr>
          <w:p w:rsidR="00CF4BE7" w:rsidRPr="000B521F" w:rsidRDefault="00CF4BE7" w:rsidP="0059011D">
            <w:pPr>
              <w:spacing w:after="120" w:line="240" w:lineRule="auto"/>
              <w:jc w:val="center"/>
              <w:rPr>
                <w:rFonts w:ascii="Times New Roman" w:hAnsi="Times New Roman" w:cs="Times New Roman"/>
                <w:b/>
                <w:sz w:val="20"/>
                <w:szCs w:val="20"/>
              </w:rPr>
            </w:pPr>
            <w:r w:rsidRPr="000B521F">
              <w:rPr>
                <w:rFonts w:ascii="Times New Roman" w:hAnsi="Times New Roman" w:cs="Times New Roman"/>
                <w:b/>
                <w:sz w:val="20"/>
                <w:szCs w:val="20"/>
              </w:rPr>
              <w:t>Stav ČR k 2011</w:t>
            </w:r>
          </w:p>
        </w:tc>
      </w:tr>
      <w:tr w:rsidR="00CF4BE7" w:rsidRPr="000B521F" w:rsidTr="00761093">
        <w:trPr>
          <w:trHeight w:val="395"/>
        </w:trPr>
        <w:tc>
          <w:tcPr>
            <w:tcW w:w="306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CF4BE7" w:rsidRPr="000B521F" w:rsidRDefault="00CF4BE7" w:rsidP="0059011D">
            <w:pPr>
              <w:spacing w:after="120" w:line="240" w:lineRule="auto"/>
              <w:rPr>
                <w:rFonts w:ascii="Times New Roman" w:hAnsi="Times New Roman" w:cs="Times New Roman"/>
                <w:sz w:val="20"/>
                <w:szCs w:val="20"/>
              </w:rPr>
            </w:pPr>
            <w:r w:rsidRPr="000B521F">
              <w:rPr>
                <w:rFonts w:ascii="Times New Roman" w:hAnsi="Times New Roman" w:cs="Times New Roman"/>
                <w:bCs/>
                <w:sz w:val="20"/>
                <w:szCs w:val="20"/>
              </w:rPr>
              <w:t>Snížení emisí skleníkových plynů oproti roku 1990 (%)</w:t>
            </w:r>
          </w:p>
        </w:tc>
        <w:tc>
          <w:tcPr>
            <w:tcW w:w="989" w:type="dxa"/>
            <w:tcBorders>
              <w:top w:val="single" w:sz="4" w:space="0" w:color="000000"/>
              <w:left w:val="single" w:sz="4" w:space="0" w:color="000000"/>
              <w:bottom w:val="single" w:sz="4" w:space="0" w:color="000000"/>
              <w:right w:val="single" w:sz="6" w:space="0" w:color="auto"/>
            </w:tcBorders>
            <w:shd w:val="clear" w:color="auto" w:fill="FFFFFF"/>
            <w:vAlign w:val="center"/>
            <w:hideMark/>
          </w:tcPr>
          <w:p w:rsidR="00CF4BE7" w:rsidRPr="000B521F" w:rsidRDefault="00CF4BE7" w:rsidP="0059011D">
            <w:pPr>
              <w:spacing w:after="120" w:line="240" w:lineRule="auto"/>
              <w:jc w:val="center"/>
              <w:rPr>
                <w:rFonts w:ascii="Times New Roman" w:hAnsi="Times New Roman" w:cs="Times New Roman"/>
                <w:sz w:val="20"/>
                <w:szCs w:val="20"/>
              </w:rPr>
            </w:pPr>
            <w:r w:rsidRPr="000B521F">
              <w:rPr>
                <w:rFonts w:ascii="Times New Roman" w:hAnsi="Times New Roman" w:cs="Times New Roman"/>
                <w:sz w:val="20"/>
                <w:szCs w:val="20"/>
              </w:rPr>
              <w:t>-20</w:t>
            </w:r>
          </w:p>
        </w:tc>
        <w:tc>
          <w:tcPr>
            <w:tcW w:w="984" w:type="dxa"/>
            <w:tcBorders>
              <w:top w:val="single" w:sz="4" w:space="0" w:color="000000"/>
              <w:left w:val="single" w:sz="6" w:space="0" w:color="auto"/>
              <w:bottom w:val="single" w:sz="4" w:space="0" w:color="000000"/>
              <w:right w:val="single" w:sz="4" w:space="0" w:color="000000"/>
            </w:tcBorders>
            <w:shd w:val="clear" w:color="auto" w:fill="FFFFFF"/>
            <w:vAlign w:val="center"/>
            <w:hideMark/>
          </w:tcPr>
          <w:p w:rsidR="00CF4BE7" w:rsidRPr="000B521F" w:rsidRDefault="00CF4BE7" w:rsidP="0059011D">
            <w:pPr>
              <w:spacing w:after="120" w:line="240" w:lineRule="auto"/>
              <w:jc w:val="center"/>
              <w:rPr>
                <w:rFonts w:ascii="Times New Roman" w:hAnsi="Times New Roman" w:cs="Times New Roman"/>
                <w:sz w:val="20"/>
                <w:szCs w:val="20"/>
              </w:rPr>
            </w:pPr>
            <w:r w:rsidRPr="000B521F">
              <w:rPr>
                <w:rFonts w:ascii="Times New Roman" w:hAnsi="Times New Roman" w:cs="Times New Roman"/>
                <w:sz w:val="20"/>
                <w:szCs w:val="20"/>
              </w:rPr>
              <w:t>-15,1</w:t>
            </w:r>
          </w:p>
        </w:tc>
        <w:tc>
          <w:tcPr>
            <w:tcW w:w="826" w:type="dxa"/>
            <w:tcBorders>
              <w:top w:val="single" w:sz="4" w:space="0" w:color="000000"/>
              <w:left w:val="single" w:sz="4" w:space="0" w:color="000000"/>
              <w:bottom w:val="single" w:sz="4" w:space="0" w:color="000000"/>
              <w:right w:val="single" w:sz="6" w:space="0" w:color="auto"/>
            </w:tcBorders>
            <w:shd w:val="clear" w:color="auto" w:fill="FFFFFF"/>
            <w:vAlign w:val="center"/>
            <w:hideMark/>
          </w:tcPr>
          <w:p w:rsidR="00CF4BE7" w:rsidRPr="000B521F" w:rsidRDefault="00CF4BE7" w:rsidP="0059011D">
            <w:pPr>
              <w:spacing w:after="120" w:line="240" w:lineRule="auto"/>
              <w:jc w:val="center"/>
              <w:rPr>
                <w:rFonts w:ascii="Times New Roman" w:hAnsi="Times New Roman" w:cs="Times New Roman"/>
                <w:sz w:val="20"/>
                <w:szCs w:val="20"/>
              </w:rPr>
            </w:pPr>
            <w:r w:rsidRPr="000B521F">
              <w:rPr>
                <w:rFonts w:ascii="Times New Roman" w:hAnsi="Times New Roman" w:cs="Times New Roman"/>
                <w:sz w:val="20"/>
                <w:szCs w:val="20"/>
              </w:rPr>
              <w:t>-17,6</w:t>
            </w:r>
          </w:p>
        </w:tc>
        <w:tc>
          <w:tcPr>
            <w:tcW w:w="1305" w:type="dxa"/>
            <w:tcBorders>
              <w:top w:val="single" w:sz="4" w:space="0" w:color="000000"/>
              <w:left w:val="single" w:sz="4" w:space="0" w:color="000000"/>
              <w:bottom w:val="single" w:sz="4" w:space="0" w:color="000000"/>
              <w:right w:val="single" w:sz="6" w:space="0" w:color="auto"/>
            </w:tcBorders>
            <w:shd w:val="clear" w:color="auto" w:fill="FFFFFF"/>
            <w:vAlign w:val="center"/>
            <w:hideMark/>
          </w:tcPr>
          <w:p w:rsidR="00CF4BE7" w:rsidRPr="000B521F" w:rsidRDefault="00CF4BE7" w:rsidP="0059011D">
            <w:pPr>
              <w:spacing w:after="120" w:line="240" w:lineRule="auto"/>
              <w:jc w:val="center"/>
              <w:rPr>
                <w:rFonts w:ascii="Times New Roman" w:hAnsi="Times New Roman" w:cs="Times New Roman"/>
                <w:sz w:val="20"/>
                <w:szCs w:val="20"/>
              </w:rPr>
            </w:pPr>
            <w:r w:rsidRPr="000B521F">
              <w:rPr>
                <w:rFonts w:ascii="Times New Roman" w:hAnsi="Times New Roman" w:cs="Times New Roman"/>
                <w:sz w:val="20"/>
                <w:szCs w:val="20"/>
              </w:rPr>
              <w:t>v souladu s klimaticko-energetickým balíčkem EU</w:t>
            </w:r>
          </w:p>
          <w:p w:rsidR="00CF4BE7" w:rsidRPr="000B521F" w:rsidRDefault="00CF4BE7" w:rsidP="0059011D">
            <w:pPr>
              <w:spacing w:after="120" w:line="240" w:lineRule="auto"/>
              <w:jc w:val="center"/>
              <w:rPr>
                <w:rFonts w:ascii="Times New Roman" w:hAnsi="Times New Roman" w:cs="Times New Roman"/>
                <w:sz w:val="20"/>
                <w:szCs w:val="20"/>
              </w:rPr>
            </w:pPr>
            <w:r w:rsidRPr="000B521F">
              <w:rPr>
                <w:rFonts w:ascii="Times New Roman" w:hAnsi="Times New Roman" w:cs="Times New Roman"/>
                <w:sz w:val="20"/>
                <w:szCs w:val="20"/>
              </w:rPr>
              <w:t>(- 21% v EU ETS, +9% mimo EU ETS)</w:t>
            </w:r>
            <w:r w:rsidRPr="000B521F">
              <w:rPr>
                <w:rStyle w:val="Znakapoznpodarou"/>
                <w:rFonts w:ascii="Times New Roman" w:hAnsi="Times New Roman" w:cs="Times New Roman"/>
                <w:sz w:val="20"/>
                <w:szCs w:val="20"/>
              </w:rPr>
              <w:footnoteReference w:id="55"/>
            </w:r>
          </w:p>
        </w:tc>
        <w:tc>
          <w:tcPr>
            <w:tcW w:w="952" w:type="dxa"/>
            <w:tcBorders>
              <w:top w:val="single" w:sz="4" w:space="0" w:color="000000"/>
              <w:left w:val="single" w:sz="4" w:space="0" w:color="000000"/>
              <w:bottom w:val="single" w:sz="4" w:space="0" w:color="000000"/>
              <w:right w:val="single" w:sz="6" w:space="0" w:color="auto"/>
            </w:tcBorders>
            <w:shd w:val="clear" w:color="auto" w:fill="FFFFFF"/>
            <w:vAlign w:val="center"/>
            <w:hideMark/>
          </w:tcPr>
          <w:p w:rsidR="00CF4BE7" w:rsidRPr="000B521F" w:rsidRDefault="00CF4BE7" w:rsidP="0059011D">
            <w:pPr>
              <w:spacing w:after="120" w:line="240" w:lineRule="auto"/>
              <w:jc w:val="center"/>
              <w:rPr>
                <w:rFonts w:ascii="Times New Roman" w:hAnsi="Times New Roman" w:cs="Times New Roman"/>
                <w:sz w:val="20"/>
                <w:szCs w:val="20"/>
              </w:rPr>
            </w:pPr>
            <w:r w:rsidRPr="000B521F">
              <w:rPr>
                <w:rFonts w:ascii="Times New Roman" w:hAnsi="Times New Roman" w:cs="Times New Roman"/>
                <w:sz w:val="20"/>
                <w:szCs w:val="20"/>
              </w:rPr>
              <w:t>-30</w:t>
            </w:r>
          </w:p>
        </w:tc>
        <w:tc>
          <w:tcPr>
            <w:tcW w:w="954" w:type="dxa"/>
            <w:tcBorders>
              <w:top w:val="single" w:sz="4" w:space="0" w:color="000000"/>
              <w:left w:val="single" w:sz="6" w:space="0" w:color="auto"/>
              <w:bottom w:val="single" w:sz="4" w:space="0" w:color="000000"/>
              <w:right w:val="single" w:sz="4" w:space="0" w:color="000000"/>
            </w:tcBorders>
            <w:shd w:val="clear" w:color="auto" w:fill="FFFFFF"/>
            <w:vAlign w:val="center"/>
            <w:hideMark/>
          </w:tcPr>
          <w:p w:rsidR="00CF4BE7" w:rsidRPr="000B521F" w:rsidRDefault="00CF4BE7" w:rsidP="0059011D">
            <w:pPr>
              <w:spacing w:after="120" w:line="240" w:lineRule="auto"/>
              <w:jc w:val="center"/>
              <w:rPr>
                <w:rFonts w:ascii="Times New Roman" w:hAnsi="Times New Roman" w:cs="Times New Roman"/>
                <w:sz w:val="20"/>
                <w:szCs w:val="20"/>
              </w:rPr>
            </w:pPr>
            <w:r w:rsidRPr="000B521F">
              <w:rPr>
                <w:rFonts w:ascii="Times New Roman" w:hAnsi="Times New Roman" w:cs="Times New Roman"/>
                <w:sz w:val="20"/>
                <w:szCs w:val="20"/>
              </w:rPr>
              <w:t>-32</w:t>
            </w:r>
          </w:p>
        </w:tc>
      </w:tr>
      <w:tr w:rsidR="00CF4BE7" w:rsidRPr="000B521F" w:rsidTr="00761093">
        <w:trPr>
          <w:trHeight w:val="395"/>
        </w:trPr>
        <w:tc>
          <w:tcPr>
            <w:tcW w:w="306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CF4BE7" w:rsidRPr="000B521F" w:rsidRDefault="00CF4BE7" w:rsidP="0059011D">
            <w:pPr>
              <w:spacing w:after="120" w:line="240" w:lineRule="auto"/>
              <w:rPr>
                <w:rFonts w:ascii="Times New Roman" w:hAnsi="Times New Roman" w:cs="Times New Roman"/>
                <w:sz w:val="20"/>
                <w:szCs w:val="20"/>
              </w:rPr>
            </w:pPr>
            <w:r w:rsidRPr="000B521F">
              <w:rPr>
                <w:rFonts w:ascii="Times New Roman" w:hAnsi="Times New Roman" w:cs="Times New Roman"/>
                <w:bCs/>
                <w:sz w:val="20"/>
                <w:szCs w:val="20"/>
              </w:rPr>
              <w:t>Podíl energie z obnovitelných zdrojů na hrubé konečné spotřebě energie (%)</w:t>
            </w:r>
          </w:p>
        </w:tc>
        <w:tc>
          <w:tcPr>
            <w:tcW w:w="989" w:type="dxa"/>
            <w:tcBorders>
              <w:top w:val="single" w:sz="4" w:space="0" w:color="000000"/>
              <w:left w:val="single" w:sz="4" w:space="0" w:color="000000"/>
              <w:bottom w:val="single" w:sz="4" w:space="0" w:color="000000"/>
              <w:right w:val="single" w:sz="6" w:space="0" w:color="auto"/>
            </w:tcBorders>
            <w:shd w:val="clear" w:color="auto" w:fill="FFFFFF"/>
            <w:vAlign w:val="center"/>
            <w:hideMark/>
          </w:tcPr>
          <w:p w:rsidR="00CF4BE7" w:rsidRPr="000B521F" w:rsidRDefault="00CF4BE7" w:rsidP="0059011D">
            <w:pPr>
              <w:spacing w:after="120" w:line="240" w:lineRule="auto"/>
              <w:jc w:val="center"/>
              <w:rPr>
                <w:rFonts w:ascii="Times New Roman" w:hAnsi="Times New Roman" w:cs="Times New Roman"/>
                <w:sz w:val="20"/>
                <w:szCs w:val="20"/>
              </w:rPr>
            </w:pPr>
            <w:r w:rsidRPr="000B521F">
              <w:rPr>
                <w:rFonts w:ascii="Times New Roman" w:hAnsi="Times New Roman" w:cs="Times New Roman"/>
                <w:sz w:val="20"/>
                <w:szCs w:val="20"/>
              </w:rPr>
              <w:t>20</w:t>
            </w:r>
          </w:p>
        </w:tc>
        <w:tc>
          <w:tcPr>
            <w:tcW w:w="984" w:type="dxa"/>
            <w:tcBorders>
              <w:top w:val="single" w:sz="4" w:space="0" w:color="000000"/>
              <w:left w:val="single" w:sz="6" w:space="0" w:color="auto"/>
              <w:bottom w:val="single" w:sz="4" w:space="0" w:color="000000"/>
              <w:right w:val="single" w:sz="4" w:space="0" w:color="000000"/>
            </w:tcBorders>
            <w:shd w:val="clear" w:color="auto" w:fill="FFFFFF"/>
            <w:vAlign w:val="center"/>
            <w:hideMark/>
          </w:tcPr>
          <w:p w:rsidR="00CF4BE7" w:rsidRPr="000B521F" w:rsidRDefault="00CF4BE7" w:rsidP="0059011D">
            <w:pPr>
              <w:spacing w:after="120" w:line="240" w:lineRule="auto"/>
              <w:jc w:val="center"/>
              <w:rPr>
                <w:rFonts w:ascii="Times New Roman" w:hAnsi="Times New Roman" w:cs="Times New Roman"/>
                <w:sz w:val="20"/>
                <w:szCs w:val="20"/>
              </w:rPr>
            </w:pPr>
            <w:r w:rsidRPr="000B521F">
              <w:rPr>
                <w:rFonts w:ascii="Times New Roman" w:hAnsi="Times New Roman" w:cs="Times New Roman"/>
                <w:sz w:val="20"/>
                <w:szCs w:val="20"/>
              </w:rPr>
              <w:t>12,1</w:t>
            </w:r>
          </w:p>
        </w:tc>
        <w:tc>
          <w:tcPr>
            <w:tcW w:w="826" w:type="dxa"/>
            <w:tcBorders>
              <w:top w:val="single" w:sz="4" w:space="0" w:color="000000"/>
              <w:left w:val="single" w:sz="4" w:space="0" w:color="000000"/>
              <w:bottom w:val="single" w:sz="4" w:space="0" w:color="000000"/>
              <w:right w:val="single" w:sz="6" w:space="0" w:color="auto"/>
            </w:tcBorders>
            <w:shd w:val="clear" w:color="auto" w:fill="FFFFFF"/>
            <w:vAlign w:val="center"/>
            <w:hideMark/>
          </w:tcPr>
          <w:p w:rsidR="00CF4BE7" w:rsidRPr="000B521F" w:rsidRDefault="00CF4BE7" w:rsidP="0059011D">
            <w:pPr>
              <w:spacing w:after="120" w:line="240" w:lineRule="auto"/>
              <w:jc w:val="center"/>
              <w:rPr>
                <w:rFonts w:ascii="Times New Roman" w:hAnsi="Times New Roman" w:cs="Times New Roman"/>
                <w:sz w:val="20"/>
                <w:szCs w:val="20"/>
              </w:rPr>
            </w:pPr>
            <w:r w:rsidRPr="000B521F">
              <w:rPr>
                <w:rFonts w:ascii="Times New Roman" w:hAnsi="Times New Roman" w:cs="Times New Roman"/>
                <w:sz w:val="20"/>
                <w:szCs w:val="20"/>
              </w:rPr>
              <w:t>13,0</w:t>
            </w:r>
          </w:p>
        </w:tc>
        <w:tc>
          <w:tcPr>
            <w:tcW w:w="1305" w:type="dxa"/>
            <w:tcBorders>
              <w:top w:val="single" w:sz="4" w:space="0" w:color="000000"/>
              <w:left w:val="single" w:sz="4" w:space="0" w:color="000000"/>
              <w:bottom w:val="single" w:sz="4" w:space="0" w:color="000000"/>
              <w:right w:val="single" w:sz="6" w:space="0" w:color="auto"/>
            </w:tcBorders>
            <w:shd w:val="clear" w:color="auto" w:fill="FFFFFF"/>
            <w:vAlign w:val="center"/>
            <w:hideMark/>
          </w:tcPr>
          <w:p w:rsidR="00CF4BE7" w:rsidRPr="000B521F" w:rsidRDefault="00CF4BE7" w:rsidP="0059011D">
            <w:pPr>
              <w:spacing w:after="120" w:line="240" w:lineRule="auto"/>
              <w:jc w:val="center"/>
              <w:rPr>
                <w:rFonts w:ascii="Times New Roman" w:hAnsi="Times New Roman" w:cs="Times New Roman"/>
                <w:sz w:val="20"/>
                <w:szCs w:val="20"/>
              </w:rPr>
            </w:pPr>
            <w:r w:rsidRPr="000B521F">
              <w:rPr>
                <w:rFonts w:ascii="Times New Roman" w:hAnsi="Times New Roman" w:cs="Times New Roman"/>
                <w:sz w:val="20"/>
                <w:szCs w:val="20"/>
              </w:rPr>
              <w:t>13</w:t>
            </w:r>
            <w:r w:rsidRPr="000B521F">
              <w:rPr>
                <w:rStyle w:val="Znakapoznpodarou"/>
                <w:rFonts w:ascii="Times New Roman" w:hAnsi="Times New Roman" w:cs="Times New Roman"/>
                <w:sz w:val="20"/>
                <w:szCs w:val="20"/>
              </w:rPr>
              <w:footnoteReference w:id="56"/>
            </w:r>
          </w:p>
        </w:tc>
        <w:tc>
          <w:tcPr>
            <w:tcW w:w="952" w:type="dxa"/>
            <w:tcBorders>
              <w:top w:val="single" w:sz="4" w:space="0" w:color="000000"/>
              <w:left w:val="single" w:sz="4" w:space="0" w:color="000000"/>
              <w:bottom w:val="single" w:sz="4" w:space="0" w:color="000000"/>
              <w:right w:val="single" w:sz="6" w:space="0" w:color="auto"/>
            </w:tcBorders>
            <w:shd w:val="clear" w:color="auto" w:fill="FFFFFF"/>
            <w:vAlign w:val="center"/>
            <w:hideMark/>
          </w:tcPr>
          <w:p w:rsidR="00CF4BE7" w:rsidRPr="000B521F" w:rsidRDefault="00CF4BE7" w:rsidP="0059011D">
            <w:pPr>
              <w:spacing w:after="120" w:line="240" w:lineRule="auto"/>
              <w:jc w:val="center"/>
              <w:rPr>
                <w:rFonts w:ascii="Times New Roman" w:hAnsi="Times New Roman" w:cs="Times New Roman"/>
                <w:sz w:val="20"/>
                <w:szCs w:val="20"/>
              </w:rPr>
            </w:pPr>
            <w:r w:rsidRPr="000B521F">
              <w:rPr>
                <w:rFonts w:ascii="Times New Roman" w:hAnsi="Times New Roman" w:cs="Times New Roman"/>
                <w:sz w:val="20"/>
                <w:szCs w:val="20"/>
              </w:rPr>
              <w:t>8,4</w:t>
            </w:r>
          </w:p>
        </w:tc>
        <w:tc>
          <w:tcPr>
            <w:tcW w:w="954" w:type="dxa"/>
            <w:tcBorders>
              <w:top w:val="single" w:sz="4" w:space="0" w:color="000000"/>
              <w:left w:val="single" w:sz="6" w:space="0" w:color="auto"/>
              <w:bottom w:val="single" w:sz="4" w:space="0" w:color="000000"/>
              <w:right w:val="single" w:sz="4" w:space="0" w:color="000000"/>
            </w:tcBorders>
            <w:shd w:val="clear" w:color="auto" w:fill="FFFFFF"/>
            <w:vAlign w:val="center"/>
            <w:hideMark/>
          </w:tcPr>
          <w:p w:rsidR="00CF4BE7" w:rsidRPr="000B521F" w:rsidRDefault="00CF4BE7" w:rsidP="0059011D">
            <w:pPr>
              <w:spacing w:after="120" w:line="240" w:lineRule="auto"/>
              <w:jc w:val="center"/>
              <w:rPr>
                <w:rFonts w:ascii="Times New Roman" w:hAnsi="Times New Roman" w:cs="Times New Roman"/>
                <w:sz w:val="20"/>
                <w:szCs w:val="20"/>
              </w:rPr>
            </w:pPr>
            <w:r w:rsidRPr="000B521F">
              <w:rPr>
                <w:rFonts w:ascii="Times New Roman" w:hAnsi="Times New Roman" w:cs="Times New Roman"/>
                <w:sz w:val="20"/>
                <w:szCs w:val="20"/>
              </w:rPr>
              <w:t>9,4</w:t>
            </w:r>
          </w:p>
        </w:tc>
      </w:tr>
      <w:tr w:rsidR="00CF4BE7" w:rsidRPr="000B521F" w:rsidTr="00761093">
        <w:trPr>
          <w:trHeight w:val="395"/>
        </w:trPr>
        <w:tc>
          <w:tcPr>
            <w:tcW w:w="306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CF4BE7" w:rsidRPr="000B521F" w:rsidRDefault="00CF4BE7" w:rsidP="0059011D">
            <w:pPr>
              <w:pStyle w:val="text"/>
              <w:rPr>
                <w:sz w:val="20"/>
                <w:szCs w:val="20"/>
              </w:rPr>
            </w:pPr>
            <w:r w:rsidRPr="000B521F">
              <w:rPr>
                <w:sz w:val="20"/>
                <w:szCs w:val="20"/>
              </w:rPr>
              <w:t>Primární spotřeba energie (MToe)</w:t>
            </w:r>
          </w:p>
        </w:tc>
        <w:tc>
          <w:tcPr>
            <w:tcW w:w="989" w:type="dxa"/>
            <w:tcBorders>
              <w:top w:val="single" w:sz="4" w:space="0" w:color="000000"/>
              <w:left w:val="single" w:sz="4" w:space="0" w:color="000000"/>
              <w:bottom w:val="single" w:sz="4" w:space="0" w:color="000000"/>
              <w:right w:val="single" w:sz="6" w:space="0" w:color="auto"/>
            </w:tcBorders>
            <w:shd w:val="clear" w:color="auto" w:fill="FFFFFF"/>
            <w:vAlign w:val="center"/>
            <w:hideMark/>
          </w:tcPr>
          <w:p w:rsidR="00CF4BE7" w:rsidRPr="000B521F" w:rsidRDefault="00CF4BE7" w:rsidP="0059011D">
            <w:pPr>
              <w:pStyle w:val="text"/>
              <w:rPr>
                <w:sz w:val="20"/>
                <w:szCs w:val="20"/>
              </w:rPr>
            </w:pPr>
            <w:r w:rsidRPr="000B521F">
              <w:rPr>
                <w:sz w:val="20"/>
                <w:szCs w:val="20"/>
              </w:rPr>
              <w:t>1474, tj. snížení o 20 %</w:t>
            </w:r>
          </w:p>
        </w:tc>
        <w:tc>
          <w:tcPr>
            <w:tcW w:w="984" w:type="dxa"/>
            <w:tcBorders>
              <w:top w:val="single" w:sz="4" w:space="0" w:color="000000"/>
              <w:left w:val="single" w:sz="6" w:space="0" w:color="auto"/>
              <w:bottom w:val="single" w:sz="4" w:space="0" w:color="000000"/>
              <w:right w:val="single" w:sz="4" w:space="0" w:color="000000"/>
            </w:tcBorders>
            <w:shd w:val="clear" w:color="auto" w:fill="FFFFFF"/>
            <w:vAlign w:val="center"/>
            <w:hideMark/>
          </w:tcPr>
          <w:p w:rsidR="00CF4BE7" w:rsidRPr="000B521F" w:rsidRDefault="00CF4BE7" w:rsidP="0059011D">
            <w:pPr>
              <w:pStyle w:val="text"/>
              <w:rPr>
                <w:sz w:val="20"/>
                <w:szCs w:val="20"/>
              </w:rPr>
            </w:pPr>
            <w:r w:rsidRPr="000B521F">
              <w:rPr>
                <w:sz w:val="20"/>
                <w:szCs w:val="20"/>
              </w:rPr>
              <w:t>1647</w:t>
            </w:r>
          </w:p>
        </w:tc>
        <w:tc>
          <w:tcPr>
            <w:tcW w:w="826" w:type="dxa"/>
            <w:tcBorders>
              <w:top w:val="single" w:sz="4" w:space="0" w:color="000000"/>
              <w:left w:val="single" w:sz="4" w:space="0" w:color="000000"/>
              <w:bottom w:val="single" w:sz="4" w:space="0" w:color="000000"/>
              <w:right w:val="single" w:sz="6" w:space="0" w:color="auto"/>
            </w:tcBorders>
            <w:shd w:val="clear" w:color="auto" w:fill="FFFFFF"/>
            <w:vAlign w:val="center"/>
          </w:tcPr>
          <w:p w:rsidR="00CF4BE7" w:rsidRPr="000B521F" w:rsidRDefault="00CF4BE7" w:rsidP="0059011D">
            <w:pPr>
              <w:pStyle w:val="text"/>
              <w:rPr>
                <w:sz w:val="20"/>
                <w:szCs w:val="20"/>
              </w:rPr>
            </w:pPr>
          </w:p>
        </w:tc>
        <w:tc>
          <w:tcPr>
            <w:tcW w:w="1305" w:type="dxa"/>
            <w:tcBorders>
              <w:top w:val="single" w:sz="4" w:space="0" w:color="000000"/>
              <w:left w:val="single" w:sz="4" w:space="0" w:color="000000"/>
              <w:bottom w:val="single" w:sz="4" w:space="0" w:color="000000"/>
              <w:right w:val="single" w:sz="6" w:space="0" w:color="auto"/>
            </w:tcBorders>
            <w:shd w:val="clear" w:color="auto" w:fill="FFFFFF"/>
            <w:vAlign w:val="center"/>
            <w:hideMark/>
          </w:tcPr>
          <w:p w:rsidR="00CF4BE7" w:rsidRPr="000B521F" w:rsidRDefault="00CF4BE7" w:rsidP="0059011D">
            <w:pPr>
              <w:pStyle w:val="text"/>
              <w:rPr>
                <w:sz w:val="20"/>
                <w:szCs w:val="20"/>
              </w:rPr>
            </w:pPr>
            <w:r w:rsidRPr="000B521F">
              <w:rPr>
                <w:sz w:val="20"/>
                <w:szCs w:val="20"/>
              </w:rPr>
              <w:t>Úspora energie na konečné spotřebě do roku 2020 ve výši 47,84 PJ</w:t>
            </w:r>
          </w:p>
        </w:tc>
        <w:tc>
          <w:tcPr>
            <w:tcW w:w="952" w:type="dxa"/>
            <w:tcBorders>
              <w:top w:val="single" w:sz="4" w:space="0" w:color="000000"/>
              <w:left w:val="single" w:sz="4" w:space="0" w:color="000000"/>
              <w:bottom w:val="single" w:sz="4" w:space="0" w:color="000000"/>
              <w:right w:val="single" w:sz="6" w:space="0" w:color="auto"/>
            </w:tcBorders>
            <w:shd w:val="clear" w:color="auto" w:fill="FFFFFF"/>
            <w:vAlign w:val="center"/>
            <w:hideMark/>
          </w:tcPr>
          <w:p w:rsidR="00CF4BE7" w:rsidRPr="000B521F" w:rsidRDefault="00CF4BE7" w:rsidP="0059011D">
            <w:pPr>
              <w:pStyle w:val="text"/>
              <w:rPr>
                <w:sz w:val="20"/>
                <w:szCs w:val="20"/>
              </w:rPr>
            </w:pPr>
            <w:r w:rsidRPr="000B521F">
              <w:rPr>
                <w:sz w:val="20"/>
                <w:szCs w:val="20"/>
              </w:rPr>
              <w:t>----------</w:t>
            </w:r>
          </w:p>
        </w:tc>
        <w:tc>
          <w:tcPr>
            <w:tcW w:w="954" w:type="dxa"/>
            <w:tcBorders>
              <w:top w:val="single" w:sz="4" w:space="0" w:color="000000"/>
              <w:left w:val="single" w:sz="6" w:space="0" w:color="auto"/>
              <w:bottom w:val="single" w:sz="4" w:space="0" w:color="000000"/>
              <w:right w:val="single" w:sz="4" w:space="0" w:color="000000"/>
            </w:tcBorders>
            <w:shd w:val="clear" w:color="auto" w:fill="FFFFFF"/>
            <w:vAlign w:val="center"/>
            <w:hideMark/>
          </w:tcPr>
          <w:p w:rsidR="00CF4BE7" w:rsidRPr="000B521F" w:rsidRDefault="00CF4BE7" w:rsidP="0059011D">
            <w:pPr>
              <w:pStyle w:val="text"/>
              <w:rPr>
                <w:sz w:val="20"/>
                <w:szCs w:val="20"/>
              </w:rPr>
            </w:pPr>
            <w:r w:rsidRPr="000B521F">
              <w:rPr>
                <w:sz w:val="20"/>
                <w:szCs w:val="20"/>
              </w:rPr>
              <w:t>---------</w:t>
            </w:r>
          </w:p>
        </w:tc>
      </w:tr>
    </w:tbl>
    <w:p w:rsidR="005C2131" w:rsidRDefault="00CF4BE7" w:rsidP="00833CB5">
      <w:pPr>
        <w:spacing w:after="120" w:line="240" w:lineRule="auto"/>
        <w:jc w:val="both"/>
        <w:rPr>
          <w:rFonts w:ascii="Times New Roman" w:hAnsi="Times New Roman" w:cs="Times New Roman"/>
          <w:sz w:val="24"/>
          <w:szCs w:val="24"/>
        </w:rPr>
      </w:pPr>
      <w:r w:rsidRPr="005B6699">
        <w:rPr>
          <w:rFonts w:ascii="Times New Roman" w:hAnsi="Times New Roman" w:cs="Times New Roman"/>
          <w:sz w:val="24"/>
          <w:szCs w:val="24"/>
        </w:rPr>
        <w:t xml:space="preserve">Česká republika je ve vztahu k cílům strategie Evropa 2020 nad průměrem EU, vyjma podílu OZE. Vnitrostátní cíle, které jsou definovány např. v Národním akčním plánu České republiky pro energii z obnovitelných zdrojů, jsou nastaveny vzhledem k celkové výkonnosti ekonomiky s výhledem do roku 2020. </w:t>
      </w:r>
    </w:p>
    <w:p w:rsidR="005C2131" w:rsidRDefault="005C2131">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8206A4" w:rsidRPr="000B521F" w:rsidRDefault="00DC5011" w:rsidP="0059011D">
      <w:pPr>
        <w:pStyle w:val="Nadpis3"/>
        <w:numPr>
          <w:ilvl w:val="2"/>
          <w:numId w:val="14"/>
        </w:numPr>
        <w:spacing w:after="120"/>
        <w:rPr>
          <w:rFonts w:ascii="Times New Roman" w:hAnsi="Times New Roman" w:cs="Times New Roman"/>
        </w:rPr>
      </w:pPr>
      <w:bookmarkStart w:id="34" w:name="_Toc352918649"/>
      <w:bookmarkStart w:id="35" w:name="_Toc245272151"/>
      <w:bookmarkStart w:id="36" w:name="_Toc374702864"/>
      <w:r w:rsidRPr="000B521F">
        <w:rPr>
          <w:rFonts w:ascii="Times New Roman" w:hAnsi="Times New Roman" w:cs="Times New Roman"/>
        </w:rPr>
        <w:lastRenderedPageBreak/>
        <w:t>Veřejná</w:t>
      </w:r>
      <w:r w:rsidR="008B5253" w:rsidRPr="000B521F">
        <w:rPr>
          <w:rFonts w:ascii="Times New Roman" w:hAnsi="Times New Roman" w:cs="Times New Roman"/>
        </w:rPr>
        <w:t xml:space="preserve"> </w:t>
      </w:r>
      <w:r w:rsidRPr="000B521F">
        <w:rPr>
          <w:rFonts w:ascii="Times New Roman" w:hAnsi="Times New Roman" w:cs="Times New Roman"/>
        </w:rPr>
        <w:t>správ</w:t>
      </w:r>
      <w:bookmarkEnd w:id="34"/>
      <w:r w:rsidRPr="000B521F">
        <w:rPr>
          <w:rFonts w:ascii="Times New Roman" w:hAnsi="Times New Roman" w:cs="Times New Roman"/>
        </w:rPr>
        <w:t>a</w:t>
      </w:r>
      <w:bookmarkEnd w:id="35"/>
      <w:bookmarkEnd w:id="36"/>
    </w:p>
    <w:p w:rsidR="00DC5011" w:rsidRPr="000B521F" w:rsidRDefault="00DC5011" w:rsidP="0059011D">
      <w:pPr>
        <w:spacing w:after="120" w:line="240" w:lineRule="auto"/>
        <w:rPr>
          <w:rFonts w:ascii="Times New Roman" w:hAnsi="Times New Roman" w:cs="Times New Roman"/>
          <w:b/>
          <w:sz w:val="24"/>
          <w:szCs w:val="24"/>
        </w:rPr>
      </w:pPr>
      <w:r w:rsidRPr="000B521F">
        <w:rPr>
          <w:rFonts w:ascii="Times New Roman" w:hAnsi="Times New Roman" w:cs="Times New Roman"/>
          <w:b/>
          <w:sz w:val="24"/>
          <w:szCs w:val="24"/>
        </w:rPr>
        <w:t>Východiska a charakteristika</w:t>
      </w:r>
    </w:p>
    <w:p w:rsidR="00BC676D" w:rsidRPr="009E59E0" w:rsidRDefault="00BC676D" w:rsidP="00BC676D">
      <w:pPr>
        <w:spacing w:line="240" w:lineRule="auto"/>
        <w:jc w:val="both"/>
        <w:rPr>
          <w:rFonts w:ascii="Times New Roman" w:hAnsi="Times New Roman" w:cs="Times New Roman"/>
          <w:sz w:val="24"/>
          <w:szCs w:val="24"/>
        </w:rPr>
      </w:pPr>
      <w:r w:rsidRPr="009E59E0">
        <w:rPr>
          <w:rFonts w:ascii="Times New Roman" w:hAnsi="Times New Roman" w:cs="Times New Roman"/>
          <w:sz w:val="24"/>
          <w:szCs w:val="24"/>
        </w:rPr>
        <w:t xml:space="preserve">Mezinárodní i národní srovnání (index globální konkurenceschopnosti Světového obchodního fóra, index Doing Business Světové banky, index Ročenky světové konkurenceschopnosti; NERV apod.) ukazují na klesající kvalitu institucionálního prostředí v České republice, které má zásadní vliv na konkurenceschopnost celé ČR i jejího hospodářství. Jde zejména o problémy spojené s výší nákladů, dobou trvání úkonů a procesů, kvalitu prostředí a kompetenční modely. </w:t>
      </w:r>
    </w:p>
    <w:p w:rsidR="00BC676D" w:rsidRPr="00BC676D" w:rsidRDefault="00BC676D" w:rsidP="00BC676D">
      <w:pPr>
        <w:spacing w:line="240" w:lineRule="auto"/>
        <w:jc w:val="both"/>
        <w:rPr>
          <w:rFonts w:ascii="Times New Roman" w:hAnsi="Times New Roman" w:cs="Times New Roman"/>
          <w:sz w:val="24"/>
          <w:szCs w:val="24"/>
        </w:rPr>
      </w:pPr>
      <w:r w:rsidRPr="009E59E0">
        <w:rPr>
          <w:rFonts w:ascii="Times New Roman" w:hAnsi="Times New Roman" w:cs="Times New Roman"/>
          <w:sz w:val="24"/>
          <w:szCs w:val="24"/>
        </w:rPr>
        <w:t>Dobře fungující transparentní veřejná správa je základním předpokladem pro dosažení potřebných změn ve všech dalších problémových oblastech  zahrnutých do Do</w:t>
      </w:r>
      <w:r w:rsidR="005C2131">
        <w:rPr>
          <w:rFonts w:ascii="Times New Roman" w:hAnsi="Times New Roman" w:cs="Times New Roman"/>
          <w:sz w:val="24"/>
          <w:szCs w:val="24"/>
        </w:rPr>
        <w:t>hody</w:t>
      </w:r>
      <w:r w:rsidRPr="009E59E0">
        <w:rPr>
          <w:rFonts w:ascii="Times New Roman" w:hAnsi="Times New Roman" w:cs="Times New Roman"/>
          <w:sz w:val="24"/>
          <w:szCs w:val="24"/>
        </w:rPr>
        <w:t xml:space="preserve">. Kvalitní veřejná správa pozitivně ovlivňuje konkurenceschopnost firemního sektoru, vznik pracovních míst, dostupnost služeb pro občany a průběh procesů při budování infrastruktury. </w:t>
      </w:r>
      <w:r w:rsidRPr="008B5253">
        <w:rPr>
          <w:rFonts w:ascii="Times New Roman" w:hAnsi="Times New Roman" w:cs="Times New Roman"/>
          <w:sz w:val="24"/>
          <w:szCs w:val="24"/>
        </w:rPr>
        <w:t xml:space="preserve">V kontextu národního programu reforem a na základě mezinárodních studií byly identifikovány níže popsané hlavní potřeby rozvoje v ČR v oblasti veřejné správy nutné pro zlepšení účinnosti a účelnosti institucí včetně zkvalitnění fungování justice </w:t>
      </w:r>
      <w:r>
        <w:rPr>
          <w:rFonts w:ascii="Times New Roman" w:hAnsi="Times New Roman" w:cs="Times New Roman"/>
          <w:sz w:val="24"/>
          <w:szCs w:val="24"/>
        </w:rPr>
        <w:t xml:space="preserve">, </w:t>
      </w:r>
      <w:r w:rsidRPr="008B5253">
        <w:rPr>
          <w:rFonts w:ascii="Times New Roman" w:hAnsi="Times New Roman" w:cs="Times New Roman"/>
          <w:sz w:val="24"/>
          <w:szCs w:val="24"/>
        </w:rPr>
        <w:t>a</w:t>
      </w:r>
      <w:r>
        <w:rPr>
          <w:rFonts w:ascii="Times New Roman" w:hAnsi="Times New Roman" w:cs="Times New Roman"/>
          <w:sz w:val="24"/>
          <w:szCs w:val="24"/>
        </w:rPr>
        <w:t xml:space="preserve"> sice</w:t>
      </w:r>
      <w:r w:rsidRPr="008B5253">
        <w:rPr>
          <w:rFonts w:ascii="Times New Roman" w:hAnsi="Times New Roman" w:cs="Times New Roman"/>
          <w:sz w:val="24"/>
          <w:szCs w:val="24"/>
        </w:rPr>
        <w:t xml:space="preserve"> zlepšení interakce a důvěry </w:t>
      </w:r>
      <w:r w:rsidRPr="00D9408E">
        <w:rPr>
          <w:rFonts w:ascii="Times New Roman" w:hAnsi="Times New Roman" w:cs="Times New Roman"/>
          <w:sz w:val="24"/>
          <w:szCs w:val="24"/>
        </w:rPr>
        <w:t>mezi veřejnou správou a občany, snížení administrativní zátěže, zamezování korupci a zajištění přiměřeného a transparentního systému pro administraci veřejných financí.</w:t>
      </w:r>
      <w:r w:rsidR="00842329" w:rsidRPr="00842329">
        <w:rPr>
          <w:rFonts w:ascii="Times New Roman" w:hAnsi="Times New Roman" w:cs="Times New Roman"/>
          <w:sz w:val="24"/>
          <w:szCs w:val="24"/>
        </w:rPr>
        <w:t xml:space="preserve"> </w:t>
      </w:r>
    </w:p>
    <w:p w:rsidR="00BC676D" w:rsidRDefault="00842329" w:rsidP="00E81C4C">
      <w:pPr>
        <w:spacing w:line="240" w:lineRule="auto"/>
        <w:jc w:val="both"/>
        <w:rPr>
          <w:rFonts w:ascii="Times New Roman" w:hAnsi="Times New Roman" w:cs="Times New Roman"/>
          <w:sz w:val="24"/>
          <w:szCs w:val="24"/>
        </w:rPr>
      </w:pPr>
      <w:r w:rsidRPr="00842329">
        <w:rPr>
          <w:rFonts w:ascii="Times New Roman" w:hAnsi="Times New Roman"/>
          <w:sz w:val="24"/>
          <w:szCs w:val="24"/>
        </w:rPr>
        <w:t xml:space="preserve">Boj proti korupci, na který bude kladen značný důraz, </w:t>
      </w:r>
      <w:r w:rsidR="002E6381">
        <w:rPr>
          <w:rFonts w:ascii="Times New Roman" w:hAnsi="Times New Roman"/>
          <w:sz w:val="24"/>
          <w:szCs w:val="24"/>
        </w:rPr>
        <w:t xml:space="preserve">je nutné řešit </w:t>
      </w:r>
      <w:r w:rsidRPr="00842329">
        <w:rPr>
          <w:rFonts w:ascii="Times New Roman" w:hAnsi="Times New Roman"/>
          <w:sz w:val="24"/>
          <w:szCs w:val="24"/>
        </w:rPr>
        <w:t>pomoci řady dílčích opatření</w:t>
      </w:r>
      <w:r w:rsidR="002E6381">
        <w:rPr>
          <w:rFonts w:ascii="Times New Roman" w:hAnsi="Times New Roman"/>
          <w:sz w:val="24"/>
          <w:szCs w:val="24"/>
        </w:rPr>
        <w:t xml:space="preserve">, např. </w:t>
      </w:r>
      <w:r w:rsidR="00E81C4C">
        <w:rPr>
          <w:rFonts w:ascii="Times New Roman" w:hAnsi="Times New Roman"/>
          <w:sz w:val="24"/>
          <w:szCs w:val="24"/>
        </w:rPr>
        <w:t xml:space="preserve">(i) </w:t>
      </w:r>
      <w:r w:rsidRPr="00842329">
        <w:rPr>
          <w:rFonts w:ascii="Times New Roman" w:hAnsi="Times New Roman"/>
          <w:sz w:val="24"/>
          <w:szCs w:val="24"/>
        </w:rPr>
        <w:t>v</w:t>
      </w:r>
      <w:r w:rsidR="00BC676D" w:rsidRPr="00487111">
        <w:rPr>
          <w:rFonts w:ascii="Times New Roman" w:hAnsi="Times New Roman"/>
          <w:sz w:val="24"/>
          <w:szCs w:val="24"/>
        </w:rPr>
        <w:t> </w:t>
      </w:r>
      <w:r w:rsidRPr="00842329">
        <w:rPr>
          <w:rFonts w:ascii="Times New Roman" w:hAnsi="Times New Roman"/>
          <w:sz w:val="24"/>
          <w:szCs w:val="24"/>
        </w:rPr>
        <w:t xml:space="preserve">oblasti elektronizace </w:t>
      </w:r>
      <w:r w:rsidR="002E6381">
        <w:rPr>
          <w:rFonts w:ascii="Times New Roman" w:hAnsi="Times New Roman"/>
          <w:sz w:val="24"/>
          <w:szCs w:val="24"/>
        </w:rPr>
        <w:t>(</w:t>
      </w:r>
      <w:r w:rsidR="00BC676D">
        <w:rPr>
          <w:rFonts w:ascii="Times New Roman" w:hAnsi="Times New Roman"/>
          <w:sz w:val="24"/>
          <w:szCs w:val="24"/>
        </w:rPr>
        <w:t xml:space="preserve">akcent </w:t>
      </w:r>
      <w:r w:rsidRPr="00842329">
        <w:rPr>
          <w:rFonts w:ascii="Times New Roman" w:hAnsi="Times New Roman"/>
          <w:sz w:val="24"/>
          <w:szCs w:val="24"/>
        </w:rPr>
        <w:t>zejména na sdílení již jednou pořízených dat a tedy zavedení tzv. úplného elektronického podání, které umožní řešit většinu životních situací občanů bez nutnosti fyzického kontaktu s</w:t>
      </w:r>
      <w:r w:rsidR="00E81C4C">
        <w:rPr>
          <w:rFonts w:ascii="Times New Roman" w:hAnsi="Times New Roman"/>
          <w:sz w:val="24"/>
          <w:szCs w:val="24"/>
        </w:rPr>
        <w:t> </w:t>
      </w:r>
      <w:r w:rsidRPr="00842329">
        <w:rPr>
          <w:rFonts w:ascii="Times New Roman" w:hAnsi="Times New Roman"/>
          <w:sz w:val="24"/>
          <w:szCs w:val="24"/>
        </w:rPr>
        <w:t>úředníkem</w:t>
      </w:r>
      <w:r w:rsidR="00E81C4C">
        <w:rPr>
          <w:rFonts w:ascii="Times New Roman" w:hAnsi="Times New Roman"/>
          <w:sz w:val="24"/>
          <w:szCs w:val="24"/>
        </w:rPr>
        <w:t>)</w:t>
      </w:r>
      <w:r w:rsidRPr="00842329">
        <w:rPr>
          <w:rFonts w:ascii="Times New Roman" w:hAnsi="Times New Roman"/>
          <w:sz w:val="24"/>
          <w:szCs w:val="24"/>
        </w:rPr>
        <w:t xml:space="preserve">; </w:t>
      </w:r>
      <w:r w:rsidR="00E81C4C">
        <w:rPr>
          <w:rFonts w:ascii="Times New Roman" w:hAnsi="Times New Roman"/>
          <w:sz w:val="24"/>
          <w:szCs w:val="24"/>
        </w:rPr>
        <w:t xml:space="preserve">(ii) </w:t>
      </w:r>
      <w:r w:rsidRPr="00842329">
        <w:rPr>
          <w:rFonts w:ascii="Times New Roman" w:hAnsi="Times New Roman"/>
          <w:sz w:val="24"/>
          <w:szCs w:val="24"/>
        </w:rPr>
        <w:t>rozvoj</w:t>
      </w:r>
      <w:r w:rsidR="00E81C4C">
        <w:rPr>
          <w:rFonts w:ascii="Times New Roman" w:hAnsi="Times New Roman"/>
          <w:sz w:val="24"/>
          <w:szCs w:val="24"/>
        </w:rPr>
        <w:t>e</w:t>
      </w:r>
      <w:r w:rsidRPr="00842329">
        <w:rPr>
          <w:rFonts w:ascii="Times New Roman" w:hAnsi="Times New Roman"/>
          <w:sz w:val="24"/>
          <w:szCs w:val="24"/>
        </w:rPr>
        <w:t>, sdílení a inteligentní publikaci dat a informací veřejné správy na principu open data</w:t>
      </w:r>
      <w:r w:rsidR="00E81C4C">
        <w:rPr>
          <w:rFonts w:ascii="Times New Roman" w:hAnsi="Times New Roman"/>
          <w:sz w:val="24"/>
          <w:szCs w:val="24"/>
        </w:rPr>
        <w:t xml:space="preserve"> (</w:t>
      </w:r>
      <w:r w:rsidRPr="00842329">
        <w:rPr>
          <w:rFonts w:ascii="Times New Roman" w:hAnsi="Times New Roman"/>
          <w:sz w:val="24"/>
          <w:szCs w:val="24"/>
        </w:rPr>
        <w:t>,</w:t>
      </w:r>
      <w:r w:rsidR="00E81C4C">
        <w:rPr>
          <w:rFonts w:ascii="Times New Roman" w:hAnsi="Times New Roman"/>
          <w:sz w:val="24"/>
          <w:szCs w:val="24"/>
        </w:rPr>
        <w:t xml:space="preserve">pro </w:t>
      </w:r>
      <w:r w:rsidRPr="00842329">
        <w:rPr>
          <w:rFonts w:ascii="Times New Roman" w:hAnsi="Times New Roman"/>
          <w:sz w:val="24"/>
          <w:szCs w:val="24"/>
        </w:rPr>
        <w:t>vyšší transparentnost činnosti veřejné správy a její komunikace s</w:t>
      </w:r>
      <w:r w:rsidR="000D5A84">
        <w:rPr>
          <w:rFonts w:ascii="Times New Roman" w:hAnsi="Times New Roman"/>
          <w:sz w:val="24"/>
          <w:szCs w:val="24"/>
        </w:rPr>
        <w:t> </w:t>
      </w:r>
      <w:r w:rsidRPr="00842329">
        <w:rPr>
          <w:rFonts w:ascii="Times New Roman" w:hAnsi="Times New Roman"/>
          <w:sz w:val="24"/>
          <w:szCs w:val="24"/>
        </w:rPr>
        <w:t>veřejností</w:t>
      </w:r>
      <w:r w:rsidR="000D5A84">
        <w:rPr>
          <w:rFonts w:ascii="Times New Roman" w:hAnsi="Times New Roman"/>
          <w:sz w:val="24"/>
          <w:szCs w:val="24"/>
        </w:rPr>
        <w:t xml:space="preserve"> - o</w:t>
      </w:r>
      <w:r w:rsidRPr="00842329">
        <w:rPr>
          <w:rFonts w:ascii="Times New Roman" w:hAnsi="Times New Roman"/>
          <w:sz w:val="24"/>
          <w:szCs w:val="24"/>
        </w:rPr>
        <w:t>bčané získají snazší přístup k</w:t>
      </w:r>
      <w:r w:rsidR="00BC676D" w:rsidRPr="00487111">
        <w:rPr>
          <w:rFonts w:ascii="Times New Roman" w:hAnsi="Times New Roman"/>
          <w:sz w:val="24"/>
          <w:szCs w:val="24"/>
        </w:rPr>
        <w:t> </w:t>
      </w:r>
      <w:r w:rsidRPr="00842329">
        <w:rPr>
          <w:rFonts w:ascii="Times New Roman" w:hAnsi="Times New Roman"/>
          <w:sz w:val="24"/>
          <w:szCs w:val="24"/>
        </w:rPr>
        <w:t>informacím, včetně informací o veřejných rozpočtech</w:t>
      </w:r>
      <w:r w:rsidR="000D5A84">
        <w:rPr>
          <w:rFonts w:ascii="Times New Roman" w:hAnsi="Times New Roman"/>
          <w:sz w:val="24"/>
          <w:szCs w:val="24"/>
        </w:rPr>
        <w:t>)</w:t>
      </w:r>
      <w:r w:rsidRPr="00842329">
        <w:rPr>
          <w:rFonts w:ascii="Times New Roman" w:hAnsi="Times New Roman"/>
          <w:sz w:val="24"/>
          <w:szCs w:val="24"/>
        </w:rPr>
        <w:t xml:space="preserve"> </w:t>
      </w:r>
      <w:r w:rsidR="00E81C4C">
        <w:rPr>
          <w:rFonts w:ascii="Times New Roman" w:hAnsi="Times New Roman"/>
          <w:sz w:val="24"/>
          <w:szCs w:val="24"/>
        </w:rPr>
        <w:t xml:space="preserve">(iii) </w:t>
      </w:r>
      <w:r w:rsidRPr="00842329">
        <w:rPr>
          <w:rFonts w:ascii="Times New Roman" w:hAnsi="Times New Roman"/>
          <w:sz w:val="24"/>
          <w:szCs w:val="24"/>
        </w:rPr>
        <w:t>zavádění etických a protikorupčních standardů prostřednictvím vzdělávání úředníků veřejné správy</w:t>
      </w:r>
      <w:r w:rsidR="00E81C4C">
        <w:rPr>
          <w:rFonts w:ascii="Times New Roman" w:hAnsi="Times New Roman"/>
          <w:sz w:val="24"/>
          <w:szCs w:val="24"/>
        </w:rPr>
        <w:t xml:space="preserve"> včetně oblasti</w:t>
      </w:r>
      <w:r w:rsidRPr="00842329">
        <w:rPr>
          <w:rFonts w:ascii="Times New Roman" w:hAnsi="Times New Roman"/>
          <w:sz w:val="24"/>
          <w:szCs w:val="24"/>
        </w:rPr>
        <w:t xml:space="preserve"> tvorby regulace. I z</w:t>
      </w:r>
      <w:r w:rsidR="00BC676D" w:rsidRPr="00487111">
        <w:rPr>
          <w:rFonts w:ascii="Times New Roman" w:hAnsi="Times New Roman"/>
          <w:sz w:val="24"/>
          <w:szCs w:val="24"/>
        </w:rPr>
        <w:t> </w:t>
      </w:r>
      <w:r w:rsidRPr="00842329">
        <w:rPr>
          <w:rFonts w:ascii="Times New Roman" w:hAnsi="Times New Roman"/>
          <w:sz w:val="24"/>
          <w:szCs w:val="24"/>
        </w:rPr>
        <w:t xml:space="preserve">toho důvodu </w:t>
      </w:r>
      <w:r w:rsidR="00E81C4C">
        <w:rPr>
          <w:rFonts w:ascii="Times New Roman" w:hAnsi="Times New Roman"/>
          <w:sz w:val="24"/>
          <w:szCs w:val="24"/>
        </w:rPr>
        <w:t xml:space="preserve">je třeba </w:t>
      </w:r>
      <w:r w:rsidRPr="00842329">
        <w:rPr>
          <w:rFonts w:ascii="Times New Roman" w:hAnsi="Times New Roman"/>
          <w:sz w:val="24"/>
          <w:szCs w:val="24"/>
        </w:rPr>
        <w:t>dále podporov</w:t>
      </w:r>
      <w:r w:rsidR="00E81C4C">
        <w:rPr>
          <w:rFonts w:ascii="Times New Roman" w:hAnsi="Times New Roman"/>
          <w:sz w:val="24"/>
          <w:szCs w:val="24"/>
        </w:rPr>
        <w:t>at</w:t>
      </w:r>
      <w:r w:rsidRPr="00842329">
        <w:rPr>
          <w:rFonts w:ascii="Times New Roman" w:hAnsi="Times New Roman"/>
          <w:sz w:val="24"/>
          <w:szCs w:val="24"/>
        </w:rPr>
        <w:t xml:space="preserve"> nástroje jako CIA (corruption impact assessment),</w:t>
      </w:r>
      <w:r w:rsidR="00BC676D">
        <w:rPr>
          <w:rFonts w:ascii="Times New Roman" w:hAnsi="Times New Roman"/>
          <w:sz w:val="24"/>
          <w:szCs w:val="24"/>
        </w:rPr>
        <w:t xml:space="preserve"> či RIA ex post,</w:t>
      </w:r>
      <w:r w:rsidRPr="00842329">
        <w:rPr>
          <w:rFonts w:ascii="Times New Roman" w:hAnsi="Times New Roman"/>
          <w:sz w:val="24"/>
          <w:szCs w:val="24"/>
        </w:rPr>
        <w:t xml:space="preserve"> jejichž kvalitní zpracování má pozitivní dopady na zprůhlednění celého procesu tvorby legislativy.</w:t>
      </w:r>
      <w:r w:rsidR="00BC676D">
        <w:rPr>
          <w:rFonts w:ascii="Times New Roman" w:hAnsi="Times New Roman" w:cs="Times New Roman"/>
          <w:sz w:val="24"/>
          <w:szCs w:val="24"/>
        </w:rPr>
        <w:t xml:space="preserve"> V rámci těchto témat je také třeba vnímat specifické postavení úředníka v rámci veřejné správy, jeho práva a povinnosti a obecně s tím související řízení a rozvoj lidských zdrojů, které jsou především ve státní správě na nízké úrovni. </w:t>
      </w:r>
    </w:p>
    <w:p w:rsidR="00BC676D" w:rsidRDefault="00BC676D" w:rsidP="00BC676D">
      <w:pPr>
        <w:spacing w:line="240" w:lineRule="auto"/>
        <w:jc w:val="both"/>
        <w:rPr>
          <w:rFonts w:ascii="Times New Roman" w:hAnsi="Times New Roman" w:cs="Times New Roman"/>
          <w:sz w:val="24"/>
          <w:szCs w:val="24"/>
        </w:rPr>
      </w:pPr>
      <w:r w:rsidRPr="009667B7">
        <w:rPr>
          <w:rFonts w:ascii="Times New Roman" w:hAnsi="Times New Roman" w:cs="Times New Roman"/>
          <w:sz w:val="24"/>
          <w:szCs w:val="24"/>
        </w:rPr>
        <w:t xml:space="preserve">Ke zlepšení v dané oblasti bude nezbytné i s přihlédnutím k předběžným podmínkám stanoveným v přímo uplatnitelných nařízeních EU připravovaných pro období 2014 -2020 přijmout právní úpravu postavení státních úředníků a zajistit její účinnou </w:t>
      </w:r>
      <w:r>
        <w:rPr>
          <w:rFonts w:ascii="Times New Roman" w:hAnsi="Times New Roman" w:cs="Times New Roman"/>
          <w:sz w:val="24"/>
          <w:szCs w:val="24"/>
        </w:rPr>
        <w:t>implementaci</w:t>
      </w:r>
      <w:r w:rsidRPr="009667B7">
        <w:rPr>
          <w:rFonts w:ascii="Times New Roman" w:hAnsi="Times New Roman" w:cs="Times New Roman"/>
          <w:sz w:val="24"/>
          <w:szCs w:val="24"/>
        </w:rPr>
        <w:t>, popř. přijmout i další související právní normy, které vytvoří příznivější regulatorní podmínky ve VS a zkvalitní institucionální prostředí.</w:t>
      </w:r>
      <w:r>
        <w:rPr>
          <w:rFonts w:ascii="Times New Roman" w:hAnsi="Times New Roman" w:cs="Times New Roman"/>
          <w:sz w:val="24"/>
          <w:szCs w:val="24"/>
        </w:rPr>
        <w:t xml:space="preserve"> Zmíněná právní úprava a její implementace se bude zabývat zavedením nepolitické pozice státního tajemníka, jako nejvyššího úředního představeného, omezením počtu politických pozic v rámci resortu, zavede jednotné principy </w:t>
      </w:r>
      <w:r w:rsidR="000042BD">
        <w:rPr>
          <w:rFonts w:ascii="Times New Roman" w:hAnsi="Times New Roman" w:cs="Times New Roman"/>
          <w:sz w:val="24"/>
          <w:szCs w:val="24"/>
        </w:rPr>
        <w:t>přijímání</w:t>
      </w:r>
      <w:r>
        <w:rPr>
          <w:rFonts w:ascii="Times New Roman" w:hAnsi="Times New Roman" w:cs="Times New Roman"/>
          <w:sz w:val="24"/>
          <w:szCs w:val="24"/>
        </w:rPr>
        <w:t xml:space="preserve"> zaměstnanců státní správy a tvorby systemizace v rámci úřadů. Státní úředníci budou skládat úřednickou zkoušku, která prověří požadované znalosti v oboru jejich působnosti a zajistí sjednocení kvality rozsahu jejich znalostí. Tato úprava také zavede vyšší personální odpovědnost a s tím i určité kompensační mechanismy. Implementace si vyžádá řadu významných opatření personálního a organizačního charakteru, které budou muset proběhnout při chodu státní správy bez jakéhokoli omezení či ohrožení jejího výkonu. </w:t>
      </w:r>
      <w:r w:rsidRPr="009667B7">
        <w:rPr>
          <w:rFonts w:ascii="Times New Roman" w:hAnsi="Times New Roman" w:cs="Times New Roman"/>
          <w:sz w:val="24"/>
          <w:szCs w:val="24"/>
        </w:rPr>
        <w:t xml:space="preserve"> Cílem zmíněných opatření bude především přispět k profesionalizaci, odpolitizování a stabilizaci VS, zvýšit kvalitu jejího řízení a snížit rizika možného korupčního jednání.</w:t>
      </w:r>
    </w:p>
    <w:p w:rsidR="00715D3D" w:rsidRDefault="00715D3D" w:rsidP="00715D3D">
      <w:pPr>
        <w:spacing w:line="240" w:lineRule="auto"/>
        <w:jc w:val="both"/>
        <w:rPr>
          <w:rFonts w:ascii="Times New Roman" w:hAnsi="Times New Roman" w:cs="Times New Roman"/>
          <w:sz w:val="24"/>
          <w:szCs w:val="24"/>
        </w:rPr>
      </w:pPr>
      <w:r w:rsidRPr="009E59E0">
        <w:rPr>
          <w:rFonts w:ascii="Times New Roman" w:hAnsi="Times New Roman" w:cs="Times New Roman"/>
          <w:sz w:val="24"/>
          <w:szCs w:val="24"/>
        </w:rPr>
        <w:lastRenderedPageBreak/>
        <w:t>Průřezově je třeba připravovat celou veřejnou správu, přednostně však složky Integrovaného záchranného systému</w:t>
      </w:r>
      <w:r>
        <w:rPr>
          <w:rFonts w:ascii="Times New Roman" w:hAnsi="Times New Roman" w:cs="Times New Roman"/>
          <w:sz w:val="24"/>
          <w:szCs w:val="24"/>
        </w:rPr>
        <w:t xml:space="preserve"> (IZS)</w:t>
      </w:r>
      <w:r w:rsidRPr="009E59E0">
        <w:rPr>
          <w:rFonts w:ascii="Times New Roman" w:hAnsi="Times New Roman" w:cs="Times New Roman"/>
          <w:sz w:val="24"/>
          <w:szCs w:val="24"/>
        </w:rPr>
        <w:t xml:space="preserve"> na řešení mimořádných situací spojených se změnami klimatu, mimo standardního chodu státu a samospráv. Tato podpora musí být komplexní a zahrnout v sobě jak složku adekvátní vybavenosti, připravenosti i dislokace jednotek IZS. Takto definované hlavní potřeby rozvoje jsou rovněž v souladu s Pozičním </w:t>
      </w:r>
      <w:r w:rsidRPr="009667B7">
        <w:rPr>
          <w:rFonts w:ascii="Times New Roman" w:hAnsi="Times New Roman" w:cs="Times New Roman"/>
          <w:sz w:val="24"/>
          <w:szCs w:val="24"/>
        </w:rPr>
        <w:t>dokumentem Evropské komise.</w:t>
      </w:r>
    </w:p>
    <w:p w:rsidR="00715D3D" w:rsidRPr="009667B7" w:rsidRDefault="00715D3D" w:rsidP="00BC676D">
      <w:pPr>
        <w:spacing w:line="240" w:lineRule="auto"/>
        <w:jc w:val="both"/>
        <w:rPr>
          <w:rFonts w:ascii="Times New Roman" w:hAnsi="Times New Roman" w:cs="Times New Roman"/>
          <w:sz w:val="24"/>
          <w:szCs w:val="24"/>
        </w:rPr>
      </w:pPr>
    </w:p>
    <w:p w:rsidR="00BC676D" w:rsidRPr="009667B7" w:rsidRDefault="00BC676D" w:rsidP="00BC676D">
      <w:pPr>
        <w:spacing w:before="120" w:after="120" w:line="240" w:lineRule="auto"/>
        <w:jc w:val="both"/>
        <w:rPr>
          <w:rFonts w:ascii="Times New Roman" w:hAnsi="Times New Roman" w:cs="Times New Roman"/>
          <w:b/>
          <w:sz w:val="24"/>
          <w:szCs w:val="24"/>
        </w:rPr>
      </w:pPr>
      <w:r w:rsidRPr="009667B7">
        <w:rPr>
          <w:rFonts w:ascii="Times New Roman" w:hAnsi="Times New Roman" w:cs="Times New Roman"/>
          <w:b/>
          <w:sz w:val="24"/>
          <w:szCs w:val="24"/>
        </w:rPr>
        <w:t>Územní rozdíly</w:t>
      </w:r>
    </w:p>
    <w:p w:rsidR="00BC676D" w:rsidRDefault="00BC676D" w:rsidP="00BC676D">
      <w:pPr>
        <w:spacing w:before="120" w:after="120" w:line="240" w:lineRule="auto"/>
        <w:jc w:val="both"/>
        <w:rPr>
          <w:rFonts w:ascii="Times New Roman" w:hAnsi="Times New Roman" w:cs="Times New Roman"/>
          <w:sz w:val="24"/>
          <w:szCs w:val="24"/>
        </w:rPr>
      </w:pPr>
      <w:r w:rsidRPr="009667B7">
        <w:rPr>
          <w:rFonts w:ascii="Times New Roman" w:hAnsi="Times New Roman" w:cs="Times New Roman"/>
          <w:sz w:val="24"/>
          <w:szCs w:val="24"/>
        </w:rPr>
        <w:t>Vztahy mezi státní správou a územní samosprávou jsou v řadě případů formální a obtížně se hledá shoda nad řešením různých problémů. Nadále je problematické zajištění horizontální koordinace aktivit jednotlivých orgánů veřejné správy. Výrazné rezervy jsou v prosazení principu víceúrovňové správy</w:t>
      </w:r>
      <w:r w:rsidRPr="009E59E0">
        <w:rPr>
          <w:rFonts w:ascii="Times New Roman" w:hAnsi="Times New Roman" w:cs="Times New Roman"/>
          <w:sz w:val="24"/>
          <w:szCs w:val="24"/>
        </w:rPr>
        <w:t>.</w:t>
      </w:r>
      <w:r>
        <w:rPr>
          <w:rFonts w:ascii="Times New Roman" w:hAnsi="Times New Roman" w:cs="Times New Roman"/>
          <w:sz w:val="24"/>
          <w:szCs w:val="24"/>
        </w:rPr>
        <w:t xml:space="preserve"> </w:t>
      </w:r>
      <w:r w:rsidRPr="00131E00">
        <w:rPr>
          <w:rFonts w:ascii="Times New Roman" w:hAnsi="Times New Roman" w:cs="Times New Roman"/>
          <w:sz w:val="24"/>
          <w:szCs w:val="24"/>
        </w:rPr>
        <w:t xml:space="preserve">Důsledkem nedostatečné </w:t>
      </w:r>
      <w:r>
        <w:rPr>
          <w:rFonts w:ascii="Times New Roman" w:hAnsi="Times New Roman" w:cs="Times New Roman"/>
          <w:sz w:val="24"/>
          <w:szCs w:val="24"/>
        </w:rPr>
        <w:t>(především)</w:t>
      </w:r>
      <w:r w:rsidRPr="00131E00">
        <w:rPr>
          <w:rFonts w:ascii="Times New Roman" w:hAnsi="Times New Roman" w:cs="Times New Roman"/>
          <w:sz w:val="24"/>
          <w:szCs w:val="24"/>
        </w:rPr>
        <w:t xml:space="preserve"> metodické podpory strategického plánování a relativně vysoké finanční náročnosti zpracování nástrojů územního plánování se projevuje jejich omezené uplatňování, a to zejména na (nad)obecní úrovni.</w:t>
      </w:r>
      <w:r w:rsidRPr="009E59E0">
        <w:rPr>
          <w:rFonts w:ascii="Times New Roman" w:hAnsi="Times New Roman" w:cs="Times New Roman"/>
          <w:sz w:val="24"/>
          <w:szCs w:val="24"/>
        </w:rPr>
        <w:t xml:space="preserve"> Mnohé problémy jsou řešitelné pouze v širším územním kontextu. Příkladem mohou být aglomerace, či mikroregiony. Existuje velmi nízká vazba mezi příjmy obce a podnikatelským prostředím v obci, což je způsobeno zejména nedostatečnými motivačními prvky v systému rozpočtového určení daní pro obce. Ve vztahu k řešení problémů státem podporovaných regionů a periferních území je nezbytná účinná spolupráce s kraji a dalšími aktéry v území, protože právě zde se nejčastěji problémy kumulují.</w:t>
      </w:r>
    </w:p>
    <w:p w:rsidR="00BC676D" w:rsidRPr="009E59E0" w:rsidRDefault="00BC676D" w:rsidP="00BC676D">
      <w:pPr>
        <w:spacing w:before="120" w:after="120" w:line="240" w:lineRule="auto"/>
        <w:jc w:val="both"/>
        <w:rPr>
          <w:rFonts w:ascii="Times New Roman" w:hAnsi="Times New Roman" w:cs="Times New Roman"/>
          <w:b/>
          <w:sz w:val="24"/>
          <w:szCs w:val="24"/>
        </w:rPr>
      </w:pPr>
      <w:r w:rsidRPr="009E59E0">
        <w:rPr>
          <w:rFonts w:ascii="Times New Roman" w:hAnsi="Times New Roman" w:cs="Times New Roman"/>
          <w:b/>
          <w:sz w:val="24"/>
          <w:szCs w:val="24"/>
        </w:rPr>
        <w:t>Zkušenosti z programového období 2007 – 2013 a stav dosažení současných cílů</w:t>
      </w:r>
    </w:p>
    <w:p w:rsidR="00BC676D" w:rsidRPr="009E59E0" w:rsidRDefault="00BC676D" w:rsidP="00BC676D">
      <w:pPr>
        <w:spacing w:line="240" w:lineRule="auto"/>
        <w:jc w:val="both"/>
        <w:rPr>
          <w:rFonts w:ascii="Times New Roman" w:hAnsi="Times New Roman" w:cs="Times New Roman"/>
          <w:sz w:val="24"/>
          <w:szCs w:val="24"/>
        </w:rPr>
      </w:pPr>
      <w:r w:rsidRPr="009E59E0">
        <w:rPr>
          <w:rFonts w:ascii="Times New Roman" w:hAnsi="Times New Roman" w:cs="Times New Roman"/>
          <w:sz w:val="24"/>
          <w:szCs w:val="24"/>
        </w:rPr>
        <w:t xml:space="preserve">Mnohé z problémů, definovaných v předchozí kapitole byly zčásti vyřešeny již v minulém programovém období, kdy byla započata řada reformních procesů, které přinesly v oblasti veřejné správy a její účinnosti významný posun. </w:t>
      </w:r>
    </w:p>
    <w:p w:rsidR="00BC676D" w:rsidRPr="009E59E0" w:rsidRDefault="00BC676D" w:rsidP="00BC676D">
      <w:pPr>
        <w:spacing w:line="240" w:lineRule="auto"/>
        <w:jc w:val="both"/>
        <w:rPr>
          <w:rFonts w:ascii="Times New Roman" w:hAnsi="Times New Roman" w:cs="Times New Roman"/>
          <w:sz w:val="24"/>
          <w:szCs w:val="24"/>
        </w:rPr>
      </w:pPr>
      <w:r w:rsidRPr="009E59E0">
        <w:rPr>
          <w:rFonts w:ascii="Times New Roman" w:hAnsi="Times New Roman" w:cs="Times New Roman"/>
          <w:sz w:val="24"/>
          <w:szCs w:val="24"/>
        </w:rPr>
        <w:t xml:space="preserve">Díky zahájení procesu elektronizace a sdílení dat se podařilo zpřístupnit přesná a spolehlivá data, čímž byl umožněn jednodušší a rychlejší kontakt občana i podnikatelské sféry s veřejnou správou, např. formou vybudování informační sítě datových schránek. Vybudování sítě kontaktních míst, tzv. CzechPOINT, umožnilo v současné době vyhledat a komfortně získat ověřené výstupy ze stále se rozvíjejícího spektra služeb, a to zejména díky projektu tzv. základních registrů. Proces elektronizace pak významně přispěl k pokroku v projektech jako je eLegislativa či eSbírka. </w:t>
      </w:r>
    </w:p>
    <w:p w:rsidR="00BC676D" w:rsidRPr="009E59E0" w:rsidRDefault="00BC676D" w:rsidP="00BC676D">
      <w:pPr>
        <w:spacing w:line="240" w:lineRule="auto"/>
        <w:jc w:val="both"/>
        <w:rPr>
          <w:rFonts w:ascii="Times New Roman" w:hAnsi="Times New Roman" w:cs="Times New Roman"/>
          <w:sz w:val="24"/>
          <w:szCs w:val="24"/>
        </w:rPr>
      </w:pPr>
      <w:r w:rsidRPr="009E59E0">
        <w:rPr>
          <w:rFonts w:ascii="Times New Roman" w:hAnsi="Times New Roman" w:cs="Times New Roman"/>
          <w:sz w:val="24"/>
          <w:szCs w:val="24"/>
        </w:rPr>
        <w:t>Započetí procesního modelování agend přineslo vytvoření Metodiky procesního modelování agend, na jejímž základě jsou jednotlivé agendy veřejné správy popisovány, s cílem jejich standardizace a provedení následných optimalizačních opatření. Mimo nezůstala ani oblast rozvoje lidských zdrojů, kde se podařilo zvýšit kvalifikaci úředníků veřejné správy v mnoha oblastech souvisejících s bojem proti korupci, projektovým řízením, v oblasti zacházení s ICT apod.</w:t>
      </w:r>
    </w:p>
    <w:p w:rsidR="00BC676D" w:rsidRPr="009E59E0" w:rsidRDefault="00BC676D" w:rsidP="00BC676D">
      <w:pPr>
        <w:spacing w:line="240" w:lineRule="auto"/>
        <w:jc w:val="both"/>
        <w:rPr>
          <w:rFonts w:ascii="Times New Roman" w:hAnsi="Times New Roman" w:cs="Times New Roman"/>
          <w:b/>
          <w:sz w:val="24"/>
          <w:szCs w:val="24"/>
        </w:rPr>
      </w:pPr>
      <w:r w:rsidRPr="009E59E0">
        <w:rPr>
          <w:rFonts w:ascii="Times New Roman" w:hAnsi="Times New Roman" w:cs="Times New Roman"/>
          <w:b/>
          <w:sz w:val="24"/>
          <w:szCs w:val="24"/>
        </w:rPr>
        <w:t>Hlavní identifikované problémy a potřeby rozvoje</w:t>
      </w:r>
    </w:p>
    <w:p w:rsidR="00BC676D" w:rsidRPr="009E59E0" w:rsidRDefault="00BC676D" w:rsidP="00BC676D">
      <w:pPr>
        <w:spacing w:line="240" w:lineRule="auto"/>
        <w:jc w:val="both"/>
        <w:rPr>
          <w:rFonts w:ascii="Times New Roman" w:hAnsi="Times New Roman" w:cs="Times New Roman"/>
          <w:b/>
          <w:i/>
          <w:sz w:val="24"/>
          <w:szCs w:val="24"/>
        </w:rPr>
      </w:pPr>
      <w:r w:rsidRPr="009E59E0">
        <w:rPr>
          <w:rFonts w:ascii="Times New Roman" w:hAnsi="Times New Roman" w:cs="Times New Roman"/>
          <w:b/>
          <w:i/>
          <w:sz w:val="24"/>
          <w:szCs w:val="24"/>
        </w:rPr>
        <w:t>1. Vysoká administrativní a regulační zátěž</w:t>
      </w:r>
    </w:p>
    <w:p w:rsidR="00BC676D" w:rsidRPr="009E59E0" w:rsidRDefault="00BC676D" w:rsidP="00BC676D">
      <w:pPr>
        <w:spacing w:line="240" w:lineRule="auto"/>
        <w:jc w:val="both"/>
        <w:rPr>
          <w:rFonts w:ascii="Times New Roman" w:hAnsi="Times New Roman" w:cs="Times New Roman"/>
          <w:sz w:val="24"/>
          <w:szCs w:val="24"/>
        </w:rPr>
      </w:pPr>
      <w:r w:rsidRPr="009E59E0">
        <w:rPr>
          <w:rFonts w:ascii="Times New Roman" w:hAnsi="Times New Roman" w:cs="Times New Roman"/>
          <w:sz w:val="24"/>
          <w:szCs w:val="24"/>
        </w:rPr>
        <w:lastRenderedPageBreak/>
        <w:t>Nejvýraznější je špatná pozice ČR co do míry regulatorní zátěže a efektivnosti fungování veřejné správy včetně justičních orgánů</w:t>
      </w:r>
      <w:r>
        <w:rPr>
          <w:rStyle w:val="Znakapoznpodarou"/>
          <w:sz w:val="24"/>
          <w:szCs w:val="24"/>
        </w:rPr>
        <w:footnoteReference w:id="57"/>
      </w:r>
      <w:r w:rsidRPr="009E59E0">
        <w:rPr>
          <w:rFonts w:ascii="Times New Roman" w:hAnsi="Times New Roman" w:cs="Times New Roman"/>
          <w:sz w:val="24"/>
          <w:szCs w:val="24"/>
        </w:rPr>
        <w:t xml:space="preserve">. </w:t>
      </w:r>
    </w:p>
    <w:p w:rsidR="00BC676D" w:rsidRPr="009E59E0" w:rsidRDefault="00BC676D" w:rsidP="00BC676D">
      <w:pPr>
        <w:spacing w:line="240" w:lineRule="auto"/>
        <w:jc w:val="both"/>
        <w:rPr>
          <w:rFonts w:ascii="Times New Roman" w:hAnsi="Times New Roman" w:cs="Times New Roman"/>
          <w:sz w:val="24"/>
          <w:szCs w:val="24"/>
        </w:rPr>
      </w:pPr>
      <w:r w:rsidRPr="009E59E0">
        <w:rPr>
          <w:rFonts w:ascii="Times New Roman" w:hAnsi="Times New Roman" w:cs="Times New Roman"/>
          <w:sz w:val="24"/>
          <w:szCs w:val="24"/>
        </w:rPr>
        <w:t>Veřejná správa dostatečně nevyužívá důkladné ex ante či ex post vyhodnocování dopadů návrhů právních norem a celé řady zásadních rozhodnutí, a to i z pohledu hodnocení korupčních rizik. Kvalita legislativy není průběžně vyhodnocována a poznatky implementovány.</w:t>
      </w:r>
      <w:r>
        <w:rPr>
          <w:rFonts w:ascii="Times New Roman" w:hAnsi="Times New Roman" w:cs="Times New Roman"/>
          <w:sz w:val="24"/>
          <w:szCs w:val="24"/>
        </w:rPr>
        <w:t xml:space="preserve"> Stejně tak není kladen dostatečný důraz na snižování administrativní zátěže, která </w:t>
      </w:r>
      <w:r w:rsidRPr="001512A0">
        <w:rPr>
          <w:rFonts w:ascii="Times New Roman" w:hAnsi="Times New Roman" w:cs="Times New Roman"/>
          <w:sz w:val="24"/>
          <w:szCs w:val="24"/>
        </w:rPr>
        <w:t>je stále považována za velkou překážku v</w:t>
      </w:r>
      <w:r>
        <w:rPr>
          <w:rFonts w:ascii="Times New Roman" w:hAnsi="Times New Roman" w:cs="Times New Roman"/>
          <w:sz w:val="24"/>
          <w:szCs w:val="24"/>
        </w:rPr>
        <w:t xml:space="preserve"> rozvoji </w:t>
      </w:r>
      <w:r w:rsidRPr="001512A0">
        <w:rPr>
          <w:rFonts w:ascii="Times New Roman" w:hAnsi="Times New Roman" w:cs="Times New Roman"/>
          <w:sz w:val="24"/>
          <w:szCs w:val="24"/>
        </w:rPr>
        <w:t>podnikání</w:t>
      </w:r>
      <w:r>
        <w:rPr>
          <w:rFonts w:ascii="Times New Roman" w:hAnsi="Times New Roman" w:cs="Times New Roman"/>
          <w:sz w:val="24"/>
          <w:szCs w:val="24"/>
        </w:rPr>
        <w:t xml:space="preserve"> v ČR</w:t>
      </w:r>
      <w:r w:rsidRPr="001512A0">
        <w:rPr>
          <w:rFonts w:ascii="Times New Roman" w:hAnsi="Times New Roman" w:cs="Times New Roman"/>
          <w:sz w:val="24"/>
          <w:szCs w:val="24"/>
        </w:rPr>
        <w:t>.</w:t>
      </w:r>
      <w:r w:rsidRPr="001512A0">
        <w:rPr>
          <w:rFonts w:ascii="Times New Roman" w:hAnsi="Times New Roman" w:cs="Times New Roman"/>
          <w:sz w:val="24"/>
          <w:szCs w:val="24"/>
          <w:vertAlign w:val="superscript"/>
        </w:rPr>
        <w:footnoteReference w:id="58"/>
      </w:r>
      <w:r w:rsidRPr="001512A0">
        <w:rPr>
          <w:rFonts w:ascii="Times New Roman" w:hAnsi="Times New Roman" w:cs="Times New Roman"/>
          <w:sz w:val="24"/>
          <w:szCs w:val="24"/>
        </w:rPr>
        <w:t xml:space="preserve"> </w:t>
      </w:r>
      <w:r>
        <w:rPr>
          <w:rFonts w:ascii="Times New Roman" w:hAnsi="Times New Roman" w:cs="Times New Roman"/>
          <w:sz w:val="24"/>
          <w:szCs w:val="24"/>
        </w:rPr>
        <w:t xml:space="preserve"> </w:t>
      </w:r>
      <w:r w:rsidR="00715D3D" w:rsidRPr="00715D3D">
        <w:rPr>
          <w:rFonts w:ascii="Times New Roman" w:hAnsi="Times New Roman" w:cs="Times New Roman"/>
          <w:sz w:val="24"/>
          <w:szCs w:val="24"/>
        </w:rPr>
        <w:t xml:space="preserve">Oproti roku 2012 spadla Česká republika o 6 příček v hodnocení administrativní zátěže podnikatelů, kdy založení firmy v České republice trvá 19,5 dne a je potřeba splnit 9 požadavků, oproti průměru OECD, kde na založení firmy postačí 11,1 dne a splnění 5ti požadavků. Založení firmy je v České republice také skoro trojnásobně dražší než v zemích OECD. </w:t>
      </w:r>
      <w:r>
        <w:rPr>
          <w:rFonts w:ascii="Times New Roman" w:hAnsi="Times New Roman" w:cs="Times New Roman"/>
          <w:sz w:val="24"/>
          <w:szCs w:val="24"/>
        </w:rPr>
        <w:t xml:space="preserve">Chybí standardizace procesů u nejčastějších životních situací, což vede k prodlužování doby vyřízení žádosti a byrokratickému zatěžování samotného procesu ať už ve vztahu k občanům, podnikatelskému sektoru či dovnitř samotné veřejné správy. </w:t>
      </w:r>
    </w:p>
    <w:p w:rsidR="00BC676D" w:rsidRPr="009E59E0" w:rsidRDefault="00BC676D" w:rsidP="00BC676D">
      <w:pPr>
        <w:pStyle w:val="Bezmezer"/>
        <w:rPr>
          <w:rFonts w:ascii="Times New Roman" w:hAnsi="Times New Roman" w:cs="Times New Roman"/>
          <w:i/>
          <w:sz w:val="24"/>
          <w:szCs w:val="24"/>
        </w:rPr>
      </w:pPr>
      <w:r w:rsidRPr="009E59E0">
        <w:rPr>
          <w:rFonts w:ascii="Times New Roman" w:hAnsi="Times New Roman" w:cs="Times New Roman"/>
          <w:i/>
          <w:sz w:val="24"/>
          <w:szCs w:val="24"/>
        </w:rPr>
        <w:t>Potřeby rozvoje:</w:t>
      </w:r>
    </w:p>
    <w:p w:rsidR="00BC676D" w:rsidRDefault="00BC676D" w:rsidP="00BC676D">
      <w:pPr>
        <w:pStyle w:val="Odstavecseseznamem"/>
        <w:numPr>
          <w:ilvl w:val="0"/>
          <w:numId w:val="38"/>
        </w:numPr>
        <w:spacing w:after="0" w:line="240" w:lineRule="auto"/>
        <w:ind w:left="360"/>
        <w:jc w:val="both"/>
        <w:rPr>
          <w:rFonts w:ascii="Times New Roman" w:hAnsi="Times New Roman" w:cs="Times New Roman"/>
          <w:sz w:val="24"/>
          <w:szCs w:val="24"/>
        </w:rPr>
      </w:pPr>
      <w:r w:rsidRPr="009E59E0">
        <w:rPr>
          <w:rFonts w:ascii="Times New Roman" w:hAnsi="Times New Roman" w:cs="Times New Roman"/>
          <w:sz w:val="24"/>
          <w:szCs w:val="24"/>
        </w:rPr>
        <w:t>Snížení čisté regulační zátěže pomocí nastavení systémových nástrojů pro objektivní a nezávislé posouzení dopadů právní regulace za účelem zkvalitnění legislativního prostředí, jak ex ante, tak i ex post</w:t>
      </w:r>
      <w:r>
        <w:rPr>
          <w:rFonts w:ascii="Times New Roman" w:hAnsi="Times New Roman" w:cs="Times New Roman"/>
          <w:sz w:val="24"/>
          <w:szCs w:val="24"/>
        </w:rPr>
        <w:t>, včetně zavádění nástroje CIA</w:t>
      </w:r>
      <w:r w:rsidR="005C2131">
        <w:rPr>
          <w:rFonts w:ascii="Times New Roman" w:hAnsi="Times New Roman" w:cs="Times New Roman"/>
          <w:sz w:val="24"/>
          <w:szCs w:val="24"/>
        </w:rPr>
        <w:t>.</w:t>
      </w:r>
    </w:p>
    <w:p w:rsidR="00BC676D" w:rsidRDefault="00BC676D" w:rsidP="00BC676D">
      <w:pPr>
        <w:pStyle w:val="Odstavecseseznamem"/>
        <w:numPr>
          <w:ilvl w:val="0"/>
          <w:numId w:val="38"/>
        </w:numPr>
        <w:spacing w:after="0" w:line="240" w:lineRule="auto"/>
        <w:ind w:left="360"/>
        <w:jc w:val="both"/>
        <w:rPr>
          <w:rFonts w:ascii="Times New Roman" w:hAnsi="Times New Roman" w:cs="Times New Roman"/>
          <w:sz w:val="24"/>
          <w:szCs w:val="24"/>
        </w:rPr>
      </w:pPr>
      <w:r w:rsidRPr="009E59E0">
        <w:rPr>
          <w:rFonts w:ascii="Times New Roman" w:hAnsi="Times New Roman" w:cs="Times New Roman"/>
          <w:sz w:val="24"/>
          <w:szCs w:val="24"/>
        </w:rPr>
        <w:t>Snížení (netto) administrativní zátěže (např. vytvoření jednotné metodiky měření administrativní zátěže a její rozšíření a obligatorní využívání napříč veřejnou správou)</w:t>
      </w:r>
      <w:r>
        <w:rPr>
          <w:rFonts w:ascii="Times New Roman" w:hAnsi="Times New Roman" w:cs="Times New Roman"/>
          <w:sz w:val="24"/>
          <w:szCs w:val="24"/>
        </w:rPr>
        <w:t xml:space="preserve"> pro občany, podniky a podnikatele</w:t>
      </w:r>
      <w:r w:rsidR="005C2131">
        <w:rPr>
          <w:rFonts w:ascii="Times New Roman" w:hAnsi="Times New Roman" w:cs="Times New Roman"/>
          <w:sz w:val="24"/>
          <w:szCs w:val="24"/>
        </w:rPr>
        <w:t>.</w:t>
      </w:r>
    </w:p>
    <w:p w:rsidR="00F3719F" w:rsidRDefault="005C2131">
      <w:pPr>
        <w:pStyle w:val="Odstavecseseznamem"/>
        <w:numPr>
          <w:ilvl w:val="0"/>
          <w:numId w:val="38"/>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R</w:t>
      </w:r>
      <w:r w:rsidR="00BC676D" w:rsidRPr="00D9408E">
        <w:rPr>
          <w:rFonts w:ascii="Times New Roman" w:hAnsi="Times New Roman" w:cs="Times New Roman"/>
          <w:sz w:val="24"/>
          <w:szCs w:val="24"/>
        </w:rPr>
        <w:t>ozvoj standardů veřejných služeb za účelem snižování</w:t>
      </w:r>
      <w:r w:rsidR="00BC676D">
        <w:rPr>
          <w:rFonts w:ascii="Times New Roman" w:hAnsi="Times New Roman" w:cs="Times New Roman"/>
          <w:sz w:val="24"/>
          <w:szCs w:val="24"/>
        </w:rPr>
        <w:t xml:space="preserve"> byrokratické</w:t>
      </w:r>
      <w:r w:rsidR="00BC676D" w:rsidRPr="00D9408E">
        <w:rPr>
          <w:rFonts w:ascii="Times New Roman" w:hAnsi="Times New Roman" w:cs="Times New Roman"/>
          <w:sz w:val="24"/>
          <w:szCs w:val="24"/>
        </w:rPr>
        <w:t xml:space="preserve"> zátěže u konkrétních životních situací podnikatelů a  občanů u všech agend veřejné správy.</w:t>
      </w:r>
    </w:p>
    <w:p w:rsidR="00F3719F" w:rsidRDefault="00F3719F">
      <w:pPr>
        <w:pStyle w:val="Odstavecseseznamem"/>
        <w:spacing w:after="0" w:line="240" w:lineRule="auto"/>
        <w:ind w:left="0"/>
        <w:jc w:val="both"/>
        <w:rPr>
          <w:rFonts w:ascii="Times New Roman" w:hAnsi="Times New Roman" w:cs="Times New Roman"/>
          <w:sz w:val="24"/>
          <w:szCs w:val="24"/>
        </w:rPr>
      </w:pPr>
    </w:p>
    <w:p w:rsidR="00F3719F" w:rsidRDefault="00BC676D">
      <w:pPr>
        <w:pStyle w:val="Odstavecseseznamem"/>
        <w:spacing w:after="0" w:line="240" w:lineRule="auto"/>
        <w:ind w:left="0"/>
        <w:jc w:val="both"/>
        <w:rPr>
          <w:rFonts w:ascii="Times New Roman" w:hAnsi="Times New Roman" w:cs="Times New Roman"/>
          <w:b/>
          <w:i/>
          <w:sz w:val="24"/>
          <w:szCs w:val="24"/>
        </w:rPr>
      </w:pPr>
      <w:r w:rsidRPr="00D9408E">
        <w:rPr>
          <w:rFonts w:ascii="Times New Roman" w:hAnsi="Times New Roman" w:cs="Times New Roman"/>
          <w:sz w:val="24"/>
          <w:szCs w:val="24"/>
        </w:rPr>
        <w:t xml:space="preserve"> </w:t>
      </w:r>
      <w:r w:rsidRPr="00217E9F">
        <w:rPr>
          <w:rFonts w:ascii="Times New Roman" w:hAnsi="Times New Roman" w:cs="Times New Roman"/>
          <w:b/>
          <w:i/>
          <w:sz w:val="24"/>
          <w:szCs w:val="24"/>
        </w:rPr>
        <w:t>2. Nízká efektivita fungování justice</w:t>
      </w:r>
    </w:p>
    <w:p w:rsidR="00BC676D" w:rsidRDefault="00BC676D" w:rsidP="00BC676D">
      <w:pPr>
        <w:spacing w:line="240" w:lineRule="auto"/>
        <w:jc w:val="both"/>
        <w:rPr>
          <w:rFonts w:ascii="Times New Roman" w:hAnsi="Times New Roman" w:cs="Times New Roman"/>
          <w:sz w:val="24"/>
          <w:szCs w:val="24"/>
        </w:rPr>
      </w:pPr>
      <w:r w:rsidRPr="00217E9F">
        <w:rPr>
          <w:rFonts w:ascii="Times New Roman" w:hAnsi="Times New Roman" w:cs="Times New Roman"/>
          <w:sz w:val="24"/>
          <w:szCs w:val="24"/>
        </w:rPr>
        <w:t xml:space="preserve">Spisová a veškerá úřednická agenda české justice tvoří </w:t>
      </w:r>
      <w:r>
        <w:rPr>
          <w:rFonts w:ascii="Times New Roman" w:hAnsi="Times New Roman" w:cs="Times New Roman"/>
          <w:sz w:val="24"/>
          <w:szCs w:val="24"/>
        </w:rPr>
        <w:t>téměř</w:t>
      </w:r>
      <w:r w:rsidRPr="00217E9F">
        <w:rPr>
          <w:rFonts w:ascii="Times New Roman" w:hAnsi="Times New Roman" w:cs="Times New Roman"/>
          <w:sz w:val="24"/>
          <w:szCs w:val="24"/>
        </w:rPr>
        <w:t xml:space="preserve"> 50 % z celkového počtu této agendy ve státních institucích, překážko</w:t>
      </w:r>
      <w:r w:rsidRPr="009E59E0">
        <w:rPr>
          <w:rFonts w:ascii="Times New Roman" w:hAnsi="Times New Roman" w:cs="Times New Roman"/>
          <w:sz w:val="24"/>
          <w:szCs w:val="24"/>
        </w:rPr>
        <w:t>u je i informační nepropojenost jednotlivých stupňů v českém soudnictví, která je navíc ve vysoké míře přenášena na občany a podnikatele.</w:t>
      </w:r>
      <w:r>
        <w:rPr>
          <w:rFonts w:ascii="Times New Roman" w:hAnsi="Times New Roman" w:cs="Times New Roman"/>
          <w:sz w:val="24"/>
          <w:szCs w:val="24"/>
        </w:rPr>
        <w:t xml:space="preserve"> </w:t>
      </w:r>
      <w:r w:rsidRPr="008B5253">
        <w:rPr>
          <w:rFonts w:ascii="Times New Roman" w:hAnsi="Times New Roman" w:cs="Times New Roman"/>
          <w:sz w:val="24"/>
          <w:szCs w:val="24"/>
        </w:rPr>
        <w:t>Efektivita justice v oblasti občanského práva zaostává za průměrem EU. Vymáhání smluvních ujednání je o 100 dnů delší</w:t>
      </w:r>
      <w:r>
        <w:rPr>
          <w:rFonts w:ascii="Times New Roman" w:hAnsi="Times New Roman" w:cs="Times New Roman"/>
          <w:sz w:val="24"/>
          <w:szCs w:val="24"/>
        </w:rPr>
        <w:t xml:space="preserve">, </w:t>
      </w:r>
      <w:r w:rsidRPr="008B5253">
        <w:rPr>
          <w:rFonts w:ascii="Times New Roman" w:hAnsi="Times New Roman" w:cs="Times New Roman"/>
          <w:sz w:val="24"/>
          <w:szCs w:val="24"/>
        </w:rPr>
        <w:t>než je průměr EU, vyšší jsou i náklady spojené se soudním řízením. Nadprůměrně dlouho trvá rovněž insolvenční řízení.</w:t>
      </w:r>
      <w:r>
        <w:rPr>
          <w:rFonts w:ascii="Times New Roman" w:hAnsi="Times New Roman" w:cs="Times New Roman"/>
          <w:sz w:val="24"/>
          <w:szCs w:val="24"/>
        </w:rPr>
        <w:t xml:space="preserve"> </w:t>
      </w:r>
      <w:r w:rsidRPr="001512A0">
        <w:rPr>
          <w:rFonts w:ascii="Times New Roman" w:hAnsi="Times New Roman" w:cs="Times New Roman"/>
          <w:sz w:val="24"/>
          <w:szCs w:val="24"/>
        </w:rPr>
        <w:t>Pro řadu subjektů, především OSVČ a malé a střední podniky, je průběžné vyhledávání a aktualizace informací o platném a účinném znění právních předpisů aktivitou velmi náročnou nejen časově, ale rovněž co do nákladů.</w:t>
      </w:r>
    </w:p>
    <w:p w:rsidR="00715D3D" w:rsidRPr="00715D3D" w:rsidRDefault="00715D3D" w:rsidP="00715D3D">
      <w:pPr>
        <w:spacing w:line="240" w:lineRule="auto"/>
        <w:jc w:val="both"/>
        <w:rPr>
          <w:rFonts w:ascii="Times New Roman" w:hAnsi="Times New Roman" w:cs="Times New Roman"/>
          <w:sz w:val="24"/>
          <w:szCs w:val="24"/>
        </w:rPr>
      </w:pPr>
      <w:r w:rsidRPr="00715D3D">
        <w:rPr>
          <w:rFonts w:ascii="Times New Roman" w:hAnsi="Times New Roman" w:cs="Times New Roman"/>
          <w:sz w:val="24"/>
          <w:szCs w:val="24"/>
        </w:rPr>
        <w:t>Česká republika je na 31. místě (z 34 členských států) v hodnocení podnikatelského prostředí mezi zeměmi OECD. Nejslabší stránkou v hodnocení je v oblasti institucí především realizace práva u veřejných institucí a u soudů, která trvá velice dlouho, je nákladná a v řadě případů se účastníci aktivně či pasivně setkávají s korupcí.</w:t>
      </w:r>
    </w:p>
    <w:p w:rsidR="00BC676D" w:rsidRPr="009E59E0" w:rsidRDefault="00BC676D" w:rsidP="00BC676D">
      <w:pPr>
        <w:pStyle w:val="Bezmezer"/>
        <w:rPr>
          <w:rFonts w:ascii="Times New Roman" w:hAnsi="Times New Roman" w:cs="Times New Roman"/>
          <w:i/>
          <w:sz w:val="24"/>
          <w:szCs w:val="24"/>
        </w:rPr>
      </w:pPr>
      <w:r w:rsidRPr="009E59E0">
        <w:rPr>
          <w:rFonts w:ascii="Times New Roman" w:hAnsi="Times New Roman" w:cs="Times New Roman"/>
          <w:i/>
          <w:sz w:val="24"/>
          <w:szCs w:val="24"/>
        </w:rPr>
        <w:t>Potřeba rozvoje:</w:t>
      </w:r>
    </w:p>
    <w:p w:rsidR="00BC676D" w:rsidRDefault="00BC676D" w:rsidP="00BC676D">
      <w:pPr>
        <w:pStyle w:val="Odstavecseseznamem"/>
        <w:numPr>
          <w:ilvl w:val="0"/>
          <w:numId w:val="38"/>
        </w:numPr>
        <w:spacing w:after="0" w:line="240" w:lineRule="auto"/>
        <w:ind w:left="360"/>
        <w:jc w:val="both"/>
        <w:rPr>
          <w:rFonts w:ascii="Times New Roman" w:hAnsi="Times New Roman" w:cs="Times New Roman"/>
          <w:sz w:val="24"/>
          <w:szCs w:val="24"/>
        </w:rPr>
      </w:pPr>
      <w:r w:rsidRPr="009E59E0">
        <w:rPr>
          <w:rFonts w:ascii="Times New Roman" w:hAnsi="Times New Roman" w:cs="Times New Roman"/>
          <w:sz w:val="24"/>
          <w:szCs w:val="24"/>
        </w:rPr>
        <w:lastRenderedPageBreak/>
        <w:t>Urychlit fungování a zlepšit kvalitu justice a – rozvoj nástrojů pro zlepšení vymahatelnosti práva (včetně alte</w:t>
      </w:r>
      <w:r w:rsidR="005C2131">
        <w:rPr>
          <w:rFonts w:ascii="Times New Roman" w:hAnsi="Times New Roman" w:cs="Times New Roman"/>
          <w:sz w:val="24"/>
          <w:szCs w:val="24"/>
        </w:rPr>
        <w:t>rnativních forem řešení sporů).</w:t>
      </w:r>
    </w:p>
    <w:p w:rsidR="00BC676D" w:rsidRDefault="005C2131" w:rsidP="00BC676D">
      <w:pPr>
        <w:pStyle w:val="Odstavecseseznamem"/>
        <w:numPr>
          <w:ilvl w:val="0"/>
          <w:numId w:val="38"/>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Z</w:t>
      </w:r>
      <w:r w:rsidR="00BC676D" w:rsidRPr="009E59E0">
        <w:rPr>
          <w:rFonts w:ascii="Times New Roman" w:hAnsi="Times New Roman" w:cs="Times New Roman"/>
          <w:sz w:val="24"/>
          <w:szCs w:val="24"/>
        </w:rPr>
        <w:t>ajištění informačního propojení jednotlivých stupňů soudů a státních zastupitelství (eJustice).</w:t>
      </w:r>
    </w:p>
    <w:p w:rsidR="00BC676D" w:rsidRPr="009E59E0" w:rsidRDefault="00BC676D" w:rsidP="00BC676D">
      <w:pPr>
        <w:spacing w:line="240" w:lineRule="auto"/>
        <w:jc w:val="both"/>
        <w:rPr>
          <w:rFonts w:ascii="Times New Roman" w:hAnsi="Times New Roman" w:cs="Times New Roman"/>
          <w:sz w:val="24"/>
          <w:szCs w:val="24"/>
        </w:rPr>
      </w:pPr>
    </w:p>
    <w:p w:rsidR="00F3719F" w:rsidRDefault="00842329">
      <w:pPr>
        <w:pStyle w:val="Odstavecseseznamem"/>
        <w:numPr>
          <w:ilvl w:val="0"/>
          <w:numId w:val="153"/>
        </w:numPr>
        <w:spacing w:line="240" w:lineRule="auto"/>
        <w:jc w:val="both"/>
        <w:rPr>
          <w:rFonts w:ascii="Times New Roman" w:hAnsi="Times New Roman" w:cs="Times New Roman"/>
          <w:b/>
          <w:i/>
          <w:sz w:val="24"/>
          <w:szCs w:val="24"/>
        </w:rPr>
      </w:pPr>
      <w:r w:rsidRPr="00842329">
        <w:rPr>
          <w:rFonts w:ascii="Times New Roman" w:hAnsi="Times New Roman" w:cs="Times New Roman"/>
          <w:b/>
          <w:i/>
          <w:sz w:val="24"/>
          <w:szCs w:val="24"/>
        </w:rPr>
        <w:t>. Nízká a efektivita a odbornost veřejné správy</w:t>
      </w:r>
    </w:p>
    <w:p w:rsidR="00F3719F" w:rsidRDefault="00F2618C">
      <w:pPr>
        <w:spacing w:line="240" w:lineRule="auto"/>
        <w:jc w:val="both"/>
      </w:pPr>
      <w:r w:rsidRPr="009E59E0">
        <w:rPr>
          <w:rFonts w:ascii="Times New Roman" w:hAnsi="Times New Roman" w:cs="Times New Roman"/>
          <w:sz w:val="24"/>
          <w:szCs w:val="24"/>
        </w:rPr>
        <w:t>Řada problémů, se kterými se veřejná správa potýká, pramení</w:t>
      </w:r>
      <w:r>
        <w:rPr>
          <w:rFonts w:ascii="Times New Roman" w:hAnsi="Times New Roman" w:cs="Times New Roman"/>
          <w:sz w:val="24"/>
          <w:szCs w:val="24"/>
        </w:rPr>
        <w:t xml:space="preserve"> mimo jiné</w:t>
      </w:r>
      <w:r w:rsidRPr="009E59E0">
        <w:rPr>
          <w:rFonts w:ascii="Times New Roman" w:hAnsi="Times New Roman" w:cs="Times New Roman"/>
          <w:sz w:val="24"/>
          <w:szCs w:val="24"/>
        </w:rPr>
        <w:t xml:space="preserve"> z úzkého resortismu</w:t>
      </w:r>
      <w:r>
        <w:rPr>
          <w:rFonts w:ascii="Times New Roman" w:hAnsi="Times New Roman" w:cs="Times New Roman"/>
          <w:sz w:val="24"/>
          <w:szCs w:val="24"/>
        </w:rPr>
        <w:t>, nekoncepčního</w:t>
      </w:r>
      <w:r w:rsidRPr="009E59E0">
        <w:rPr>
          <w:rFonts w:ascii="Times New Roman" w:hAnsi="Times New Roman" w:cs="Times New Roman"/>
          <w:sz w:val="24"/>
          <w:szCs w:val="24"/>
        </w:rPr>
        <w:t xml:space="preserve"> rozhodování veřej</w:t>
      </w:r>
      <w:r>
        <w:rPr>
          <w:rFonts w:ascii="Times New Roman" w:hAnsi="Times New Roman" w:cs="Times New Roman"/>
          <w:sz w:val="24"/>
          <w:szCs w:val="24"/>
        </w:rPr>
        <w:t>né správy o území, nedostatečného</w:t>
      </w:r>
      <w:r w:rsidRPr="009E59E0">
        <w:rPr>
          <w:rFonts w:ascii="Times New Roman" w:hAnsi="Times New Roman" w:cs="Times New Roman"/>
          <w:sz w:val="24"/>
          <w:szCs w:val="24"/>
        </w:rPr>
        <w:t xml:space="preserve"> využívání řady evaluačních a analytických nástrojů pro efektivní provádění politik, ale i v neefektivním přístupu k rozvoji a řízení lidských zdrojů</w:t>
      </w:r>
      <w:r>
        <w:rPr>
          <w:rFonts w:ascii="Times New Roman" w:hAnsi="Times New Roman" w:cs="Times New Roman"/>
          <w:sz w:val="24"/>
          <w:szCs w:val="24"/>
        </w:rPr>
        <w:t xml:space="preserve"> aj. (do značné míry bude tuto oblast řešit právě zákon upravující práva a postavení úředníků ve státní správě)</w:t>
      </w:r>
      <w:r w:rsidRPr="009E59E0">
        <w:rPr>
          <w:rFonts w:ascii="Times New Roman" w:hAnsi="Times New Roman" w:cs="Times New Roman"/>
          <w:sz w:val="24"/>
          <w:szCs w:val="24"/>
        </w:rPr>
        <w:t xml:space="preserve">. </w:t>
      </w:r>
      <w:r>
        <w:rPr>
          <w:rFonts w:ascii="Times New Roman" w:hAnsi="Times New Roman" w:cs="Times New Roman"/>
          <w:sz w:val="24"/>
          <w:szCs w:val="24"/>
        </w:rPr>
        <w:t xml:space="preserve"> Státní správa dále nemá zkušenost se zaváděním metod řízení kvality (CAF, ISO 9001), samospráva dílčí zkušenosti má, ty jsou ale zcela nekoordinované. V so</w:t>
      </w:r>
      <w:r w:rsidRPr="009E59E0">
        <w:rPr>
          <w:rFonts w:ascii="Times New Roman" w:hAnsi="Times New Roman" w:cs="Times New Roman"/>
          <w:sz w:val="24"/>
          <w:szCs w:val="24"/>
        </w:rPr>
        <w:t>učasné době</w:t>
      </w:r>
      <w:r>
        <w:rPr>
          <w:rFonts w:ascii="Times New Roman" w:hAnsi="Times New Roman" w:cs="Times New Roman"/>
          <w:sz w:val="24"/>
          <w:szCs w:val="24"/>
        </w:rPr>
        <w:t xml:space="preserve"> rovněž</w:t>
      </w:r>
      <w:r w:rsidRPr="009E59E0">
        <w:rPr>
          <w:rFonts w:ascii="Times New Roman" w:hAnsi="Times New Roman" w:cs="Times New Roman"/>
          <w:sz w:val="24"/>
          <w:szCs w:val="24"/>
        </w:rPr>
        <w:t xml:space="preserve"> zcela chybí jednotný systém vzdělávání státních úředníků, který by přispěl k nastavení jednotné úrovně vzdělanosti. Nejde přitom jen o vzdělávání odborné, ale také nabývání a zdokonalování úřednické profesionality. Neexistence efektivního řízení lidských zdrojů v oblasti státní správy má za příčinu vysokou fluktuaci zaměstnanců a nepřímo i vliv </w:t>
      </w:r>
      <w:r w:rsidRPr="0087669A">
        <w:rPr>
          <w:rFonts w:ascii="Times New Roman" w:hAnsi="Times New Roman" w:cs="Times New Roman"/>
          <w:sz w:val="24"/>
          <w:szCs w:val="24"/>
        </w:rPr>
        <w:t>na snižování kvality odváděné práce zaměstnanci, kde chybí kontinuita,  zkušenost, ale také propracovaný motivační systém a systém odměňování zaměstnanců veřejné správy.</w:t>
      </w:r>
      <w:r w:rsidR="00842329" w:rsidRPr="00842329">
        <w:rPr>
          <w:rFonts w:ascii="Times New Roman" w:hAnsi="Times New Roman" w:cs="Times New Roman"/>
          <w:sz w:val="24"/>
          <w:szCs w:val="24"/>
        </w:rPr>
        <w:t xml:space="preserve"> Přitom náklady na veřejný sektor v</w:t>
      </w:r>
      <w:r w:rsidRPr="00487111">
        <w:rPr>
          <w:rFonts w:ascii="Times New Roman" w:hAnsi="Times New Roman" w:cs="Times New Roman"/>
          <w:sz w:val="24"/>
          <w:szCs w:val="24"/>
        </w:rPr>
        <w:t> </w:t>
      </w:r>
      <w:r w:rsidR="00842329" w:rsidRPr="00842329">
        <w:rPr>
          <w:rFonts w:ascii="Times New Roman" w:hAnsi="Times New Roman" w:cs="Times New Roman"/>
          <w:sz w:val="24"/>
          <w:szCs w:val="24"/>
        </w:rPr>
        <w:t>ČR jsou srovnatelné s</w:t>
      </w:r>
      <w:r w:rsidRPr="00487111">
        <w:rPr>
          <w:rFonts w:ascii="Times New Roman" w:hAnsi="Times New Roman" w:cs="Times New Roman"/>
          <w:sz w:val="24"/>
          <w:szCs w:val="24"/>
        </w:rPr>
        <w:t> </w:t>
      </w:r>
      <w:r w:rsidR="00842329" w:rsidRPr="00842329">
        <w:rPr>
          <w:rFonts w:ascii="Times New Roman" w:hAnsi="Times New Roman" w:cs="Times New Roman"/>
          <w:sz w:val="24"/>
          <w:szCs w:val="24"/>
        </w:rPr>
        <w:t>průměrem mezi státy OECD, problémem českého veřejného sektoru je však struktura výdajů - v oblasti kapitálových výdajů je ČR absolutní evropskou jedničkou (v roce 2007 směřovalo 17,6% všech nákladů do kapitálových výdajů, tedy zřejmě formou veřejných zakázek), výdaje na samotné zaměstnance veřejného sektoru jsou naopak nízké, ve srovnání se Švédskem či Novým Zélandem dokonce třetinové</w:t>
      </w:r>
      <w:r>
        <w:rPr>
          <w:rStyle w:val="Znakapoznpodarou"/>
          <w:sz w:val="24"/>
          <w:szCs w:val="24"/>
        </w:rPr>
        <w:footnoteReference w:id="59"/>
      </w:r>
      <w:r w:rsidR="00842329" w:rsidRPr="00842329">
        <w:rPr>
          <w:rFonts w:ascii="Times New Roman" w:hAnsi="Times New Roman" w:cs="Times New Roman"/>
          <w:sz w:val="24"/>
          <w:szCs w:val="24"/>
        </w:rPr>
        <w:t>.</w:t>
      </w:r>
    </w:p>
    <w:p w:rsidR="00F2618C" w:rsidRDefault="00F2618C" w:rsidP="00F2618C">
      <w:pPr>
        <w:pStyle w:val="Bezmezer"/>
        <w:jc w:val="both"/>
        <w:rPr>
          <w:rFonts w:ascii="Times New Roman" w:hAnsi="Times New Roman" w:cs="Times New Roman"/>
          <w:i/>
          <w:sz w:val="24"/>
          <w:szCs w:val="24"/>
        </w:rPr>
      </w:pPr>
    </w:p>
    <w:p w:rsidR="00F2618C" w:rsidRDefault="00F2618C" w:rsidP="00F2618C">
      <w:pPr>
        <w:pStyle w:val="Bezmezer"/>
        <w:jc w:val="both"/>
        <w:rPr>
          <w:rFonts w:ascii="Times New Roman" w:hAnsi="Times New Roman" w:cs="Times New Roman"/>
          <w:i/>
          <w:sz w:val="24"/>
          <w:szCs w:val="24"/>
        </w:rPr>
      </w:pPr>
    </w:p>
    <w:p w:rsidR="00F3719F" w:rsidRDefault="00F2618C">
      <w:pPr>
        <w:pStyle w:val="Bezmezer"/>
        <w:jc w:val="both"/>
        <w:rPr>
          <w:rFonts w:ascii="Times New Roman" w:hAnsi="Times New Roman" w:cs="Times New Roman"/>
          <w:i/>
          <w:sz w:val="24"/>
          <w:szCs w:val="24"/>
        </w:rPr>
      </w:pPr>
      <w:r w:rsidRPr="009E59E0">
        <w:rPr>
          <w:rFonts w:ascii="Times New Roman" w:hAnsi="Times New Roman" w:cs="Times New Roman"/>
          <w:i/>
          <w:sz w:val="24"/>
          <w:szCs w:val="24"/>
        </w:rPr>
        <w:t>Potřeby rozvoje:</w:t>
      </w:r>
    </w:p>
    <w:p w:rsidR="00F2618C" w:rsidRDefault="00F2618C" w:rsidP="00F2618C">
      <w:pPr>
        <w:pStyle w:val="Odstavecseseznamem"/>
        <w:numPr>
          <w:ilvl w:val="0"/>
          <w:numId w:val="38"/>
        </w:numPr>
        <w:spacing w:after="0" w:line="240" w:lineRule="auto"/>
        <w:ind w:left="360"/>
        <w:jc w:val="both"/>
        <w:rPr>
          <w:rFonts w:ascii="Times New Roman" w:hAnsi="Times New Roman" w:cs="Times New Roman"/>
          <w:sz w:val="24"/>
          <w:szCs w:val="24"/>
        </w:rPr>
      </w:pPr>
      <w:r w:rsidRPr="009E59E0">
        <w:rPr>
          <w:rFonts w:ascii="Times New Roman" w:hAnsi="Times New Roman" w:cs="Times New Roman"/>
          <w:sz w:val="24"/>
          <w:szCs w:val="24"/>
        </w:rPr>
        <w:t xml:space="preserve">Zavedení moderních metod </w:t>
      </w:r>
      <w:r>
        <w:rPr>
          <w:rFonts w:ascii="Times New Roman" w:hAnsi="Times New Roman" w:cs="Times New Roman"/>
          <w:sz w:val="24"/>
          <w:szCs w:val="24"/>
        </w:rPr>
        <w:t xml:space="preserve">a procesů </w:t>
      </w:r>
      <w:r w:rsidRPr="009E59E0">
        <w:rPr>
          <w:rFonts w:ascii="Times New Roman" w:hAnsi="Times New Roman" w:cs="Times New Roman"/>
          <w:sz w:val="24"/>
          <w:szCs w:val="24"/>
        </w:rPr>
        <w:t xml:space="preserve">řízení a rozhodování do veřejné správy včetně managementu lidských zdrojů (zejména </w:t>
      </w:r>
      <w:r>
        <w:rPr>
          <w:rFonts w:ascii="Times New Roman" w:hAnsi="Times New Roman" w:cs="Times New Roman"/>
          <w:sz w:val="24"/>
          <w:szCs w:val="24"/>
        </w:rPr>
        <w:t xml:space="preserve">vzdělávání, </w:t>
      </w:r>
      <w:r w:rsidRPr="009E59E0">
        <w:rPr>
          <w:rFonts w:ascii="Times New Roman" w:hAnsi="Times New Roman" w:cs="Times New Roman"/>
          <w:sz w:val="24"/>
          <w:szCs w:val="24"/>
        </w:rPr>
        <w:t>rozvíjení a prohlubování kvalifikace pracovní síly ve veřejném sektoru</w:t>
      </w:r>
      <w:r>
        <w:rPr>
          <w:rFonts w:ascii="Times New Roman" w:hAnsi="Times New Roman" w:cs="Times New Roman"/>
          <w:sz w:val="24"/>
          <w:szCs w:val="24"/>
        </w:rPr>
        <w:t>, dále důraz na systém odměňování, motivace</w:t>
      </w:r>
      <w:r w:rsidRPr="009E59E0">
        <w:rPr>
          <w:rFonts w:ascii="Times New Roman" w:hAnsi="Times New Roman" w:cs="Times New Roman"/>
          <w:sz w:val="24"/>
          <w:szCs w:val="24"/>
        </w:rPr>
        <w:t xml:space="preserve"> aj.)</w:t>
      </w:r>
      <w:r w:rsidR="005C2131">
        <w:rPr>
          <w:rFonts w:ascii="Times New Roman" w:hAnsi="Times New Roman" w:cs="Times New Roman"/>
          <w:sz w:val="24"/>
          <w:szCs w:val="24"/>
        </w:rPr>
        <w:t>.</w:t>
      </w:r>
    </w:p>
    <w:p w:rsidR="00F2618C" w:rsidRDefault="005C2131" w:rsidP="00F2618C">
      <w:pPr>
        <w:pStyle w:val="Odstavecseseznamem"/>
        <w:numPr>
          <w:ilvl w:val="0"/>
          <w:numId w:val="38"/>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O</w:t>
      </w:r>
      <w:r w:rsidR="00F2618C" w:rsidRPr="009E59E0">
        <w:rPr>
          <w:rFonts w:ascii="Times New Roman" w:hAnsi="Times New Roman" w:cs="Times New Roman"/>
          <w:sz w:val="24"/>
          <w:szCs w:val="24"/>
        </w:rPr>
        <w:t>ptimalizace procesů ve veřejné správě s důrazem na stabilizaci veřejných rozpočtů</w:t>
      </w:r>
      <w:r w:rsidR="00F2618C">
        <w:rPr>
          <w:rFonts w:ascii="Times New Roman" w:hAnsi="Times New Roman" w:cs="Times New Roman"/>
          <w:sz w:val="24"/>
          <w:szCs w:val="24"/>
        </w:rPr>
        <w:t>.</w:t>
      </w:r>
      <w:r w:rsidR="00F2618C" w:rsidRPr="009E59E0">
        <w:rPr>
          <w:rFonts w:ascii="Times New Roman" w:hAnsi="Times New Roman" w:cs="Times New Roman"/>
          <w:sz w:val="24"/>
          <w:szCs w:val="24"/>
        </w:rPr>
        <w:t xml:space="preserve"> </w:t>
      </w:r>
      <w:r w:rsidR="00F2618C" w:rsidRPr="00D44CE4">
        <w:rPr>
          <w:rFonts w:ascii="Times New Roman" w:hAnsi="Times New Roman" w:cs="Times New Roman"/>
          <w:sz w:val="24"/>
          <w:szCs w:val="24"/>
        </w:rPr>
        <w:t xml:space="preserve">Zvýšení kvality, výkonu a otevřenosti veřejné správy – zjednodušení a zkvalitnění poskytování veřejných služeb a </w:t>
      </w:r>
      <w:r>
        <w:rPr>
          <w:rFonts w:ascii="Times New Roman" w:hAnsi="Times New Roman" w:cs="Times New Roman"/>
          <w:sz w:val="24"/>
          <w:szCs w:val="24"/>
        </w:rPr>
        <w:t>optimalizace jejich dostupnosti.</w:t>
      </w:r>
    </w:p>
    <w:p w:rsidR="00F2618C" w:rsidRPr="00D44CE4" w:rsidRDefault="00F2618C" w:rsidP="00F2618C">
      <w:pPr>
        <w:pStyle w:val="Odstavecseseznamem"/>
        <w:numPr>
          <w:ilvl w:val="0"/>
          <w:numId w:val="38"/>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Zkvalitnění rozhodování veřejné správy o území a zkvalitnění územní přípravy investic v návaznosti na územně plánovací činnost krajů a obcí.</w:t>
      </w:r>
    </w:p>
    <w:p w:rsidR="00F2618C" w:rsidRPr="00BC676D" w:rsidRDefault="00F2618C" w:rsidP="00F2618C">
      <w:pPr>
        <w:pStyle w:val="Odstavecseseznamem"/>
        <w:numPr>
          <w:ilvl w:val="0"/>
          <w:numId w:val="38"/>
        </w:numPr>
        <w:spacing w:after="0" w:line="240" w:lineRule="auto"/>
        <w:ind w:left="360"/>
        <w:jc w:val="both"/>
        <w:rPr>
          <w:rFonts w:ascii="Times New Roman" w:hAnsi="Times New Roman" w:cs="Times New Roman"/>
          <w:sz w:val="24"/>
          <w:szCs w:val="24"/>
        </w:rPr>
      </w:pPr>
      <w:r w:rsidRPr="00D44CE4">
        <w:rPr>
          <w:rFonts w:ascii="Times New Roman" w:hAnsi="Times New Roman" w:cs="Times New Roman"/>
          <w:sz w:val="24"/>
          <w:szCs w:val="24"/>
        </w:rPr>
        <w:t xml:space="preserve">Podpora </w:t>
      </w:r>
      <w:r>
        <w:rPr>
          <w:rFonts w:ascii="Times New Roman" w:hAnsi="Times New Roman" w:cs="Times New Roman"/>
          <w:sz w:val="24"/>
          <w:szCs w:val="24"/>
        </w:rPr>
        <w:t>využívání analytických a evaluačních kapacit</w:t>
      </w:r>
      <w:r w:rsidRPr="00D44CE4">
        <w:rPr>
          <w:rFonts w:ascii="Times New Roman" w:hAnsi="Times New Roman" w:cs="Times New Roman"/>
          <w:sz w:val="24"/>
          <w:szCs w:val="24"/>
        </w:rPr>
        <w:t>, které povede k jasným výsledkům</w:t>
      </w:r>
      <w:r>
        <w:rPr>
          <w:rFonts w:ascii="Times New Roman" w:hAnsi="Times New Roman" w:cs="Times New Roman"/>
          <w:sz w:val="24"/>
          <w:szCs w:val="24"/>
        </w:rPr>
        <w:t xml:space="preserve"> a odstranění duplicit</w:t>
      </w:r>
      <w:r w:rsidRPr="00D44CE4">
        <w:rPr>
          <w:rFonts w:ascii="Times New Roman" w:hAnsi="Times New Roman" w:cs="Times New Roman"/>
          <w:sz w:val="24"/>
          <w:szCs w:val="24"/>
        </w:rPr>
        <w:t xml:space="preserve"> </w:t>
      </w:r>
      <w:r w:rsidRPr="00BC676D">
        <w:rPr>
          <w:rFonts w:ascii="Times New Roman" w:hAnsi="Times New Roman" w:cs="Times New Roman"/>
          <w:sz w:val="24"/>
          <w:szCs w:val="24"/>
        </w:rPr>
        <w:t>Posílení správy a budování kapacit vybraných orgánů státní správy.</w:t>
      </w:r>
    </w:p>
    <w:p w:rsidR="00F3719F" w:rsidRDefault="00F2618C">
      <w:pPr>
        <w:pStyle w:val="Odstavecseseznamem"/>
        <w:spacing w:after="0" w:line="240" w:lineRule="auto"/>
        <w:ind w:left="360"/>
        <w:jc w:val="both"/>
        <w:rPr>
          <w:rFonts w:ascii="Times New Roman" w:hAnsi="Times New Roman" w:cs="Times New Roman"/>
          <w:sz w:val="24"/>
          <w:szCs w:val="24"/>
        </w:rPr>
      </w:pPr>
      <w:r w:rsidRPr="00D027DC">
        <w:rPr>
          <w:rFonts w:ascii="Times New Roman" w:hAnsi="Times New Roman" w:cs="Times New Roman"/>
          <w:sz w:val="24"/>
          <w:szCs w:val="24"/>
        </w:rPr>
        <w:t xml:space="preserve"> </w:t>
      </w:r>
    </w:p>
    <w:p w:rsidR="00F3719F" w:rsidRDefault="00F2618C">
      <w:pPr>
        <w:pStyle w:val="Bezmezer"/>
        <w:numPr>
          <w:ilvl w:val="0"/>
          <w:numId w:val="153"/>
        </w:numPr>
        <w:jc w:val="both"/>
        <w:rPr>
          <w:rFonts w:ascii="Times New Roman" w:hAnsi="Times New Roman" w:cs="Times New Roman"/>
          <w:b/>
          <w:i/>
          <w:sz w:val="24"/>
          <w:szCs w:val="24"/>
        </w:rPr>
      </w:pPr>
      <w:r w:rsidRPr="00F83AAE">
        <w:rPr>
          <w:rFonts w:ascii="Times New Roman" w:hAnsi="Times New Roman" w:cs="Times New Roman"/>
          <w:b/>
          <w:i/>
          <w:sz w:val="24"/>
          <w:szCs w:val="24"/>
        </w:rPr>
        <w:t>Nízká transparentnost veřejné správy</w:t>
      </w:r>
    </w:p>
    <w:p w:rsidR="00F2618C" w:rsidRPr="00F83AAE" w:rsidRDefault="00F2618C" w:rsidP="00F2618C">
      <w:pPr>
        <w:pStyle w:val="Bezmezer"/>
        <w:jc w:val="both"/>
        <w:rPr>
          <w:rFonts w:ascii="Times New Roman" w:hAnsi="Times New Roman" w:cs="Times New Roman"/>
          <w:i/>
          <w:sz w:val="24"/>
          <w:szCs w:val="24"/>
        </w:rPr>
      </w:pPr>
    </w:p>
    <w:p w:rsidR="00F2618C" w:rsidRDefault="00F2618C" w:rsidP="005C2131">
      <w:pPr>
        <w:spacing w:line="240" w:lineRule="auto"/>
        <w:jc w:val="both"/>
      </w:pPr>
      <w:r w:rsidRPr="00F83AAE">
        <w:rPr>
          <w:rFonts w:ascii="Times New Roman" w:hAnsi="Times New Roman" w:cs="Times New Roman"/>
          <w:sz w:val="24"/>
          <w:szCs w:val="24"/>
        </w:rPr>
        <w:t xml:space="preserve">Za další slabé </w:t>
      </w:r>
      <w:r w:rsidRPr="009E59E0">
        <w:rPr>
          <w:rFonts w:ascii="Times New Roman" w:hAnsi="Times New Roman" w:cs="Times New Roman"/>
          <w:sz w:val="24"/>
          <w:szCs w:val="24"/>
        </w:rPr>
        <w:t>stránky</w:t>
      </w:r>
      <w:r>
        <w:rPr>
          <w:rFonts w:ascii="Times New Roman" w:hAnsi="Times New Roman" w:cs="Times New Roman"/>
          <w:sz w:val="24"/>
          <w:szCs w:val="24"/>
        </w:rPr>
        <w:t xml:space="preserve"> veřejné správy</w:t>
      </w:r>
      <w:r w:rsidRPr="009E59E0">
        <w:rPr>
          <w:rFonts w:ascii="Times New Roman" w:hAnsi="Times New Roman" w:cs="Times New Roman"/>
          <w:sz w:val="24"/>
          <w:szCs w:val="24"/>
        </w:rPr>
        <w:t xml:space="preserve"> lze považovat nedokončení potřebných reforem (např.: velká reforma veřejné správy z roku 1999), nedostatečné legislativní prostředí pro chod veřejné správy </w:t>
      </w:r>
      <w:r>
        <w:rPr>
          <w:rFonts w:ascii="Times New Roman" w:hAnsi="Times New Roman" w:cs="Times New Roman"/>
          <w:sz w:val="24"/>
          <w:szCs w:val="24"/>
        </w:rPr>
        <w:t>včetně</w:t>
      </w:r>
      <w:r w:rsidRPr="009E59E0">
        <w:rPr>
          <w:rFonts w:ascii="Times New Roman" w:hAnsi="Times New Roman" w:cs="Times New Roman"/>
          <w:sz w:val="24"/>
          <w:szCs w:val="24"/>
        </w:rPr>
        <w:t xml:space="preserve"> implementace některých zákonů (např. </w:t>
      </w:r>
      <w:r>
        <w:rPr>
          <w:rFonts w:ascii="Times New Roman" w:hAnsi="Times New Roman" w:cs="Times New Roman"/>
          <w:sz w:val="24"/>
          <w:szCs w:val="24"/>
        </w:rPr>
        <w:t xml:space="preserve">zákona upravujícího práva a </w:t>
      </w:r>
      <w:r>
        <w:rPr>
          <w:rFonts w:ascii="Times New Roman" w:hAnsi="Times New Roman" w:cs="Times New Roman"/>
          <w:sz w:val="24"/>
          <w:szCs w:val="24"/>
        </w:rPr>
        <w:lastRenderedPageBreak/>
        <w:t>postavení úředníků ve státní správě</w:t>
      </w:r>
      <w:r w:rsidRPr="009E59E0">
        <w:rPr>
          <w:rFonts w:ascii="Times New Roman" w:hAnsi="Times New Roman" w:cs="Times New Roman"/>
          <w:sz w:val="24"/>
          <w:szCs w:val="24"/>
        </w:rPr>
        <w:t>).</w:t>
      </w:r>
      <w:r>
        <w:rPr>
          <w:rFonts w:ascii="Times New Roman" w:hAnsi="Times New Roman" w:cs="Times New Roman"/>
          <w:sz w:val="24"/>
          <w:szCs w:val="24"/>
        </w:rPr>
        <w:t xml:space="preserve"> Nedostatečné je využívání analytických a evaluačních kapacit za účelem zvyšování transparentnosti (př. v oblasti auditů, veřejných zakázek apod.). </w:t>
      </w:r>
      <w:r w:rsidRPr="009E59E0">
        <w:rPr>
          <w:rFonts w:ascii="Times New Roman" w:hAnsi="Times New Roman" w:cs="Times New Roman"/>
          <w:sz w:val="24"/>
          <w:szCs w:val="24"/>
        </w:rPr>
        <w:t>Srovnání také ukazují problematickou měřitelnost a hodnocení výkonu veřejné správy</w:t>
      </w:r>
      <w:r>
        <w:rPr>
          <w:rFonts w:ascii="Times New Roman" w:hAnsi="Times New Roman" w:cs="Times New Roman"/>
          <w:sz w:val="24"/>
          <w:szCs w:val="24"/>
        </w:rPr>
        <w:t xml:space="preserve">. </w:t>
      </w:r>
      <w:r w:rsidRPr="009E59E0">
        <w:rPr>
          <w:rFonts w:ascii="Times New Roman" w:hAnsi="Times New Roman" w:cs="Times New Roman"/>
          <w:sz w:val="24"/>
          <w:szCs w:val="24"/>
        </w:rPr>
        <w:t xml:space="preserve">Přičemž právě tyto jsou podmínkou pro zajištění lepšího fungování </w:t>
      </w:r>
      <w:r w:rsidRPr="00217E9F">
        <w:rPr>
          <w:rFonts w:ascii="Times New Roman" w:hAnsi="Times New Roman" w:cs="Times New Roman"/>
          <w:sz w:val="24"/>
          <w:szCs w:val="24"/>
        </w:rPr>
        <w:t xml:space="preserve">veřejné správy, zvýšení její transparentnosti a snížení korupčních příležitostí. </w:t>
      </w:r>
      <w:r w:rsidR="00842329" w:rsidRPr="00842329">
        <w:rPr>
          <w:rFonts w:ascii="Times New Roman" w:hAnsi="Times New Roman" w:cs="Times New Roman"/>
          <w:sz w:val="24"/>
          <w:szCs w:val="24"/>
        </w:rPr>
        <w:t>Klesající trend ukazatele vnímání korupce v</w:t>
      </w:r>
      <w:r w:rsidRPr="00487111">
        <w:rPr>
          <w:rFonts w:ascii="Times New Roman" w:hAnsi="Times New Roman" w:cs="Times New Roman"/>
          <w:sz w:val="24"/>
          <w:szCs w:val="24"/>
        </w:rPr>
        <w:t> </w:t>
      </w:r>
      <w:r w:rsidR="00842329" w:rsidRPr="00842329">
        <w:rPr>
          <w:rFonts w:ascii="Times New Roman" w:hAnsi="Times New Roman" w:cs="Times New Roman"/>
          <w:sz w:val="24"/>
          <w:szCs w:val="24"/>
        </w:rPr>
        <w:t>ČR od roku 2008, který každoročně vydává Transparency International jednoznačně potvrzuje, že korupce je v</w:t>
      </w:r>
      <w:r w:rsidRPr="00487111">
        <w:rPr>
          <w:rFonts w:ascii="Times New Roman" w:hAnsi="Times New Roman" w:cs="Times New Roman"/>
          <w:sz w:val="24"/>
          <w:szCs w:val="24"/>
        </w:rPr>
        <w:t> </w:t>
      </w:r>
      <w:r w:rsidR="00842329" w:rsidRPr="00842329">
        <w:rPr>
          <w:rFonts w:ascii="Times New Roman" w:hAnsi="Times New Roman" w:cs="Times New Roman"/>
          <w:sz w:val="24"/>
          <w:szCs w:val="24"/>
        </w:rPr>
        <w:t>České republice zásadním problémem společnosti. V</w:t>
      </w:r>
      <w:r w:rsidRPr="00487111">
        <w:rPr>
          <w:rFonts w:ascii="Times New Roman" w:hAnsi="Times New Roman" w:cs="Times New Roman"/>
          <w:sz w:val="24"/>
          <w:szCs w:val="24"/>
        </w:rPr>
        <w:t> </w:t>
      </w:r>
      <w:r w:rsidR="00842329" w:rsidRPr="00842329">
        <w:rPr>
          <w:rFonts w:ascii="Times New Roman" w:hAnsi="Times New Roman" w:cs="Times New Roman"/>
          <w:sz w:val="24"/>
          <w:szCs w:val="24"/>
        </w:rPr>
        <w:t>roce 2011 klesla hodnota CPI na 4,4</w:t>
      </w:r>
      <w:r>
        <w:rPr>
          <w:rFonts w:ascii="Times New Roman" w:hAnsi="Times New Roman" w:cs="Times New Roman"/>
          <w:sz w:val="24"/>
          <w:szCs w:val="24"/>
        </w:rPr>
        <w:t xml:space="preserve"> </w:t>
      </w:r>
      <w:r w:rsidR="00842329" w:rsidRPr="00842329">
        <w:rPr>
          <w:rFonts w:ascii="Times New Roman" w:hAnsi="Times New Roman" w:cs="Times New Roman"/>
          <w:sz w:val="24"/>
          <w:szCs w:val="24"/>
        </w:rPr>
        <w:t>(na škále 0-10 čím vyšší je hodnota tím lepší výsledky pro danou zemi) což umístilo Českou republiku na 24. místo mezi evropskými státy.</w:t>
      </w:r>
    </w:p>
    <w:p w:rsidR="00F3719F" w:rsidRDefault="00F2618C" w:rsidP="005C2131">
      <w:pPr>
        <w:spacing w:after="0" w:line="240" w:lineRule="auto"/>
        <w:jc w:val="both"/>
        <w:rPr>
          <w:rFonts w:ascii="Times New Roman" w:hAnsi="Times New Roman" w:cs="Times New Roman"/>
          <w:sz w:val="24"/>
          <w:szCs w:val="24"/>
        </w:rPr>
      </w:pPr>
      <w:r w:rsidRPr="006D6BA2">
        <w:rPr>
          <w:rFonts w:ascii="Times New Roman" w:hAnsi="Times New Roman" w:cs="Times New Roman"/>
          <w:sz w:val="24"/>
          <w:szCs w:val="24"/>
        </w:rPr>
        <w:t>Ačkoli je Česká republika zapojena do Open Government Partnership v oblasti zveřejňování dat na principu „open data“ lze jednoznačně identifikovat řadu nedostatků. Data, pokud jsou zveřejňována, nelze v řadě případů vyhledávat za pomoci inteligentních nástrojů pro vyhledávání, či dle tematického zaměření.  Nedochází k selekci těchto dat a jejich přizpůsobení potřebám a požadavkům občanů.</w:t>
      </w:r>
    </w:p>
    <w:p w:rsidR="00F3719F" w:rsidRDefault="00F2618C" w:rsidP="005C2131">
      <w:pPr>
        <w:spacing w:after="0" w:line="240" w:lineRule="auto"/>
        <w:jc w:val="both"/>
        <w:rPr>
          <w:rFonts w:ascii="Times New Roman" w:eastAsia="Times New Roman" w:hAnsi="Times New Roman" w:cs="Times New Roman"/>
          <w:sz w:val="24"/>
          <w:szCs w:val="24"/>
          <w:lang w:eastAsia="cs-CZ"/>
        </w:rPr>
      </w:pPr>
      <w:r w:rsidRPr="006D6BA2">
        <w:rPr>
          <w:rFonts w:ascii="Times New Roman" w:hAnsi="Times New Roman" w:cs="Times New Roman"/>
          <w:sz w:val="24"/>
          <w:szCs w:val="24"/>
        </w:rPr>
        <w:t>Ve využívání služeb eGovernmentu sledujeme značné výkyvy dle uživatelů. E</w:t>
      </w:r>
      <w:r w:rsidR="00842329" w:rsidRPr="00842329">
        <w:rPr>
          <w:rFonts w:ascii="Times New Roman" w:eastAsia="Times New Roman" w:hAnsi="Times New Roman" w:cs="Times New Roman"/>
          <w:sz w:val="24"/>
          <w:szCs w:val="24"/>
          <w:lang w:eastAsia="cs-CZ"/>
        </w:rPr>
        <w:t>lektronickou podatelnu provozovalo v roce 2011 86% organizačních složek státu, oproti roku 2005 se jedná o nárůst 30 procentních bodů, k 31.</w:t>
      </w:r>
      <w:r>
        <w:rPr>
          <w:rFonts w:ascii="Times New Roman" w:eastAsia="Times New Roman" w:hAnsi="Times New Roman" w:cs="Times New Roman"/>
          <w:sz w:val="24"/>
          <w:szCs w:val="24"/>
          <w:lang w:eastAsia="cs-CZ"/>
        </w:rPr>
        <w:t xml:space="preserve"> prosinci </w:t>
      </w:r>
      <w:r w:rsidR="00842329" w:rsidRPr="00842329">
        <w:rPr>
          <w:rFonts w:ascii="Times New Roman" w:eastAsia="Times New Roman" w:hAnsi="Times New Roman" w:cs="Times New Roman"/>
          <w:sz w:val="24"/>
          <w:szCs w:val="24"/>
          <w:lang w:eastAsia="cs-CZ"/>
        </w:rPr>
        <w:t>2011 mělo na svých stránkách umístěno 64% organizačních složek státu</w:t>
      </w:r>
      <w:r>
        <w:rPr>
          <w:rFonts w:ascii="Times New Roman" w:eastAsia="Times New Roman" w:hAnsi="Times New Roman" w:cs="Times New Roman"/>
          <w:sz w:val="24"/>
          <w:szCs w:val="24"/>
          <w:lang w:eastAsia="cs-CZ"/>
        </w:rPr>
        <w:t xml:space="preserve"> alespoň jeden </w:t>
      </w:r>
      <w:r w:rsidR="00842329" w:rsidRPr="00842329">
        <w:rPr>
          <w:rFonts w:ascii="Times New Roman" w:eastAsia="Times New Roman" w:hAnsi="Times New Roman" w:cs="Times New Roman"/>
          <w:sz w:val="24"/>
          <w:szCs w:val="24"/>
          <w:lang w:eastAsia="cs-CZ"/>
        </w:rPr>
        <w:t>formulář ke stažení, 32% organizačních složek státu nabízelo formulář k on-line vyplnění a úplné elektronické podání nabízelo skrze své webové stránky 39% organizačních složek státu. Ve srovnání s rokem 2007 došlo průměrně k navýšení poskytování výše uvedených služeb pouze o 2 procentní body. Naopak ve vztahu k občanům jsou statistiky prozatím spíše nepřízniv</w:t>
      </w:r>
      <w:r w:rsidRPr="006D6BA2">
        <w:rPr>
          <w:rFonts w:ascii="Times New Roman" w:eastAsia="Times New Roman" w:hAnsi="Times New Roman" w:cs="Times New Roman"/>
          <w:sz w:val="24"/>
          <w:szCs w:val="24"/>
          <w:lang w:eastAsia="cs-CZ"/>
        </w:rPr>
        <w:t>é</w:t>
      </w:r>
      <w:r w:rsidR="00842329" w:rsidRPr="00842329">
        <w:rPr>
          <w:rFonts w:ascii="Times New Roman" w:eastAsia="Times New Roman" w:hAnsi="Times New Roman" w:cs="Times New Roman"/>
          <w:sz w:val="24"/>
          <w:szCs w:val="24"/>
          <w:lang w:eastAsia="cs-CZ"/>
        </w:rPr>
        <w:t xml:space="preserve">: </w:t>
      </w:r>
      <w:r w:rsidRPr="006D6BA2">
        <w:rPr>
          <w:rFonts w:ascii="Times New Roman" w:eastAsia="Times New Roman" w:hAnsi="Times New Roman" w:cs="Times New Roman"/>
          <w:sz w:val="24"/>
          <w:szCs w:val="24"/>
          <w:lang w:eastAsia="cs-CZ"/>
        </w:rPr>
        <w:t>s</w:t>
      </w:r>
      <w:r w:rsidR="00842329" w:rsidRPr="00842329">
        <w:rPr>
          <w:rFonts w:ascii="Times New Roman" w:eastAsia="Times New Roman" w:hAnsi="Times New Roman" w:cs="Times New Roman"/>
          <w:sz w:val="24"/>
          <w:szCs w:val="24"/>
          <w:lang w:eastAsia="cs-CZ"/>
        </w:rPr>
        <w:t>lužbu pro oficiální elektronické doručování</w:t>
      </w:r>
      <w:r w:rsidRPr="006D6BA2">
        <w:rPr>
          <w:rFonts w:ascii="Times New Roman" w:eastAsia="Times New Roman" w:hAnsi="Times New Roman" w:cs="Times New Roman"/>
          <w:sz w:val="24"/>
          <w:szCs w:val="24"/>
          <w:lang w:eastAsia="cs-CZ"/>
        </w:rPr>
        <w:t xml:space="preserve"> (d</w:t>
      </w:r>
      <w:r>
        <w:rPr>
          <w:rFonts w:ascii="Times New Roman" w:eastAsia="Times New Roman" w:hAnsi="Times New Roman" w:cs="Times New Roman"/>
          <w:sz w:val="24"/>
          <w:szCs w:val="24"/>
          <w:lang w:eastAsia="cs-CZ"/>
        </w:rPr>
        <w:t>a</w:t>
      </w:r>
      <w:r w:rsidRPr="006D6BA2">
        <w:rPr>
          <w:rFonts w:ascii="Times New Roman" w:eastAsia="Times New Roman" w:hAnsi="Times New Roman" w:cs="Times New Roman"/>
          <w:sz w:val="24"/>
          <w:szCs w:val="24"/>
          <w:lang w:eastAsia="cs-CZ"/>
        </w:rPr>
        <w:t>tové schránky)</w:t>
      </w:r>
      <w:r w:rsidR="00842329" w:rsidRPr="00842329">
        <w:rPr>
          <w:rFonts w:ascii="Times New Roman" w:eastAsia="Times New Roman" w:hAnsi="Times New Roman" w:cs="Times New Roman"/>
          <w:sz w:val="24"/>
          <w:szCs w:val="24"/>
          <w:lang w:eastAsia="cs-CZ"/>
        </w:rPr>
        <w:t xml:space="preserve"> nemá dnes aktivováno ani 0,5% občanů starších 18 let</w:t>
      </w:r>
      <w:r w:rsidRPr="006D6BA2">
        <w:rPr>
          <w:rFonts w:ascii="Times New Roman" w:eastAsia="Times New Roman" w:hAnsi="Times New Roman" w:cs="Times New Roman"/>
          <w:sz w:val="24"/>
          <w:szCs w:val="24"/>
          <w:lang w:eastAsia="cs-CZ"/>
        </w:rPr>
        <w:t>, v</w:t>
      </w:r>
      <w:r w:rsidR="00842329" w:rsidRPr="00842329">
        <w:rPr>
          <w:rFonts w:ascii="Times New Roman" w:eastAsia="Times New Roman" w:hAnsi="Times New Roman" w:cs="Times New Roman"/>
          <w:sz w:val="24"/>
          <w:szCs w:val="24"/>
          <w:lang w:eastAsia="cs-CZ"/>
        </w:rPr>
        <w:t xml:space="preserve"> oblasti odesílání on-line formulářů veřejné správě patří České republice poslední místo v Evropské Unii.</w:t>
      </w:r>
      <w:r w:rsidRPr="006D6BA2">
        <w:rPr>
          <w:rFonts w:ascii="Times New Roman" w:eastAsia="Times New Roman" w:hAnsi="Times New Roman" w:cs="Times New Roman"/>
          <w:sz w:val="24"/>
          <w:szCs w:val="24"/>
          <w:lang w:eastAsia="cs-CZ"/>
        </w:rPr>
        <w:t xml:space="preserve"> </w:t>
      </w:r>
      <w:r w:rsidR="00842329" w:rsidRPr="00842329">
        <w:rPr>
          <w:rFonts w:ascii="Times New Roman" w:eastAsia="Times New Roman" w:hAnsi="Times New Roman" w:cs="Times New Roman"/>
          <w:sz w:val="24"/>
          <w:szCs w:val="24"/>
          <w:lang w:eastAsia="cs-CZ"/>
        </w:rPr>
        <w:t>V roce 2007 využívalo elektronických služeb pro občany pouze 29%  populace, což řadí Českou republiku hluboko pod evropský průměr. K nárůstu využívání služeb eGovernmentu na 40% v roce 2011 přispělo uživatelsky přívětivé prostředí nabízených služeb, stejně jako přidaná hodnota nap</w:t>
      </w:r>
      <w:r>
        <w:rPr>
          <w:rFonts w:ascii="Times New Roman" w:eastAsia="Times New Roman" w:hAnsi="Times New Roman" w:cs="Times New Roman"/>
          <w:sz w:val="24"/>
          <w:szCs w:val="24"/>
          <w:lang w:eastAsia="cs-CZ"/>
        </w:rPr>
        <w:t>říklad ve formě uspořeného času</w:t>
      </w:r>
      <w:r w:rsidR="00715D3D">
        <w:rPr>
          <w:rStyle w:val="Znakapoznpodarou"/>
          <w:rFonts w:eastAsia="Times New Roman" w:cs="Times New Roman"/>
          <w:sz w:val="24"/>
          <w:szCs w:val="24"/>
          <w:lang w:eastAsia="cs-CZ"/>
        </w:rPr>
        <w:footnoteReference w:id="60"/>
      </w:r>
      <w:r>
        <w:rPr>
          <w:rFonts w:ascii="Times New Roman" w:eastAsia="Times New Roman" w:hAnsi="Times New Roman" w:cs="Times New Roman"/>
          <w:sz w:val="24"/>
          <w:szCs w:val="24"/>
          <w:lang w:eastAsia="cs-CZ"/>
        </w:rPr>
        <w:t>. Přes některé dílčí úspěchy v oblasti využívání služeb eGovernmentu je zapotřebí se soustředit nadále na propagaci jejich využívání, včetně jejich dalšího rozvoje a uživatelské jednoduchosti.</w:t>
      </w:r>
    </w:p>
    <w:p w:rsidR="00F2618C" w:rsidRDefault="00F2618C" w:rsidP="00F2618C">
      <w:pPr>
        <w:pStyle w:val="Bezmezer"/>
        <w:jc w:val="both"/>
        <w:rPr>
          <w:rFonts w:ascii="Times New Roman" w:hAnsi="Times New Roman" w:cs="Times New Roman"/>
          <w:i/>
          <w:sz w:val="24"/>
          <w:szCs w:val="24"/>
        </w:rPr>
      </w:pPr>
    </w:p>
    <w:p w:rsidR="00F2618C" w:rsidRDefault="00F2618C" w:rsidP="00F2618C">
      <w:pPr>
        <w:pStyle w:val="Bezmezer"/>
        <w:jc w:val="both"/>
        <w:rPr>
          <w:rFonts w:ascii="Times New Roman" w:hAnsi="Times New Roman" w:cs="Times New Roman"/>
          <w:i/>
          <w:sz w:val="24"/>
          <w:szCs w:val="24"/>
        </w:rPr>
      </w:pPr>
    </w:p>
    <w:p w:rsidR="00F3719F" w:rsidRDefault="00F2618C">
      <w:pPr>
        <w:pStyle w:val="Bezmezer"/>
        <w:jc w:val="both"/>
        <w:rPr>
          <w:rFonts w:ascii="Times New Roman" w:hAnsi="Times New Roman" w:cs="Times New Roman"/>
          <w:i/>
          <w:sz w:val="24"/>
          <w:szCs w:val="24"/>
        </w:rPr>
      </w:pPr>
      <w:r w:rsidRPr="009E59E0">
        <w:rPr>
          <w:rFonts w:ascii="Times New Roman" w:hAnsi="Times New Roman" w:cs="Times New Roman"/>
          <w:i/>
          <w:sz w:val="24"/>
          <w:szCs w:val="24"/>
        </w:rPr>
        <w:t>Potřeby rozvoje:</w:t>
      </w:r>
    </w:p>
    <w:p w:rsidR="00F2618C" w:rsidRDefault="00F2618C" w:rsidP="00F2618C">
      <w:pPr>
        <w:pStyle w:val="Odstavecseseznamem"/>
        <w:numPr>
          <w:ilvl w:val="0"/>
          <w:numId w:val="38"/>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Zajištění přijetí potřebných legislativních opatření s cílem zpřehlednit fungování VS a stanovit parametry pro její výkon</w:t>
      </w:r>
      <w:r w:rsidR="005C2131">
        <w:rPr>
          <w:rFonts w:ascii="Times New Roman" w:hAnsi="Times New Roman" w:cs="Times New Roman"/>
          <w:sz w:val="24"/>
          <w:szCs w:val="24"/>
        </w:rPr>
        <w:t>.</w:t>
      </w:r>
    </w:p>
    <w:p w:rsidR="00F2618C" w:rsidRPr="00D44CE4" w:rsidRDefault="005C2131" w:rsidP="00F2618C">
      <w:pPr>
        <w:pStyle w:val="Odstavecseseznamem"/>
        <w:numPr>
          <w:ilvl w:val="0"/>
          <w:numId w:val="38"/>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Z</w:t>
      </w:r>
      <w:r w:rsidR="00F2618C">
        <w:rPr>
          <w:rFonts w:ascii="Times New Roman" w:hAnsi="Times New Roman" w:cs="Times New Roman"/>
          <w:sz w:val="24"/>
          <w:szCs w:val="24"/>
        </w:rPr>
        <w:t>výšení</w:t>
      </w:r>
      <w:r w:rsidR="00F2618C" w:rsidRPr="00D44CE4">
        <w:rPr>
          <w:rFonts w:ascii="Times New Roman" w:hAnsi="Times New Roman" w:cs="Times New Roman"/>
          <w:sz w:val="24"/>
          <w:szCs w:val="24"/>
        </w:rPr>
        <w:t xml:space="preserve"> míry využívání služeb eGovernmentu</w:t>
      </w:r>
      <w:r w:rsidR="00F2618C" w:rsidRPr="009E59E0">
        <w:rPr>
          <w:rFonts w:ascii="Times New Roman" w:hAnsi="Times New Roman" w:cs="Times New Roman"/>
          <w:sz w:val="24"/>
          <w:szCs w:val="24"/>
        </w:rPr>
        <w:t xml:space="preserve"> </w:t>
      </w:r>
      <w:r w:rsidR="00F2618C" w:rsidRPr="00D44CE4">
        <w:rPr>
          <w:rFonts w:ascii="Times New Roman" w:hAnsi="Times New Roman" w:cs="Times New Roman"/>
          <w:sz w:val="24"/>
          <w:szCs w:val="24"/>
        </w:rPr>
        <w:t>občany a podniky/podnikateli.</w:t>
      </w:r>
    </w:p>
    <w:p w:rsidR="00F2618C" w:rsidRPr="00D44CE4" w:rsidRDefault="00F2618C" w:rsidP="00F2618C">
      <w:pPr>
        <w:pStyle w:val="Odstavecseseznamem"/>
        <w:numPr>
          <w:ilvl w:val="0"/>
          <w:numId w:val="38"/>
        </w:num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Zefektivnění kontroly veřejné správy pomocí moderních přístupů (</w:t>
      </w:r>
      <w:r w:rsidR="006D5F93">
        <w:rPr>
          <w:rFonts w:ascii="Times New Roman" w:hAnsi="Times New Roman" w:cs="Times New Roman"/>
          <w:sz w:val="24"/>
          <w:szCs w:val="24"/>
        </w:rPr>
        <w:t xml:space="preserve">lidské </w:t>
      </w:r>
      <w:r>
        <w:rPr>
          <w:rFonts w:ascii="Times New Roman" w:hAnsi="Times New Roman" w:cs="Times New Roman"/>
          <w:sz w:val="24"/>
          <w:szCs w:val="24"/>
        </w:rPr>
        <w:t>zdroj</w:t>
      </w:r>
      <w:r w:rsidR="006D5F93">
        <w:rPr>
          <w:rFonts w:ascii="Times New Roman" w:hAnsi="Times New Roman" w:cs="Times New Roman"/>
          <w:sz w:val="24"/>
          <w:szCs w:val="24"/>
        </w:rPr>
        <w:t>e</w:t>
      </w:r>
      <w:r>
        <w:rPr>
          <w:rFonts w:ascii="Times New Roman" w:hAnsi="Times New Roman" w:cs="Times New Roman"/>
          <w:sz w:val="24"/>
          <w:szCs w:val="24"/>
        </w:rPr>
        <w:t>, elektronizace).</w:t>
      </w:r>
    </w:p>
    <w:p w:rsidR="00F2618C" w:rsidRDefault="00F2618C" w:rsidP="00F2618C">
      <w:pPr>
        <w:pStyle w:val="Odstavecseseznamem"/>
        <w:numPr>
          <w:ilvl w:val="0"/>
          <w:numId w:val="38"/>
        </w:numPr>
        <w:spacing w:after="0" w:line="240" w:lineRule="auto"/>
        <w:ind w:left="360"/>
        <w:jc w:val="both"/>
        <w:rPr>
          <w:rFonts w:ascii="Times New Roman" w:hAnsi="Times New Roman" w:cs="Times New Roman"/>
          <w:sz w:val="24"/>
          <w:szCs w:val="24"/>
        </w:rPr>
      </w:pPr>
      <w:r w:rsidRPr="00D44CE4">
        <w:rPr>
          <w:rFonts w:ascii="Times New Roman" w:hAnsi="Times New Roman" w:cs="Times New Roman"/>
          <w:sz w:val="24"/>
          <w:szCs w:val="24"/>
        </w:rPr>
        <w:t xml:space="preserve">Podpora </w:t>
      </w:r>
      <w:r>
        <w:rPr>
          <w:rFonts w:ascii="Times New Roman" w:hAnsi="Times New Roman" w:cs="Times New Roman"/>
          <w:sz w:val="24"/>
          <w:szCs w:val="24"/>
        </w:rPr>
        <w:t xml:space="preserve">využívání analytických a evaluačních kapacit včetně </w:t>
      </w:r>
      <w:r w:rsidRPr="00D44CE4">
        <w:rPr>
          <w:rFonts w:ascii="Times New Roman" w:hAnsi="Times New Roman" w:cs="Times New Roman"/>
          <w:sz w:val="24"/>
          <w:szCs w:val="24"/>
        </w:rPr>
        <w:t>měření výkonu veřejné správy, které povede k jasným výsledkům</w:t>
      </w:r>
      <w:r>
        <w:rPr>
          <w:rFonts w:ascii="Times New Roman" w:hAnsi="Times New Roman" w:cs="Times New Roman"/>
          <w:sz w:val="24"/>
          <w:szCs w:val="24"/>
        </w:rPr>
        <w:t xml:space="preserve"> </w:t>
      </w:r>
      <w:r w:rsidRPr="00D027DC">
        <w:rPr>
          <w:rFonts w:ascii="Times New Roman" w:hAnsi="Times New Roman" w:cs="Times New Roman"/>
          <w:sz w:val="24"/>
          <w:szCs w:val="24"/>
        </w:rPr>
        <w:t xml:space="preserve"> </w:t>
      </w:r>
      <w:r>
        <w:rPr>
          <w:rFonts w:ascii="Times New Roman" w:hAnsi="Times New Roman" w:cs="Times New Roman"/>
          <w:sz w:val="24"/>
          <w:szCs w:val="24"/>
        </w:rPr>
        <w:t>P</w:t>
      </w:r>
      <w:r w:rsidRPr="00D027DC">
        <w:rPr>
          <w:rFonts w:ascii="Times New Roman" w:hAnsi="Times New Roman" w:cs="Times New Roman"/>
          <w:sz w:val="24"/>
          <w:szCs w:val="24"/>
        </w:rPr>
        <w:t>osilování občanské společnosti (podpora občanské participace a iniciativy, komun</w:t>
      </w:r>
      <w:r>
        <w:rPr>
          <w:rFonts w:ascii="Times New Roman" w:hAnsi="Times New Roman" w:cs="Times New Roman"/>
          <w:sz w:val="24"/>
          <w:szCs w:val="24"/>
        </w:rPr>
        <w:t>ikace směrem k veřejnosti</w:t>
      </w:r>
      <w:r w:rsidRPr="009E59E0">
        <w:rPr>
          <w:rFonts w:ascii="Times New Roman" w:hAnsi="Times New Roman" w:cs="Times New Roman"/>
          <w:sz w:val="24"/>
          <w:szCs w:val="24"/>
        </w:rPr>
        <w:t>), posilování principu otevřeného vládnutí</w:t>
      </w:r>
      <w:r>
        <w:rPr>
          <w:rFonts w:ascii="Times New Roman" w:hAnsi="Times New Roman" w:cs="Times New Roman"/>
          <w:sz w:val="24"/>
          <w:szCs w:val="24"/>
        </w:rPr>
        <w:t xml:space="preserve"> a publikace dat na principu open data za pomoci inteligentních nástrojů pro jejich vyhledávání.</w:t>
      </w:r>
    </w:p>
    <w:p w:rsidR="00BC676D" w:rsidRPr="009E59E0" w:rsidRDefault="00BC676D" w:rsidP="00BC676D">
      <w:pPr>
        <w:spacing w:line="240" w:lineRule="auto"/>
        <w:jc w:val="both"/>
        <w:rPr>
          <w:rFonts w:ascii="Times New Roman" w:hAnsi="Times New Roman" w:cs="Times New Roman"/>
          <w:sz w:val="24"/>
          <w:szCs w:val="24"/>
        </w:rPr>
      </w:pPr>
    </w:p>
    <w:p w:rsidR="00BC676D" w:rsidRPr="00F2618C" w:rsidRDefault="00BC676D" w:rsidP="00F2618C">
      <w:pPr>
        <w:pStyle w:val="Odstavecseseznamem"/>
        <w:numPr>
          <w:ilvl w:val="0"/>
          <w:numId w:val="153"/>
        </w:numPr>
        <w:spacing w:line="240" w:lineRule="auto"/>
        <w:jc w:val="both"/>
        <w:rPr>
          <w:rFonts w:ascii="Times New Roman" w:hAnsi="Times New Roman" w:cs="Times New Roman"/>
          <w:b/>
          <w:i/>
          <w:sz w:val="24"/>
          <w:szCs w:val="24"/>
        </w:rPr>
      </w:pPr>
      <w:r w:rsidRPr="00F2618C">
        <w:rPr>
          <w:rFonts w:ascii="Times New Roman" w:hAnsi="Times New Roman" w:cs="Times New Roman"/>
          <w:b/>
          <w:i/>
          <w:sz w:val="24"/>
          <w:szCs w:val="24"/>
        </w:rPr>
        <w:lastRenderedPageBreak/>
        <w:t>Nedokončená elektronizace veřejné správy</w:t>
      </w:r>
    </w:p>
    <w:p w:rsidR="00BC676D" w:rsidRDefault="00BC676D" w:rsidP="005C2131">
      <w:pPr>
        <w:spacing w:after="0" w:line="240" w:lineRule="auto"/>
        <w:jc w:val="both"/>
        <w:rPr>
          <w:rFonts w:ascii="Times New Roman" w:hAnsi="Times New Roman" w:cs="Times New Roman"/>
          <w:sz w:val="24"/>
          <w:szCs w:val="24"/>
        </w:rPr>
      </w:pPr>
      <w:r w:rsidRPr="009E59E0">
        <w:rPr>
          <w:rFonts w:ascii="Times New Roman" w:hAnsi="Times New Roman" w:cs="Times New Roman"/>
          <w:sz w:val="24"/>
          <w:szCs w:val="24"/>
        </w:rPr>
        <w:t>Rezervy lze i nadále spatřovat také v oblasti elektronizace veřejné správy. Hmotné zabezpečení pro fungování veřejné správy včetně oblasti ICT nedrží krok s rozvojem ICT v soukromém sektoru. Takovou oblastí je mimo jiné například i rozvoj komunikačních prostředků v rámci veřejné správy.</w:t>
      </w:r>
      <w:r>
        <w:rPr>
          <w:rFonts w:ascii="Times New Roman" w:hAnsi="Times New Roman" w:cs="Times New Roman"/>
          <w:sz w:val="24"/>
          <w:szCs w:val="24"/>
        </w:rPr>
        <w:t xml:space="preserve"> </w:t>
      </w:r>
      <w:r w:rsidRPr="001512A0">
        <w:rPr>
          <w:rFonts w:ascii="Times New Roman" w:hAnsi="Times New Roman" w:cs="Times New Roman"/>
          <w:sz w:val="24"/>
          <w:szCs w:val="24"/>
        </w:rPr>
        <w:t>Komplikovanou strukturu veřejné správy lze nejlépe popsat jako mnohočetně provázaný systém obrovského množství úřadů, které obhospodařují data související s výkonem jejich činnosti</w:t>
      </w:r>
      <w:r>
        <w:rPr>
          <w:rFonts w:ascii="Times New Roman" w:hAnsi="Times New Roman" w:cs="Times New Roman"/>
          <w:sz w:val="24"/>
          <w:szCs w:val="24"/>
        </w:rPr>
        <w:t xml:space="preserve"> (p</w:t>
      </w:r>
      <w:r w:rsidRPr="001512A0">
        <w:rPr>
          <w:rFonts w:ascii="Times New Roman" w:hAnsi="Times New Roman" w:cs="Times New Roman"/>
          <w:sz w:val="24"/>
          <w:szCs w:val="24"/>
        </w:rPr>
        <w:t>odle kvalifikovaného odhadu přibližně 30 000 úřadů spravuje cca 1000 agend</w:t>
      </w:r>
      <w:r>
        <w:rPr>
          <w:rFonts w:ascii="Times New Roman" w:hAnsi="Times New Roman" w:cs="Times New Roman"/>
          <w:sz w:val="24"/>
          <w:szCs w:val="24"/>
        </w:rPr>
        <w:t>)</w:t>
      </w:r>
      <w:r w:rsidRPr="001512A0">
        <w:rPr>
          <w:rFonts w:ascii="Times New Roman" w:hAnsi="Times New Roman" w:cs="Times New Roman"/>
          <w:sz w:val="24"/>
          <w:szCs w:val="24"/>
        </w:rPr>
        <w:t>. Informační systémy veřejné správy nepoužívají jednotnou datovou základnu a jsou na sobě nezávislé, v důsledku čehož se změny v datech v jedné databázi nepromítnou do dalších informačních systémů a občané jsou nuceni oznamovat různé změny na velkém množství úřadů.</w:t>
      </w:r>
      <w:r w:rsidRPr="00D44797">
        <w:rPr>
          <w:rFonts w:ascii="Times New Roman" w:hAnsi="Times New Roman"/>
        </w:rPr>
        <w:t xml:space="preserve"> </w:t>
      </w:r>
      <w:r w:rsidRPr="00BC676D">
        <w:rPr>
          <w:rFonts w:ascii="Times New Roman" w:hAnsi="Times New Roman" w:cs="Times New Roman"/>
          <w:sz w:val="24"/>
          <w:szCs w:val="24"/>
        </w:rPr>
        <w:t>Naopak řada oblastí, která by mohla být zajištěna jedním informačním a komunikačním systémem nebo jeho modernizací ve vztahu k specifickým potřebám veřejné správy takto ošetřena není (př. IS pro odpadové hospodářství obcí, IS mající zvláštní nároky na zabezpečení dat o občanech a jiných skutečnostech, radiokomunikační systém složek IZS apod.), přestože by takový IS znamenal značnou úsporu v nákladech veřejné správy.</w:t>
      </w:r>
    </w:p>
    <w:p w:rsidR="00BC676D" w:rsidRDefault="00BC676D" w:rsidP="00BC676D">
      <w:pPr>
        <w:pStyle w:val="Bezmezer"/>
        <w:rPr>
          <w:rFonts w:ascii="Times New Roman" w:hAnsi="Times New Roman" w:cs="Times New Roman"/>
          <w:i/>
          <w:sz w:val="24"/>
          <w:szCs w:val="24"/>
        </w:rPr>
      </w:pPr>
    </w:p>
    <w:p w:rsidR="00BC676D" w:rsidRDefault="00BC676D" w:rsidP="00BC676D">
      <w:pPr>
        <w:pStyle w:val="Bezmezer"/>
        <w:rPr>
          <w:rFonts w:ascii="Times New Roman" w:hAnsi="Times New Roman" w:cs="Times New Roman"/>
          <w:i/>
          <w:sz w:val="24"/>
          <w:szCs w:val="24"/>
        </w:rPr>
      </w:pPr>
      <w:r w:rsidRPr="009E59E0">
        <w:rPr>
          <w:rFonts w:ascii="Times New Roman" w:hAnsi="Times New Roman" w:cs="Times New Roman"/>
          <w:i/>
          <w:sz w:val="24"/>
          <w:szCs w:val="24"/>
        </w:rPr>
        <w:t>Potřeby rozvoje:</w:t>
      </w:r>
    </w:p>
    <w:p w:rsidR="00BC676D" w:rsidRPr="009E59E0" w:rsidRDefault="00BC676D" w:rsidP="00BC676D">
      <w:pPr>
        <w:pStyle w:val="Bezmezer"/>
        <w:rPr>
          <w:rFonts w:ascii="Times New Roman" w:hAnsi="Times New Roman" w:cs="Times New Roman"/>
          <w:i/>
          <w:sz w:val="24"/>
          <w:szCs w:val="24"/>
        </w:rPr>
      </w:pPr>
    </w:p>
    <w:p w:rsidR="00BC676D" w:rsidRPr="00217E9F" w:rsidRDefault="00BC676D" w:rsidP="00BC676D">
      <w:pPr>
        <w:pStyle w:val="Odstavecseseznamem"/>
        <w:numPr>
          <w:ilvl w:val="0"/>
          <w:numId w:val="39"/>
        </w:numPr>
        <w:autoSpaceDE w:val="0"/>
        <w:autoSpaceDN w:val="0"/>
        <w:adjustRightInd w:val="0"/>
        <w:spacing w:after="0" w:line="240" w:lineRule="auto"/>
        <w:jc w:val="both"/>
        <w:rPr>
          <w:rFonts w:ascii="Times New Roman" w:hAnsi="Times New Roman" w:cs="Times New Roman"/>
          <w:color w:val="000000"/>
          <w:sz w:val="24"/>
          <w:szCs w:val="24"/>
        </w:rPr>
      </w:pPr>
      <w:r w:rsidRPr="00217E9F">
        <w:rPr>
          <w:rFonts w:ascii="Times New Roman" w:hAnsi="Times New Roman" w:cs="Times New Roman"/>
          <w:color w:val="000000"/>
          <w:sz w:val="24"/>
          <w:szCs w:val="24"/>
        </w:rPr>
        <w:t xml:space="preserve">Další rozšíření, propojení a sdílení datového fondu veřejné správy a </w:t>
      </w:r>
      <w:r w:rsidR="00842329" w:rsidRPr="00842329">
        <w:rPr>
          <w:rFonts w:ascii="Times New Roman" w:hAnsi="Times New Roman" w:cs="Times New Roman"/>
          <w:sz w:val="24"/>
          <w:szCs w:val="24"/>
        </w:rPr>
        <w:t>využívání za tímto účelem všech dostupných registrů, jejich propojování a rozvoj, jakož i zkvalitnění a podstatně rychlejší zpřístupnění statistických údajů (mimo jiné za účelem odbourání duplicity v</w:t>
      </w:r>
      <w:r w:rsidRPr="00487111">
        <w:rPr>
          <w:rFonts w:ascii="Times New Roman" w:hAnsi="Times New Roman" w:cs="Times New Roman"/>
          <w:sz w:val="24"/>
          <w:szCs w:val="24"/>
        </w:rPr>
        <w:t> </w:t>
      </w:r>
      <w:r w:rsidR="00842329" w:rsidRPr="00842329">
        <w:rPr>
          <w:rFonts w:ascii="Times New Roman" w:hAnsi="Times New Roman" w:cs="Times New Roman"/>
          <w:sz w:val="24"/>
          <w:szCs w:val="24"/>
        </w:rPr>
        <w:t>informačních povinnostech pro podnikatele a občany)</w:t>
      </w:r>
      <w:r w:rsidRPr="00217E9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a to </w:t>
      </w:r>
      <w:r w:rsidRPr="00217E9F">
        <w:rPr>
          <w:rFonts w:ascii="Times New Roman" w:hAnsi="Times New Roman" w:cs="Times New Roman"/>
          <w:color w:val="000000"/>
          <w:sz w:val="24"/>
          <w:szCs w:val="24"/>
        </w:rPr>
        <w:t>především prostřednictvím umožněním úplného elektronického podání bez přítomnosti úředníka (z domova, z jiných mobilních přístrojů</w:t>
      </w:r>
      <w:r>
        <w:rPr>
          <w:rFonts w:ascii="Times New Roman" w:hAnsi="Times New Roman" w:cs="Times New Roman"/>
          <w:color w:val="000000"/>
          <w:sz w:val="24"/>
          <w:szCs w:val="24"/>
        </w:rPr>
        <w:t xml:space="preserve"> apod.</w:t>
      </w:r>
      <w:r w:rsidRPr="00217E9F">
        <w:rPr>
          <w:rFonts w:ascii="Times New Roman" w:hAnsi="Times New Roman" w:cs="Times New Roman"/>
          <w:color w:val="000000"/>
          <w:sz w:val="24"/>
          <w:szCs w:val="24"/>
        </w:rPr>
        <w:t>)</w:t>
      </w:r>
      <w:r w:rsidR="005C2131">
        <w:rPr>
          <w:rFonts w:ascii="Times New Roman" w:hAnsi="Times New Roman" w:cs="Times New Roman"/>
          <w:color w:val="000000"/>
          <w:sz w:val="24"/>
          <w:szCs w:val="24"/>
        </w:rPr>
        <w:t>.</w:t>
      </w:r>
    </w:p>
    <w:p w:rsidR="00BC676D" w:rsidRDefault="005C2131" w:rsidP="00BC676D">
      <w:pPr>
        <w:pStyle w:val="Odstavecseseznamem"/>
        <w:numPr>
          <w:ilvl w:val="0"/>
          <w:numId w:val="39"/>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D</w:t>
      </w:r>
      <w:r w:rsidR="00BC676D">
        <w:rPr>
          <w:rFonts w:ascii="Times New Roman" w:hAnsi="Times New Roman" w:cs="Times New Roman"/>
          <w:color w:val="000000"/>
          <w:sz w:val="24"/>
          <w:szCs w:val="24"/>
        </w:rPr>
        <w:t>alší rozvoj systému elektronické identifikace a autorizace pro občany i podnikatelský sektor včetně jejich uznávání v</w:t>
      </w:r>
      <w:r>
        <w:rPr>
          <w:rFonts w:ascii="Times New Roman" w:hAnsi="Times New Roman" w:cs="Times New Roman"/>
          <w:color w:val="000000"/>
          <w:sz w:val="24"/>
          <w:szCs w:val="24"/>
        </w:rPr>
        <w:t> </w:t>
      </w:r>
      <w:r w:rsidR="00BC676D">
        <w:rPr>
          <w:rFonts w:ascii="Times New Roman" w:hAnsi="Times New Roman" w:cs="Times New Roman"/>
          <w:color w:val="000000"/>
          <w:sz w:val="24"/>
          <w:szCs w:val="24"/>
        </w:rPr>
        <w:t>zahraničí</w:t>
      </w:r>
      <w:r>
        <w:rPr>
          <w:rFonts w:ascii="Times New Roman" w:hAnsi="Times New Roman" w:cs="Times New Roman"/>
          <w:color w:val="000000"/>
          <w:sz w:val="24"/>
          <w:szCs w:val="24"/>
        </w:rPr>
        <w:t>.</w:t>
      </w:r>
    </w:p>
    <w:p w:rsidR="00BC676D" w:rsidRDefault="00BC676D" w:rsidP="00BC676D">
      <w:pPr>
        <w:pStyle w:val="Odstavecseseznamem"/>
        <w:numPr>
          <w:ilvl w:val="0"/>
          <w:numId w:val="39"/>
        </w:numPr>
        <w:autoSpaceDE w:val="0"/>
        <w:autoSpaceDN w:val="0"/>
        <w:adjustRightInd w:val="0"/>
        <w:spacing w:after="0" w:line="240" w:lineRule="auto"/>
        <w:jc w:val="both"/>
        <w:rPr>
          <w:rFonts w:ascii="Times New Roman" w:hAnsi="Times New Roman" w:cs="Times New Roman"/>
          <w:sz w:val="24"/>
          <w:szCs w:val="24"/>
        </w:rPr>
      </w:pPr>
      <w:r w:rsidRPr="009E59E0">
        <w:rPr>
          <w:rFonts w:ascii="Times New Roman" w:hAnsi="Times New Roman" w:cs="Times New Roman"/>
          <w:color w:val="000000"/>
          <w:sz w:val="24"/>
          <w:szCs w:val="24"/>
        </w:rPr>
        <w:t>Výstavba datových sítí veřejné správy</w:t>
      </w:r>
      <w:r>
        <w:rPr>
          <w:rFonts w:ascii="Times New Roman" w:hAnsi="Times New Roman" w:cs="Times New Roman"/>
          <w:color w:val="000000"/>
          <w:sz w:val="24"/>
          <w:szCs w:val="24"/>
        </w:rPr>
        <w:t xml:space="preserve"> a budování a modernizace bezpečných datových úložišť včetně cloudových řešení</w:t>
      </w:r>
      <w:r w:rsidR="005C2131">
        <w:rPr>
          <w:rFonts w:ascii="Times New Roman" w:hAnsi="Times New Roman" w:cs="Times New Roman"/>
          <w:color w:val="000000"/>
          <w:sz w:val="24"/>
          <w:szCs w:val="24"/>
        </w:rPr>
        <w:t>.</w:t>
      </w:r>
    </w:p>
    <w:p w:rsidR="00BC676D" w:rsidRDefault="00BC676D" w:rsidP="00BC676D">
      <w:pPr>
        <w:pStyle w:val="Odstavecseseznamem"/>
        <w:numPr>
          <w:ilvl w:val="0"/>
          <w:numId w:val="39"/>
        </w:numPr>
        <w:autoSpaceDE w:val="0"/>
        <w:autoSpaceDN w:val="0"/>
        <w:adjustRightInd w:val="0"/>
        <w:spacing w:after="0" w:line="240" w:lineRule="auto"/>
        <w:jc w:val="both"/>
        <w:rPr>
          <w:rFonts w:ascii="Times New Roman" w:hAnsi="Times New Roman" w:cs="Times New Roman"/>
          <w:sz w:val="24"/>
          <w:szCs w:val="24"/>
        </w:rPr>
      </w:pPr>
      <w:r w:rsidRPr="009E59E0">
        <w:rPr>
          <w:rFonts w:ascii="Times New Roman" w:hAnsi="Times New Roman" w:cs="Times New Roman"/>
          <w:color w:val="000000"/>
          <w:sz w:val="24"/>
          <w:szCs w:val="24"/>
        </w:rPr>
        <w:t>Rozvoj, sdílení a publikace dat veřejné správy na principu „open data“</w:t>
      </w:r>
      <w:r w:rsidR="005C2131">
        <w:rPr>
          <w:rFonts w:ascii="Times New Roman" w:hAnsi="Times New Roman" w:cs="Times New Roman"/>
          <w:color w:val="000000"/>
          <w:sz w:val="24"/>
          <w:szCs w:val="24"/>
        </w:rPr>
        <w:t>.</w:t>
      </w:r>
    </w:p>
    <w:p w:rsidR="00BC676D" w:rsidRDefault="00BC676D" w:rsidP="00BC676D">
      <w:pPr>
        <w:pStyle w:val="Odstavecseseznamem"/>
        <w:numPr>
          <w:ilvl w:val="0"/>
          <w:numId w:val="39"/>
        </w:numPr>
        <w:autoSpaceDE w:val="0"/>
        <w:autoSpaceDN w:val="0"/>
        <w:adjustRightInd w:val="0"/>
        <w:spacing w:after="0" w:line="240" w:lineRule="auto"/>
        <w:jc w:val="both"/>
        <w:rPr>
          <w:rFonts w:ascii="Times New Roman" w:hAnsi="Times New Roman" w:cs="Times New Roman"/>
          <w:sz w:val="24"/>
          <w:szCs w:val="24"/>
        </w:rPr>
      </w:pPr>
      <w:r w:rsidRPr="009E59E0">
        <w:rPr>
          <w:rFonts w:ascii="Times New Roman" w:hAnsi="Times New Roman" w:cs="Times New Roman"/>
          <w:color w:val="000000"/>
          <w:sz w:val="24"/>
          <w:szCs w:val="24"/>
        </w:rPr>
        <w:t>Konverze a archivace dokumentů</w:t>
      </w:r>
      <w:r>
        <w:rPr>
          <w:rFonts w:ascii="Times New Roman" w:hAnsi="Times New Roman" w:cs="Times New Roman"/>
          <w:color w:val="000000"/>
          <w:sz w:val="24"/>
          <w:szCs w:val="24"/>
        </w:rPr>
        <w:t xml:space="preserve"> s cílem zaručit jejich trvanlivost a stálost</w:t>
      </w:r>
      <w:r w:rsidR="005C2131">
        <w:rPr>
          <w:rFonts w:ascii="Times New Roman" w:hAnsi="Times New Roman" w:cs="Times New Roman"/>
          <w:color w:val="000000"/>
          <w:sz w:val="24"/>
          <w:szCs w:val="24"/>
        </w:rPr>
        <w:t>.</w:t>
      </w:r>
    </w:p>
    <w:p w:rsidR="00F3719F" w:rsidRDefault="005C2131">
      <w:pPr>
        <w:pStyle w:val="Odstavecseseznamem"/>
        <w:numPr>
          <w:ilvl w:val="0"/>
          <w:numId w:val="39"/>
        </w:num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R</w:t>
      </w:r>
      <w:r w:rsidR="00842329" w:rsidRPr="00842329">
        <w:rPr>
          <w:rFonts w:ascii="Times New Roman" w:hAnsi="Times New Roman" w:cs="Times New Roman"/>
          <w:color w:val="000000"/>
          <w:sz w:val="24"/>
          <w:szCs w:val="24"/>
        </w:rPr>
        <w:t>ozvoj, integrace a sjednocení informačních a komunikačních systémů (př.</w:t>
      </w:r>
      <w:r>
        <w:rPr>
          <w:rFonts w:ascii="Times New Roman" w:hAnsi="Times New Roman" w:cs="Times New Roman"/>
          <w:color w:val="000000"/>
          <w:sz w:val="24"/>
          <w:szCs w:val="24"/>
        </w:rPr>
        <w:t xml:space="preserve"> </w:t>
      </w:r>
      <w:r w:rsidR="00842329" w:rsidRPr="00842329">
        <w:rPr>
          <w:rFonts w:ascii="Times New Roman" w:hAnsi="Times New Roman" w:cs="Times New Roman"/>
          <w:color w:val="000000"/>
          <w:sz w:val="24"/>
          <w:szCs w:val="24"/>
        </w:rPr>
        <w:t>PEGAS) pro specifické potřeby veřejné správy a složek IZS</w:t>
      </w:r>
      <w:r>
        <w:rPr>
          <w:rFonts w:ascii="Times New Roman" w:hAnsi="Times New Roman" w:cs="Times New Roman"/>
          <w:color w:val="000000"/>
          <w:sz w:val="24"/>
          <w:szCs w:val="24"/>
        </w:rPr>
        <w:t>.</w:t>
      </w:r>
    </w:p>
    <w:p w:rsidR="00BC676D" w:rsidRPr="009E59E0" w:rsidRDefault="00BC676D" w:rsidP="00BC676D">
      <w:pPr>
        <w:spacing w:line="240" w:lineRule="auto"/>
        <w:jc w:val="both"/>
        <w:rPr>
          <w:rFonts w:ascii="Times New Roman" w:hAnsi="Times New Roman" w:cs="Times New Roman"/>
          <w:sz w:val="24"/>
          <w:szCs w:val="24"/>
        </w:rPr>
      </w:pPr>
    </w:p>
    <w:p w:rsidR="00BC676D" w:rsidRPr="009E59E0" w:rsidRDefault="00BC676D" w:rsidP="00BC676D">
      <w:pPr>
        <w:spacing w:line="240" w:lineRule="auto"/>
        <w:jc w:val="both"/>
        <w:rPr>
          <w:rFonts w:ascii="Times New Roman" w:hAnsi="Times New Roman" w:cs="Times New Roman"/>
          <w:b/>
          <w:i/>
          <w:sz w:val="24"/>
          <w:szCs w:val="24"/>
        </w:rPr>
      </w:pPr>
      <w:r>
        <w:rPr>
          <w:rFonts w:ascii="Times New Roman" w:hAnsi="Times New Roman" w:cs="Times New Roman"/>
          <w:b/>
          <w:i/>
          <w:sz w:val="24"/>
          <w:szCs w:val="24"/>
        </w:rPr>
        <w:t>5</w:t>
      </w:r>
      <w:r w:rsidRPr="009E59E0">
        <w:rPr>
          <w:rFonts w:ascii="Times New Roman" w:hAnsi="Times New Roman" w:cs="Times New Roman"/>
          <w:b/>
          <w:i/>
          <w:sz w:val="24"/>
          <w:szCs w:val="24"/>
        </w:rPr>
        <w:t xml:space="preserve">. Nedostatečné zabezpečení informačních systémů veřejné správy </w:t>
      </w:r>
    </w:p>
    <w:p w:rsidR="00BC676D" w:rsidRPr="009E59E0" w:rsidRDefault="00BC676D" w:rsidP="00BC676D">
      <w:pPr>
        <w:spacing w:line="240" w:lineRule="auto"/>
        <w:jc w:val="both"/>
        <w:rPr>
          <w:rFonts w:ascii="Times New Roman" w:hAnsi="Times New Roman" w:cs="Times New Roman"/>
          <w:sz w:val="24"/>
          <w:szCs w:val="24"/>
        </w:rPr>
      </w:pPr>
      <w:r w:rsidRPr="009E59E0">
        <w:rPr>
          <w:rFonts w:ascii="Times New Roman" w:hAnsi="Times New Roman" w:cs="Times New Roman"/>
          <w:sz w:val="24"/>
          <w:szCs w:val="24"/>
        </w:rPr>
        <w:t>Průřezovou problematickou oblastí je nízká úroveň zabezpečení ICT systémů veřejné správy, tak, aby odpovídaly standardům kybernetické bezpečnosti</w:t>
      </w:r>
      <w:r>
        <w:rPr>
          <w:rFonts w:ascii="Times New Roman" w:hAnsi="Times New Roman" w:cs="Times New Roman"/>
          <w:sz w:val="24"/>
          <w:szCs w:val="24"/>
        </w:rPr>
        <w:t xml:space="preserve"> a řízení rizik, které jsou přetrvávajícím problémem v ČR. Míra </w:t>
      </w:r>
      <w:r w:rsidRPr="009E59E0">
        <w:rPr>
          <w:rFonts w:ascii="Times New Roman" w:hAnsi="Times New Roman" w:cs="Times New Roman"/>
          <w:sz w:val="24"/>
          <w:szCs w:val="24"/>
        </w:rPr>
        <w:t>zabezpečení je u subjektů veřejné správy různá včetně částí kritické infrastruktury</w:t>
      </w:r>
      <w:r>
        <w:rPr>
          <w:rStyle w:val="Znakapoznpodarou"/>
          <w:sz w:val="24"/>
          <w:szCs w:val="24"/>
        </w:rPr>
        <w:footnoteReference w:id="61"/>
      </w:r>
      <w:r>
        <w:rPr>
          <w:rFonts w:ascii="Times New Roman" w:hAnsi="Times New Roman" w:cs="Times New Roman"/>
          <w:sz w:val="24"/>
          <w:szCs w:val="24"/>
        </w:rPr>
        <w:t xml:space="preserve"> a povědomí o kybernetické bezpečnosti a způsobech jak ji efektivně zajistit</w:t>
      </w:r>
      <w:r w:rsidRPr="009E59E0">
        <w:rPr>
          <w:rFonts w:ascii="Times New Roman" w:hAnsi="Times New Roman" w:cs="Times New Roman"/>
          <w:sz w:val="24"/>
          <w:szCs w:val="24"/>
        </w:rPr>
        <w:t>. Zvyšuje se tak riziko kybernetického útoku a snižuje se spolehlivost a bezpečnost výměny informací. S tímto souvisí i nedostatečné zajištění, jak koncepční tak materiální z hlediska bezpečného ukládání dat</w:t>
      </w:r>
    </w:p>
    <w:p w:rsidR="00BC676D" w:rsidRPr="009E59E0" w:rsidRDefault="00BC676D" w:rsidP="00BC676D">
      <w:pPr>
        <w:pStyle w:val="Bezmezer"/>
        <w:rPr>
          <w:rFonts w:ascii="Times New Roman" w:hAnsi="Times New Roman" w:cs="Times New Roman"/>
          <w:i/>
          <w:sz w:val="24"/>
          <w:szCs w:val="24"/>
        </w:rPr>
      </w:pPr>
      <w:r w:rsidRPr="009E59E0">
        <w:rPr>
          <w:rFonts w:ascii="Times New Roman" w:hAnsi="Times New Roman" w:cs="Times New Roman"/>
          <w:i/>
          <w:sz w:val="24"/>
          <w:szCs w:val="24"/>
        </w:rPr>
        <w:t>Potřeby rozvoje:</w:t>
      </w:r>
    </w:p>
    <w:p w:rsidR="00BC676D" w:rsidRDefault="00BC676D" w:rsidP="00BC676D">
      <w:pPr>
        <w:pStyle w:val="Odstavecseseznamem"/>
        <w:numPr>
          <w:ilvl w:val="0"/>
          <w:numId w:val="38"/>
        </w:numPr>
        <w:autoSpaceDE w:val="0"/>
        <w:autoSpaceDN w:val="0"/>
        <w:adjustRightInd w:val="0"/>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P</w:t>
      </w:r>
      <w:r w:rsidRPr="00D9408E">
        <w:rPr>
          <w:rFonts w:ascii="Times New Roman" w:hAnsi="Times New Roman" w:cs="Times New Roman"/>
          <w:sz w:val="24"/>
          <w:szCs w:val="24"/>
        </w:rPr>
        <w:t>odpora vzniku a vybavenosti orgánů veřejné správy pro potřeby ochrany infrastruktury ICT pro zajištění řízeného a bezpečného sdílení dat v rámci veřejné správy a složek IZS v souladu se standardy kybernetické bezpečnosti.</w:t>
      </w:r>
    </w:p>
    <w:p w:rsidR="00BC676D" w:rsidRDefault="00BC676D" w:rsidP="00BC676D">
      <w:pPr>
        <w:pStyle w:val="Odstavecseseznamem"/>
        <w:numPr>
          <w:ilvl w:val="0"/>
          <w:numId w:val="38"/>
        </w:numPr>
        <w:autoSpaceDE w:val="0"/>
        <w:autoSpaceDN w:val="0"/>
        <w:adjustRightInd w:val="0"/>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Podpora zvýšení povědomí a připravenosti lidských zdrojů vedoucí ke zvýšení kybernetické bezpečnost a snižování rizik spojených s jejím poklesem</w:t>
      </w:r>
      <w:r w:rsidR="005C2131">
        <w:rPr>
          <w:rFonts w:ascii="Times New Roman" w:hAnsi="Times New Roman" w:cs="Times New Roman"/>
          <w:sz w:val="24"/>
          <w:szCs w:val="24"/>
        </w:rPr>
        <w:t>.</w:t>
      </w:r>
    </w:p>
    <w:p w:rsidR="00F3719F" w:rsidRDefault="00F3719F">
      <w:pPr>
        <w:pStyle w:val="Odstavecseseznamem"/>
        <w:autoSpaceDE w:val="0"/>
        <w:autoSpaceDN w:val="0"/>
        <w:adjustRightInd w:val="0"/>
        <w:spacing w:after="0" w:line="240" w:lineRule="auto"/>
        <w:ind w:left="360"/>
        <w:jc w:val="both"/>
        <w:rPr>
          <w:rFonts w:ascii="Times New Roman" w:hAnsi="Times New Roman" w:cs="Times New Roman"/>
          <w:sz w:val="24"/>
          <w:szCs w:val="24"/>
        </w:rPr>
      </w:pPr>
    </w:p>
    <w:p w:rsidR="00F3719F" w:rsidRDefault="00F3719F">
      <w:pPr>
        <w:pStyle w:val="Odstavecseseznamem"/>
        <w:autoSpaceDE w:val="0"/>
        <w:autoSpaceDN w:val="0"/>
        <w:adjustRightInd w:val="0"/>
        <w:spacing w:after="0" w:line="240" w:lineRule="auto"/>
        <w:ind w:left="360"/>
        <w:jc w:val="both"/>
        <w:rPr>
          <w:rFonts w:ascii="Times New Roman" w:hAnsi="Times New Roman" w:cs="Times New Roman"/>
          <w:sz w:val="24"/>
          <w:szCs w:val="24"/>
        </w:rPr>
      </w:pPr>
    </w:p>
    <w:p w:rsidR="00BC676D" w:rsidRPr="009E59E0" w:rsidRDefault="00BC676D" w:rsidP="00BC676D">
      <w:pPr>
        <w:spacing w:line="240" w:lineRule="auto"/>
        <w:jc w:val="both"/>
        <w:rPr>
          <w:rFonts w:ascii="Times New Roman" w:hAnsi="Times New Roman" w:cs="Times New Roman"/>
          <w:b/>
          <w:i/>
          <w:sz w:val="24"/>
          <w:szCs w:val="24"/>
        </w:rPr>
      </w:pPr>
      <w:r>
        <w:rPr>
          <w:rFonts w:ascii="Times New Roman" w:hAnsi="Times New Roman" w:cs="Times New Roman"/>
          <w:b/>
          <w:i/>
          <w:sz w:val="24"/>
          <w:szCs w:val="24"/>
        </w:rPr>
        <w:t>6. N</w:t>
      </w:r>
      <w:r w:rsidRPr="009E59E0">
        <w:rPr>
          <w:rFonts w:ascii="Times New Roman" w:hAnsi="Times New Roman" w:cs="Times New Roman"/>
          <w:b/>
          <w:i/>
          <w:sz w:val="24"/>
          <w:szCs w:val="24"/>
        </w:rPr>
        <w:t>e</w:t>
      </w:r>
      <w:r>
        <w:rPr>
          <w:rFonts w:ascii="Times New Roman" w:hAnsi="Times New Roman" w:cs="Times New Roman"/>
          <w:b/>
          <w:i/>
          <w:sz w:val="24"/>
          <w:szCs w:val="24"/>
        </w:rPr>
        <w:t>dostatečné podmínky pro rozvoj a vyšší připravenost</w:t>
      </w:r>
      <w:r w:rsidRPr="009E59E0">
        <w:rPr>
          <w:rFonts w:ascii="Times New Roman" w:hAnsi="Times New Roman" w:cs="Times New Roman"/>
          <w:b/>
          <w:i/>
          <w:sz w:val="24"/>
          <w:szCs w:val="24"/>
        </w:rPr>
        <w:t xml:space="preserve"> složek IZS</w:t>
      </w:r>
    </w:p>
    <w:p w:rsidR="00BC676D" w:rsidRPr="009E59E0" w:rsidRDefault="00BC676D" w:rsidP="00BC676D">
      <w:pPr>
        <w:spacing w:line="240" w:lineRule="auto"/>
        <w:jc w:val="both"/>
        <w:rPr>
          <w:rFonts w:ascii="Times New Roman" w:hAnsi="Times New Roman" w:cs="Times New Roman"/>
          <w:sz w:val="24"/>
          <w:szCs w:val="24"/>
        </w:rPr>
      </w:pPr>
      <w:r w:rsidRPr="009E59E0">
        <w:rPr>
          <w:rFonts w:ascii="Times New Roman" w:hAnsi="Times New Roman" w:cs="Times New Roman"/>
          <w:sz w:val="24"/>
          <w:szCs w:val="24"/>
        </w:rPr>
        <w:t>Přes značný pokrok nelze tvrdit, že by veřejná správa byla plně připravena na řešení událostí způsobených změnou klimatu. Složky IZS se potýkají s</w:t>
      </w:r>
      <w:r>
        <w:rPr>
          <w:rFonts w:ascii="Times New Roman" w:hAnsi="Times New Roman" w:cs="Times New Roman"/>
          <w:sz w:val="24"/>
          <w:szCs w:val="24"/>
        </w:rPr>
        <w:t xml:space="preserve"> nedostačujícími </w:t>
      </w:r>
      <w:r w:rsidRPr="009E59E0">
        <w:rPr>
          <w:rFonts w:ascii="Times New Roman" w:hAnsi="Times New Roman" w:cs="Times New Roman"/>
          <w:sz w:val="24"/>
          <w:szCs w:val="24"/>
        </w:rPr>
        <w:t xml:space="preserve">výcvikovými prostory </w:t>
      </w:r>
      <w:r>
        <w:rPr>
          <w:rFonts w:ascii="Times New Roman" w:hAnsi="Times New Roman" w:cs="Times New Roman"/>
          <w:sz w:val="24"/>
          <w:szCs w:val="24"/>
        </w:rPr>
        <w:t xml:space="preserve">a sníženou kvalitou výcviku zejména </w:t>
      </w:r>
      <w:r w:rsidRPr="009E59E0">
        <w:rPr>
          <w:rFonts w:ascii="Times New Roman" w:hAnsi="Times New Roman" w:cs="Times New Roman"/>
          <w:sz w:val="24"/>
          <w:szCs w:val="24"/>
        </w:rPr>
        <w:t>v oblasti řešení mimořádných událostí způsobených změnou klimatu. Zde rovněž naráží na nedostatky ve vybavenosti. Současný stav stanic neodpovídá potřebám, které si nové přírodní hrozby žádají. Snižuje se tak efektivita a rychlost zásahu při těchto specifických mimořádných událostech.</w:t>
      </w:r>
    </w:p>
    <w:p w:rsidR="00BC676D" w:rsidRPr="009E59E0" w:rsidRDefault="00BC676D" w:rsidP="00BC676D">
      <w:pPr>
        <w:pStyle w:val="Bezmezer"/>
        <w:rPr>
          <w:rFonts w:ascii="Times New Roman" w:hAnsi="Times New Roman" w:cs="Times New Roman"/>
          <w:i/>
          <w:sz w:val="24"/>
          <w:szCs w:val="24"/>
        </w:rPr>
      </w:pPr>
      <w:r w:rsidRPr="009E59E0">
        <w:rPr>
          <w:rFonts w:ascii="Times New Roman" w:hAnsi="Times New Roman" w:cs="Times New Roman"/>
          <w:i/>
          <w:sz w:val="24"/>
          <w:szCs w:val="24"/>
        </w:rPr>
        <w:t>Potřeba rozvoje:</w:t>
      </w:r>
    </w:p>
    <w:p w:rsidR="00BC676D" w:rsidRPr="00D9408E" w:rsidRDefault="005C2131" w:rsidP="005C2131">
      <w:pPr>
        <w:pStyle w:val="NormlnIROP"/>
        <w:numPr>
          <w:ilvl w:val="0"/>
          <w:numId w:val="38"/>
        </w:numPr>
        <w:spacing w:after="0" w:line="240" w:lineRule="auto"/>
        <w:ind w:left="426" w:hanging="426"/>
        <w:rPr>
          <w:szCs w:val="24"/>
          <w:u w:color="FFFFFF"/>
        </w:rPr>
      </w:pPr>
      <w:r>
        <w:rPr>
          <w:szCs w:val="24"/>
          <w:u w:color="FFFFFF"/>
        </w:rPr>
        <w:t>Z</w:t>
      </w:r>
      <w:r w:rsidR="00BC676D" w:rsidRPr="00D9408E">
        <w:rPr>
          <w:szCs w:val="24"/>
          <w:u w:color="FFFFFF"/>
        </w:rPr>
        <w:t>ajištění nezbytné techniky a prostředků pro přípravu a řešení mimořádných situací vzniklých zejména jako následek nových hrozeb způsobených změnami klimatu</w:t>
      </w:r>
      <w:r>
        <w:rPr>
          <w:szCs w:val="24"/>
          <w:u w:color="FFFFFF"/>
        </w:rPr>
        <w:t>.</w:t>
      </w:r>
    </w:p>
    <w:p w:rsidR="00BC676D" w:rsidRPr="00D9408E" w:rsidRDefault="005C2131" w:rsidP="005C2131">
      <w:pPr>
        <w:pStyle w:val="NormlnIROP"/>
        <w:numPr>
          <w:ilvl w:val="0"/>
          <w:numId w:val="38"/>
        </w:numPr>
        <w:spacing w:after="0" w:line="240" w:lineRule="auto"/>
        <w:ind w:left="426" w:hanging="426"/>
        <w:rPr>
          <w:szCs w:val="24"/>
          <w:u w:color="FFFFFF"/>
        </w:rPr>
      </w:pPr>
      <w:r>
        <w:rPr>
          <w:szCs w:val="24"/>
          <w:u w:color="FFFFFF"/>
        </w:rPr>
        <w:t>M</w:t>
      </w:r>
      <w:r w:rsidR="00BC676D" w:rsidRPr="00D9408E">
        <w:rPr>
          <w:szCs w:val="24"/>
          <w:u w:color="FFFFFF"/>
        </w:rPr>
        <w:t>odernizace stávajících výcvikových a vzdělávacích středisek pro složky IZS, zaměřených především na rozvoj specifických schopností a součinnost složek IZS při řešení mimořádných situací vzniklých z nových hrozeb způsobených změnami klimatu</w:t>
      </w:r>
      <w:r>
        <w:rPr>
          <w:szCs w:val="24"/>
          <w:u w:color="FFFFFF"/>
        </w:rPr>
        <w:t>.</w:t>
      </w:r>
    </w:p>
    <w:p w:rsidR="00BC676D" w:rsidRPr="00D9408E" w:rsidRDefault="005C2131" w:rsidP="005C2131">
      <w:pPr>
        <w:pStyle w:val="NormlnIROP"/>
        <w:numPr>
          <w:ilvl w:val="0"/>
          <w:numId w:val="38"/>
        </w:numPr>
        <w:spacing w:after="0" w:line="240" w:lineRule="auto"/>
        <w:ind w:left="426" w:hanging="426"/>
        <w:rPr>
          <w:szCs w:val="24"/>
          <w:u w:color="FFFFFF"/>
        </w:rPr>
      </w:pPr>
      <w:r>
        <w:rPr>
          <w:szCs w:val="24"/>
          <w:u w:color="FFFFFF"/>
        </w:rPr>
        <w:t>V</w:t>
      </w:r>
      <w:r w:rsidR="00BC676D" w:rsidRPr="00D9408E">
        <w:rPr>
          <w:szCs w:val="24"/>
          <w:u w:color="FFFFFF"/>
        </w:rPr>
        <w:t>ybudování a adaptace stanic složek IZS, které budou účelně dislokovány a přizpůsobeny pro nové zásahové podmínky a vybaveny pro řízení rizik a mimořádných událostí způsobených zejména změnami klimatu.</w:t>
      </w:r>
    </w:p>
    <w:p w:rsidR="005C2131" w:rsidRDefault="005C2131" w:rsidP="005B6699">
      <w:pPr>
        <w:spacing w:after="120" w:line="240" w:lineRule="auto"/>
        <w:jc w:val="both"/>
        <w:rPr>
          <w:rFonts w:ascii="Times New Roman" w:hAnsi="Times New Roman" w:cs="Times New Roman"/>
          <w:b/>
          <w:sz w:val="24"/>
          <w:szCs w:val="24"/>
        </w:rPr>
      </w:pPr>
    </w:p>
    <w:p w:rsidR="00C00481" w:rsidRPr="000B521F" w:rsidRDefault="00C00481" w:rsidP="005B6699">
      <w:pPr>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Specifické potřeby a výzvy příhraničních regionů:</w:t>
      </w:r>
    </w:p>
    <w:p w:rsidR="008206A4" w:rsidRPr="000B521F" w:rsidRDefault="00833CB5" w:rsidP="005B6699">
      <w:pPr>
        <w:pStyle w:val="Odstavecseseznamem"/>
        <w:numPr>
          <w:ilvl w:val="0"/>
          <w:numId w:val="149"/>
        </w:numPr>
        <w:spacing w:after="12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S</w:t>
      </w:r>
      <w:r w:rsidR="00B40133" w:rsidRPr="000B521F">
        <w:rPr>
          <w:rFonts w:ascii="Times New Roman" w:hAnsi="Times New Roman" w:cs="Times New Roman"/>
          <w:sz w:val="24"/>
          <w:szCs w:val="24"/>
        </w:rPr>
        <w:t>polupráce institucí veřejné správy (komunikace, koordinace a hledání společných řešení za účelem zvyšování výkonu správy a zatraktivňování regionu pro jeho obyvate</w:t>
      </w:r>
      <w:r>
        <w:rPr>
          <w:rFonts w:ascii="Times New Roman" w:hAnsi="Times New Roman" w:cs="Times New Roman"/>
          <w:sz w:val="24"/>
          <w:szCs w:val="24"/>
        </w:rPr>
        <w:t>le i ekonomické aktéry.</w:t>
      </w:r>
    </w:p>
    <w:p w:rsidR="009E59E0" w:rsidRPr="000B521F" w:rsidRDefault="009E59E0" w:rsidP="0059011D">
      <w:pPr>
        <w:pStyle w:val="Tabulka"/>
        <w:spacing w:before="120" w:after="60"/>
        <w:rPr>
          <w:szCs w:val="20"/>
        </w:rPr>
      </w:pPr>
      <w:r w:rsidRPr="000B521F">
        <w:rPr>
          <w:szCs w:val="20"/>
        </w:rPr>
        <w:t>Vazby na dokumenty EU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7401"/>
      </w:tblGrid>
      <w:tr w:rsidR="009E59E0" w:rsidRPr="000B521F" w:rsidTr="00761093">
        <w:trPr>
          <w:trHeight w:val="765"/>
        </w:trPr>
        <w:tc>
          <w:tcPr>
            <w:tcW w:w="1701" w:type="dxa"/>
            <w:shd w:val="clear" w:color="auto" w:fill="8DB3E2" w:themeFill="text2" w:themeFillTint="66"/>
            <w:vAlign w:val="center"/>
          </w:tcPr>
          <w:p w:rsidR="009E59E0" w:rsidRPr="000B521F" w:rsidRDefault="009E59E0"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Strategie Evropa 2020</w:t>
            </w:r>
          </w:p>
        </w:tc>
        <w:tc>
          <w:tcPr>
            <w:tcW w:w="7401" w:type="dxa"/>
            <w:shd w:val="clear" w:color="auto" w:fill="auto"/>
            <w:vAlign w:val="center"/>
          </w:tcPr>
          <w:p w:rsidR="009E59E0" w:rsidRPr="000B521F" w:rsidRDefault="009E59E0" w:rsidP="0059011D">
            <w:pPr>
              <w:pStyle w:val="DAVA"/>
              <w:spacing w:before="60" w:after="60"/>
              <w:rPr>
                <w:rFonts w:ascii="Times New Roman" w:hAnsi="Times New Roman"/>
                <w:sz w:val="20"/>
                <w:szCs w:val="20"/>
              </w:rPr>
            </w:pPr>
            <w:r w:rsidRPr="000B521F">
              <w:rPr>
                <w:rFonts w:ascii="Times New Roman" w:hAnsi="Times New Roman"/>
                <w:sz w:val="20"/>
                <w:szCs w:val="20"/>
              </w:rPr>
              <w:t xml:space="preserve">Oblast veřejné správy se neváže přímo na kvantifikované cíle Strategie Evropa 2020, vazby lze spatřovat průřezově napříč cíli, stěžejními iniciativami a integrovanými hlavními směry. (v rámci iniciativ tam, kde je úzká propojenost veřejné správy na vzdělávání, ICT, institucionální otázky, např. „Mládež v pohybu“, Digitální program pro Evropu“). </w:t>
            </w:r>
          </w:p>
          <w:p w:rsidR="009E59E0" w:rsidRPr="000B521F" w:rsidRDefault="009E59E0" w:rsidP="0059011D">
            <w:pPr>
              <w:pStyle w:val="DAVA"/>
              <w:spacing w:before="60" w:after="60"/>
              <w:rPr>
                <w:rFonts w:ascii="Times New Roman" w:hAnsi="Times New Roman"/>
                <w:sz w:val="20"/>
                <w:szCs w:val="20"/>
              </w:rPr>
            </w:pPr>
            <w:r w:rsidRPr="000B521F">
              <w:rPr>
                <w:rFonts w:ascii="Times New Roman" w:hAnsi="Times New Roman"/>
                <w:sz w:val="20"/>
                <w:szCs w:val="20"/>
              </w:rPr>
              <w:t>U IHS je nejsilnější</w:t>
            </w:r>
            <w:r w:rsidR="00733C6E" w:rsidRPr="000B521F">
              <w:rPr>
                <w:rFonts w:ascii="Times New Roman" w:hAnsi="Times New Roman"/>
                <w:sz w:val="20"/>
                <w:szCs w:val="20"/>
              </w:rPr>
              <w:t xml:space="preserve"> </w:t>
            </w:r>
            <w:r w:rsidRPr="000B521F">
              <w:rPr>
                <w:rFonts w:ascii="Times New Roman" w:hAnsi="Times New Roman"/>
                <w:sz w:val="20"/>
                <w:szCs w:val="20"/>
              </w:rPr>
              <w:t>vazba na 4 „Optimalizovat podporu výzkumu, vývoje a inovací, posilovat znalostní trojúhelník a uvolnit potenciál digitální ekonomiky“ a 6 „Zlepšit obchodní a spotřebitelské prostředí, modernizovat a rozvinout průmyslovou základnu za účelem dosažení plné funkčnosti vnitřního trhu“</w:t>
            </w:r>
            <w:r w:rsidR="00833CB5">
              <w:rPr>
                <w:rFonts w:ascii="Times New Roman" w:hAnsi="Times New Roman"/>
                <w:sz w:val="20"/>
                <w:szCs w:val="20"/>
              </w:rPr>
              <w:t>.</w:t>
            </w:r>
            <w:r w:rsidRPr="000B521F">
              <w:rPr>
                <w:rFonts w:ascii="Times New Roman" w:hAnsi="Times New Roman"/>
                <w:sz w:val="20"/>
                <w:szCs w:val="20"/>
              </w:rPr>
              <w:t xml:space="preserve"> </w:t>
            </w:r>
          </w:p>
        </w:tc>
      </w:tr>
      <w:tr w:rsidR="009E59E0" w:rsidRPr="000B521F" w:rsidTr="00761093">
        <w:trPr>
          <w:trHeight w:val="407"/>
        </w:trPr>
        <w:tc>
          <w:tcPr>
            <w:tcW w:w="1701" w:type="dxa"/>
            <w:shd w:val="clear" w:color="auto" w:fill="8DB3E2" w:themeFill="text2" w:themeFillTint="66"/>
            <w:vAlign w:val="center"/>
          </w:tcPr>
          <w:p w:rsidR="009E59E0" w:rsidRPr="000B521F" w:rsidRDefault="009E59E0"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Společný strategický rámec</w:t>
            </w:r>
          </w:p>
        </w:tc>
        <w:tc>
          <w:tcPr>
            <w:tcW w:w="7401" w:type="dxa"/>
            <w:shd w:val="clear" w:color="auto" w:fill="auto"/>
            <w:vAlign w:val="center"/>
          </w:tcPr>
          <w:p w:rsidR="009E59E0" w:rsidRPr="000B521F" w:rsidRDefault="009E59E0" w:rsidP="0059011D">
            <w:pPr>
              <w:pStyle w:val="DAVA"/>
              <w:spacing w:before="60" w:after="60"/>
              <w:rPr>
                <w:rFonts w:ascii="Times New Roman" w:hAnsi="Times New Roman"/>
                <w:sz w:val="20"/>
                <w:szCs w:val="20"/>
              </w:rPr>
            </w:pPr>
            <w:r w:rsidRPr="000B521F">
              <w:rPr>
                <w:rFonts w:ascii="Times New Roman" w:hAnsi="Times New Roman"/>
                <w:sz w:val="20"/>
                <w:szCs w:val="20"/>
              </w:rPr>
              <w:t>není uvedeno</w:t>
            </w:r>
          </w:p>
        </w:tc>
      </w:tr>
      <w:tr w:rsidR="009E59E0" w:rsidRPr="000B521F" w:rsidTr="00761093">
        <w:trPr>
          <w:trHeight w:val="407"/>
        </w:trPr>
        <w:tc>
          <w:tcPr>
            <w:tcW w:w="1701" w:type="dxa"/>
            <w:shd w:val="clear" w:color="auto" w:fill="8DB3E2" w:themeFill="text2" w:themeFillTint="66"/>
            <w:vAlign w:val="center"/>
          </w:tcPr>
          <w:p w:rsidR="009E59E0" w:rsidRPr="000B521F" w:rsidRDefault="009E59E0"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Tematické cíle</w:t>
            </w:r>
          </w:p>
        </w:tc>
        <w:tc>
          <w:tcPr>
            <w:tcW w:w="7401" w:type="dxa"/>
            <w:shd w:val="clear" w:color="auto" w:fill="auto"/>
            <w:vAlign w:val="center"/>
          </w:tcPr>
          <w:p w:rsidR="009E59E0" w:rsidRDefault="009E59E0" w:rsidP="0059011D">
            <w:pPr>
              <w:pStyle w:val="DAVA"/>
              <w:spacing w:before="60" w:after="60"/>
              <w:rPr>
                <w:rFonts w:ascii="Times New Roman" w:hAnsi="Times New Roman"/>
                <w:sz w:val="20"/>
                <w:szCs w:val="20"/>
              </w:rPr>
            </w:pPr>
            <w:r w:rsidRPr="000B521F">
              <w:rPr>
                <w:rFonts w:ascii="Times New Roman" w:hAnsi="Times New Roman"/>
                <w:sz w:val="20"/>
                <w:szCs w:val="20"/>
              </w:rPr>
              <w:t>2. Zlepšení přístupu k informačním a komunikačním technologiím (ICT), jejich využití a kvality</w:t>
            </w:r>
            <w:r w:rsidR="00833CB5">
              <w:rPr>
                <w:rFonts w:ascii="Times New Roman" w:hAnsi="Times New Roman"/>
                <w:sz w:val="20"/>
                <w:szCs w:val="20"/>
              </w:rPr>
              <w:t>.</w:t>
            </w:r>
          </w:p>
          <w:p w:rsidR="009E59E0" w:rsidRPr="000B521F" w:rsidRDefault="008B701F" w:rsidP="0059011D">
            <w:pPr>
              <w:pStyle w:val="DAVA"/>
              <w:spacing w:before="60" w:after="60"/>
              <w:rPr>
                <w:rFonts w:ascii="Times New Roman" w:hAnsi="Times New Roman"/>
                <w:sz w:val="20"/>
                <w:szCs w:val="20"/>
              </w:rPr>
            </w:pPr>
            <w:r>
              <w:rPr>
                <w:rFonts w:ascii="Times New Roman" w:hAnsi="Times New Roman"/>
                <w:sz w:val="20"/>
                <w:szCs w:val="20"/>
              </w:rPr>
              <w:t xml:space="preserve">5. </w:t>
            </w:r>
            <w:r w:rsidRPr="008B701F">
              <w:rPr>
                <w:rFonts w:ascii="Times New Roman" w:hAnsi="Times New Roman"/>
                <w:sz w:val="20"/>
                <w:szCs w:val="20"/>
              </w:rPr>
              <w:t>Podpora přizpůsobení se změně klimatu</w:t>
            </w:r>
            <w:r>
              <w:rPr>
                <w:rFonts w:ascii="Times New Roman" w:hAnsi="Times New Roman"/>
                <w:sz w:val="20"/>
                <w:szCs w:val="20"/>
              </w:rPr>
              <w:t>, předcházení rizikům a řízení rizik</w:t>
            </w:r>
            <w:r w:rsidR="009E59E0" w:rsidRPr="000B521F">
              <w:rPr>
                <w:rFonts w:ascii="Times New Roman" w:hAnsi="Times New Roman"/>
                <w:sz w:val="20"/>
                <w:szCs w:val="20"/>
              </w:rPr>
              <w:t>11. Posilování institucionální kapacity a účinné veřejné správy</w:t>
            </w:r>
            <w:r w:rsidR="00833CB5">
              <w:rPr>
                <w:rFonts w:ascii="Times New Roman" w:hAnsi="Times New Roman"/>
                <w:sz w:val="20"/>
                <w:szCs w:val="20"/>
              </w:rPr>
              <w:t>.</w:t>
            </w:r>
          </w:p>
        </w:tc>
      </w:tr>
      <w:tr w:rsidR="009E59E0" w:rsidRPr="000B521F" w:rsidTr="00761093">
        <w:tc>
          <w:tcPr>
            <w:tcW w:w="1701" w:type="dxa"/>
            <w:shd w:val="clear" w:color="auto" w:fill="8DB3E2" w:themeFill="text2" w:themeFillTint="66"/>
            <w:vAlign w:val="center"/>
          </w:tcPr>
          <w:p w:rsidR="009E59E0" w:rsidRPr="000B521F" w:rsidRDefault="009E59E0"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Specifická doporučení Rady</w:t>
            </w:r>
          </w:p>
        </w:tc>
        <w:tc>
          <w:tcPr>
            <w:tcW w:w="7401" w:type="dxa"/>
            <w:shd w:val="clear" w:color="auto" w:fill="auto"/>
            <w:vAlign w:val="center"/>
          </w:tcPr>
          <w:p w:rsidR="009E59E0" w:rsidRPr="000B521F" w:rsidRDefault="009E59E0" w:rsidP="0059011D">
            <w:pPr>
              <w:pStyle w:val="DAVA"/>
              <w:spacing w:before="60" w:after="60"/>
              <w:rPr>
                <w:rFonts w:ascii="Times New Roman" w:hAnsi="Times New Roman"/>
                <w:sz w:val="20"/>
                <w:szCs w:val="20"/>
              </w:rPr>
            </w:pPr>
            <w:r w:rsidRPr="000B521F">
              <w:rPr>
                <w:rFonts w:ascii="Times New Roman" w:hAnsi="Times New Roman"/>
                <w:sz w:val="20"/>
                <w:szCs w:val="20"/>
              </w:rPr>
              <w:t xml:space="preserve">Částečně vazba na 5. Zajistit provádění protikorupční strategie na období 2013–2014. Přijmout služební zákon, který by měl zajistit stabilní, výkonné a profesionální služby státní správy. Zlepšit správu prostředků z fondů EU s ohledem na programové období </w:t>
            </w:r>
            <w:r w:rsidRPr="000B521F">
              <w:rPr>
                <w:rFonts w:ascii="Times New Roman" w:hAnsi="Times New Roman"/>
                <w:sz w:val="20"/>
                <w:szCs w:val="20"/>
              </w:rPr>
              <w:lastRenderedPageBreak/>
              <w:t>2014–2020. Posílit kapacitu provádění veřejných zakázek na místní a regionální úrovni.</w:t>
            </w:r>
          </w:p>
          <w:p w:rsidR="009E59E0" w:rsidRPr="000B521F" w:rsidRDefault="009E59E0" w:rsidP="0059011D">
            <w:pPr>
              <w:pStyle w:val="DAVA"/>
              <w:spacing w:before="60" w:after="60"/>
              <w:rPr>
                <w:rFonts w:ascii="Times New Roman" w:hAnsi="Times New Roman"/>
                <w:sz w:val="20"/>
                <w:szCs w:val="20"/>
              </w:rPr>
            </w:pPr>
            <w:r w:rsidRPr="000B521F">
              <w:rPr>
                <w:rFonts w:ascii="Times New Roman" w:hAnsi="Times New Roman"/>
                <w:sz w:val="20"/>
                <w:szCs w:val="20"/>
              </w:rPr>
              <w:t>ESIF</w:t>
            </w:r>
            <w:r w:rsidR="008D25FA">
              <w:rPr>
                <w:rFonts w:ascii="Times New Roman" w:hAnsi="Times New Roman"/>
                <w:sz w:val="20"/>
                <w:szCs w:val="20"/>
              </w:rPr>
              <w:t>.</w:t>
            </w:r>
          </w:p>
        </w:tc>
      </w:tr>
    </w:tbl>
    <w:p w:rsidR="009E59E0" w:rsidRPr="000B521F" w:rsidRDefault="009E59E0" w:rsidP="0059011D">
      <w:pPr>
        <w:pStyle w:val="Tabulka"/>
        <w:spacing w:before="120" w:after="60"/>
        <w:rPr>
          <w:szCs w:val="20"/>
        </w:rPr>
      </w:pPr>
      <w:r w:rsidRPr="000B521F">
        <w:rPr>
          <w:szCs w:val="20"/>
        </w:rPr>
        <w:lastRenderedPageBreak/>
        <w:t>Vazby na dokumenty ČR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7477"/>
      </w:tblGrid>
      <w:tr w:rsidR="009E59E0" w:rsidRPr="000B521F" w:rsidTr="00761093">
        <w:trPr>
          <w:trHeight w:val="395"/>
        </w:trPr>
        <w:tc>
          <w:tcPr>
            <w:tcW w:w="1701" w:type="dxa"/>
            <w:shd w:val="clear" w:color="auto" w:fill="8DB3E2" w:themeFill="text2" w:themeFillTint="66"/>
            <w:vAlign w:val="center"/>
          </w:tcPr>
          <w:p w:rsidR="009E59E0" w:rsidRPr="000B521F" w:rsidRDefault="009E59E0"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Národní program reforem</w:t>
            </w:r>
          </w:p>
        </w:tc>
        <w:tc>
          <w:tcPr>
            <w:tcW w:w="7477" w:type="dxa"/>
            <w:shd w:val="clear" w:color="auto" w:fill="auto"/>
            <w:vAlign w:val="center"/>
          </w:tcPr>
          <w:p w:rsidR="009E59E0" w:rsidRPr="000B521F" w:rsidRDefault="009E59E0" w:rsidP="0059011D">
            <w:pPr>
              <w:pStyle w:val="DAVA"/>
              <w:spacing w:before="60" w:after="60"/>
              <w:rPr>
                <w:rFonts w:ascii="Times New Roman" w:hAnsi="Times New Roman"/>
                <w:sz w:val="20"/>
                <w:szCs w:val="20"/>
              </w:rPr>
            </w:pPr>
            <w:r w:rsidRPr="000B521F">
              <w:rPr>
                <w:rFonts w:ascii="Times New Roman" w:hAnsi="Times New Roman"/>
                <w:sz w:val="20"/>
                <w:szCs w:val="20"/>
              </w:rPr>
              <w:t>3.1.3Efektivní a dostupná veřejná správa, nakládání s majetkem, vymahatelnost práva, stabilní a transparentní legislativní prostředí</w:t>
            </w:r>
            <w:r w:rsidR="008D25FA">
              <w:rPr>
                <w:rFonts w:ascii="Times New Roman" w:hAnsi="Times New Roman"/>
                <w:sz w:val="20"/>
                <w:szCs w:val="20"/>
              </w:rPr>
              <w:t>.</w:t>
            </w:r>
          </w:p>
          <w:p w:rsidR="009E59E0" w:rsidRPr="000B521F" w:rsidRDefault="009E59E0" w:rsidP="0059011D">
            <w:pPr>
              <w:pStyle w:val="DAVA"/>
              <w:spacing w:before="60" w:after="60"/>
              <w:rPr>
                <w:rFonts w:ascii="Times New Roman" w:hAnsi="Times New Roman"/>
                <w:sz w:val="20"/>
                <w:szCs w:val="20"/>
              </w:rPr>
            </w:pPr>
            <w:r w:rsidRPr="000B521F">
              <w:rPr>
                <w:rFonts w:ascii="Times New Roman" w:hAnsi="Times New Roman"/>
                <w:sz w:val="20"/>
                <w:szCs w:val="20"/>
              </w:rPr>
              <w:t>3.2.1 Zlepšování podnikatelského prostředí; 3.2.1.1 Snižování administrativní a regulační zátěže podnikatelů</w:t>
            </w:r>
            <w:r w:rsidR="008D25FA">
              <w:rPr>
                <w:rFonts w:ascii="Times New Roman" w:hAnsi="Times New Roman"/>
                <w:sz w:val="20"/>
                <w:szCs w:val="20"/>
              </w:rPr>
              <w:t>.</w:t>
            </w:r>
          </w:p>
          <w:p w:rsidR="009E59E0" w:rsidRPr="000B521F" w:rsidRDefault="009E59E0" w:rsidP="0059011D">
            <w:pPr>
              <w:pStyle w:val="DAVA"/>
              <w:spacing w:before="60" w:after="60"/>
              <w:rPr>
                <w:rFonts w:ascii="Times New Roman" w:hAnsi="Times New Roman"/>
                <w:sz w:val="20"/>
                <w:szCs w:val="20"/>
              </w:rPr>
            </w:pPr>
            <w:r w:rsidRPr="000B521F">
              <w:rPr>
                <w:rFonts w:ascii="Times New Roman" w:hAnsi="Times New Roman"/>
                <w:sz w:val="20"/>
                <w:szCs w:val="20"/>
              </w:rPr>
              <w:t>3.2.5 Rozvoj digitální infrastruktury a Strategie Digitální Česko</w:t>
            </w:r>
            <w:r w:rsidR="008D25FA">
              <w:rPr>
                <w:rFonts w:ascii="Times New Roman" w:hAnsi="Times New Roman"/>
                <w:sz w:val="20"/>
                <w:szCs w:val="20"/>
              </w:rPr>
              <w:t>.</w:t>
            </w:r>
            <w:r w:rsidRPr="000B521F">
              <w:rPr>
                <w:rFonts w:ascii="Times New Roman" w:hAnsi="Times New Roman"/>
                <w:sz w:val="20"/>
                <w:szCs w:val="20"/>
              </w:rPr>
              <w:t xml:space="preserve"> </w:t>
            </w:r>
          </w:p>
        </w:tc>
      </w:tr>
      <w:tr w:rsidR="009E59E0" w:rsidRPr="000B521F" w:rsidTr="00761093">
        <w:trPr>
          <w:trHeight w:val="407"/>
        </w:trPr>
        <w:tc>
          <w:tcPr>
            <w:tcW w:w="1701" w:type="dxa"/>
            <w:shd w:val="clear" w:color="auto" w:fill="8DB3E2" w:themeFill="text2" w:themeFillTint="66"/>
            <w:vAlign w:val="center"/>
          </w:tcPr>
          <w:p w:rsidR="009E59E0" w:rsidRPr="000B521F" w:rsidRDefault="009E59E0"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Strategie mezinárodní konkurenceschopnosti ČR</w:t>
            </w:r>
          </w:p>
        </w:tc>
        <w:tc>
          <w:tcPr>
            <w:tcW w:w="7477" w:type="dxa"/>
            <w:shd w:val="clear" w:color="auto" w:fill="auto"/>
            <w:vAlign w:val="center"/>
          </w:tcPr>
          <w:p w:rsidR="009E59E0" w:rsidRPr="000B521F" w:rsidRDefault="009E59E0" w:rsidP="0059011D">
            <w:pPr>
              <w:pStyle w:val="DAVA"/>
              <w:spacing w:before="60" w:after="60"/>
              <w:rPr>
                <w:rFonts w:ascii="Times New Roman" w:hAnsi="Times New Roman"/>
                <w:sz w:val="20"/>
                <w:szCs w:val="20"/>
              </w:rPr>
            </w:pPr>
            <w:r w:rsidRPr="000B521F">
              <w:rPr>
                <w:rFonts w:ascii="Times New Roman" w:hAnsi="Times New Roman"/>
                <w:sz w:val="20"/>
                <w:szCs w:val="20"/>
              </w:rPr>
              <w:t>1.1 Efektivní veřejná správa – úprava struktury veřejných institucí, změna postavení a odměňování zaměstnanců veřejné správy.</w:t>
            </w:r>
          </w:p>
          <w:p w:rsidR="009E59E0" w:rsidRPr="000B521F" w:rsidRDefault="009E59E0" w:rsidP="0059011D">
            <w:pPr>
              <w:pStyle w:val="DAVA"/>
              <w:spacing w:before="60" w:after="60"/>
              <w:rPr>
                <w:rFonts w:ascii="Times New Roman" w:hAnsi="Times New Roman"/>
                <w:sz w:val="20"/>
                <w:szCs w:val="20"/>
              </w:rPr>
            </w:pPr>
            <w:r w:rsidRPr="000B521F">
              <w:rPr>
                <w:rFonts w:ascii="Times New Roman" w:hAnsi="Times New Roman"/>
                <w:sz w:val="20"/>
                <w:szCs w:val="20"/>
              </w:rPr>
              <w:t>1. 2 Zefektivnění nakládání s veřejným majetkem a prostředky</w:t>
            </w:r>
            <w:r w:rsidR="008D25FA">
              <w:rPr>
                <w:rFonts w:ascii="Times New Roman" w:hAnsi="Times New Roman"/>
                <w:sz w:val="20"/>
                <w:szCs w:val="20"/>
              </w:rPr>
              <w:t>.</w:t>
            </w:r>
          </w:p>
          <w:p w:rsidR="009E59E0" w:rsidRPr="000B521F" w:rsidRDefault="009E59E0" w:rsidP="0059011D">
            <w:pPr>
              <w:pStyle w:val="DAVA"/>
              <w:spacing w:before="60" w:after="60"/>
              <w:rPr>
                <w:rFonts w:ascii="Times New Roman" w:hAnsi="Times New Roman"/>
                <w:sz w:val="20"/>
                <w:szCs w:val="20"/>
              </w:rPr>
            </w:pPr>
            <w:r w:rsidRPr="000B521F">
              <w:rPr>
                <w:rFonts w:ascii="Times New Roman" w:hAnsi="Times New Roman"/>
                <w:sz w:val="20"/>
                <w:szCs w:val="20"/>
              </w:rPr>
              <w:t>1.3 Zjednodušení přístupu ke službám veřejné správy – informační systémy veřejné správy, jednotné inkasní místo</w:t>
            </w:r>
            <w:r w:rsidR="008D25FA">
              <w:rPr>
                <w:rFonts w:ascii="Times New Roman" w:hAnsi="Times New Roman"/>
                <w:sz w:val="20"/>
                <w:szCs w:val="20"/>
              </w:rPr>
              <w:t>.</w:t>
            </w:r>
          </w:p>
          <w:p w:rsidR="009E59E0" w:rsidRPr="000B521F" w:rsidRDefault="009E59E0" w:rsidP="0059011D">
            <w:pPr>
              <w:pStyle w:val="DAVA"/>
              <w:spacing w:before="60" w:after="60"/>
              <w:rPr>
                <w:rFonts w:ascii="Times New Roman" w:hAnsi="Times New Roman"/>
                <w:sz w:val="20"/>
                <w:szCs w:val="20"/>
              </w:rPr>
            </w:pPr>
            <w:r w:rsidRPr="000B521F">
              <w:rPr>
                <w:rFonts w:ascii="Times New Roman" w:hAnsi="Times New Roman"/>
                <w:sz w:val="20"/>
                <w:szCs w:val="20"/>
              </w:rPr>
              <w:t>1.4 Vyšší kvalita a dostupnost regulace – elektronizace legislativního procesu a elektronická publikace znění právních předpisů</w:t>
            </w:r>
            <w:r w:rsidR="008D25FA">
              <w:rPr>
                <w:rFonts w:ascii="Times New Roman" w:hAnsi="Times New Roman"/>
                <w:sz w:val="20"/>
                <w:szCs w:val="20"/>
              </w:rPr>
              <w:t>.</w:t>
            </w:r>
          </w:p>
          <w:p w:rsidR="009E59E0" w:rsidRPr="000B521F" w:rsidRDefault="009E59E0" w:rsidP="0059011D">
            <w:pPr>
              <w:pStyle w:val="DAVA"/>
              <w:spacing w:before="60" w:after="60"/>
              <w:rPr>
                <w:rFonts w:ascii="Times New Roman" w:hAnsi="Times New Roman"/>
                <w:sz w:val="20"/>
                <w:szCs w:val="20"/>
              </w:rPr>
            </w:pPr>
            <w:r w:rsidRPr="000B521F">
              <w:rPr>
                <w:rFonts w:ascii="Times New Roman" w:hAnsi="Times New Roman"/>
                <w:sz w:val="20"/>
                <w:szCs w:val="20"/>
              </w:rPr>
              <w:t>1.5 Lepší vymahatelnost práva – elektronizace justice</w:t>
            </w:r>
            <w:r w:rsidR="008D25FA">
              <w:rPr>
                <w:rFonts w:ascii="Times New Roman" w:hAnsi="Times New Roman"/>
                <w:sz w:val="20"/>
                <w:szCs w:val="20"/>
              </w:rPr>
              <w:t>.</w:t>
            </w:r>
          </w:p>
        </w:tc>
      </w:tr>
      <w:tr w:rsidR="009E59E0" w:rsidRPr="000B521F" w:rsidTr="00761093">
        <w:tc>
          <w:tcPr>
            <w:tcW w:w="1701" w:type="dxa"/>
            <w:shd w:val="clear" w:color="auto" w:fill="8DB3E2" w:themeFill="text2" w:themeFillTint="66"/>
            <w:vAlign w:val="center"/>
          </w:tcPr>
          <w:p w:rsidR="009E59E0" w:rsidRPr="000B521F" w:rsidRDefault="009E59E0" w:rsidP="00833CB5">
            <w:pPr>
              <w:pStyle w:val="DAVA"/>
              <w:spacing w:before="60" w:after="60"/>
              <w:jc w:val="left"/>
              <w:rPr>
                <w:rFonts w:ascii="Times New Roman" w:hAnsi="Times New Roman"/>
                <w:b/>
                <w:sz w:val="20"/>
                <w:szCs w:val="20"/>
              </w:rPr>
            </w:pPr>
            <w:r w:rsidRPr="000B521F">
              <w:rPr>
                <w:rFonts w:ascii="Times New Roman" w:hAnsi="Times New Roman"/>
                <w:b/>
                <w:sz w:val="20"/>
                <w:szCs w:val="20"/>
              </w:rPr>
              <w:t>Strategie regionálního rozvoje ČR 2014–2020</w:t>
            </w:r>
          </w:p>
        </w:tc>
        <w:tc>
          <w:tcPr>
            <w:tcW w:w="7477" w:type="dxa"/>
            <w:shd w:val="clear" w:color="auto" w:fill="auto"/>
            <w:vAlign w:val="center"/>
          </w:tcPr>
          <w:p w:rsidR="009E59E0" w:rsidRPr="000B521F" w:rsidRDefault="009E59E0" w:rsidP="0059011D">
            <w:pPr>
              <w:pStyle w:val="DAVA"/>
              <w:spacing w:before="60" w:after="60"/>
              <w:rPr>
                <w:rFonts w:ascii="Times New Roman" w:hAnsi="Times New Roman"/>
                <w:sz w:val="20"/>
                <w:szCs w:val="20"/>
              </w:rPr>
            </w:pPr>
            <w:r w:rsidRPr="000B521F">
              <w:rPr>
                <w:rFonts w:ascii="Times New Roman" w:hAnsi="Times New Roman"/>
                <w:sz w:val="20"/>
                <w:szCs w:val="20"/>
              </w:rPr>
              <w:t>Priorita 5 Oživení periferních území (opatření 5.3 Zajištění základních služeb a obslužnosti).</w:t>
            </w:r>
          </w:p>
          <w:p w:rsidR="009E59E0" w:rsidRPr="000B521F" w:rsidRDefault="009E59E0" w:rsidP="0059011D">
            <w:pPr>
              <w:pStyle w:val="DAVA"/>
              <w:spacing w:before="60" w:after="60"/>
              <w:rPr>
                <w:rFonts w:ascii="Times New Roman" w:hAnsi="Times New Roman"/>
                <w:sz w:val="20"/>
                <w:szCs w:val="20"/>
              </w:rPr>
            </w:pPr>
            <w:r w:rsidRPr="000B521F">
              <w:rPr>
                <w:rFonts w:ascii="Times New Roman" w:hAnsi="Times New Roman"/>
                <w:sz w:val="20"/>
                <w:szCs w:val="20"/>
              </w:rPr>
              <w:t>Priorita 8 Zkvalitnění institucionálního rámce pro rozvoj regionů (opatření 8.1 Zkvalitňování administrativních kapacit veřejné správy; 8.2 Zkvalitnění systémového rámce podpory regionálního a místního rozvoje; 8.3 Informační a komunikační podpora fungování územní veřejné správy).</w:t>
            </w:r>
          </w:p>
        </w:tc>
      </w:tr>
      <w:tr w:rsidR="009E59E0" w:rsidRPr="000B521F" w:rsidTr="00761093">
        <w:tc>
          <w:tcPr>
            <w:tcW w:w="1701" w:type="dxa"/>
            <w:shd w:val="clear" w:color="auto" w:fill="8DB3E2" w:themeFill="text2" w:themeFillTint="66"/>
            <w:vAlign w:val="center"/>
          </w:tcPr>
          <w:p w:rsidR="009E59E0" w:rsidRPr="000B521F" w:rsidRDefault="009E59E0"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Koncepce ochrany obyvatelstva do roku 2020 s výhledem do roku 2030</w:t>
            </w:r>
          </w:p>
        </w:tc>
        <w:tc>
          <w:tcPr>
            <w:tcW w:w="7477" w:type="dxa"/>
            <w:shd w:val="clear" w:color="auto" w:fill="auto"/>
            <w:vAlign w:val="center"/>
          </w:tcPr>
          <w:p w:rsidR="000C2B6D" w:rsidRPr="000B521F" w:rsidRDefault="000C2B6D" w:rsidP="0059011D">
            <w:pPr>
              <w:pStyle w:val="DAVA"/>
              <w:rPr>
                <w:rFonts w:ascii="Times New Roman" w:hAnsi="Times New Roman"/>
                <w:sz w:val="20"/>
                <w:szCs w:val="20"/>
              </w:rPr>
            </w:pPr>
            <w:r w:rsidRPr="000B521F">
              <w:rPr>
                <w:rFonts w:ascii="Times New Roman" w:hAnsi="Times New Roman"/>
                <w:sz w:val="20"/>
                <w:szCs w:val="20"/>
              </w:rPr>
              <w:t>Zpracování analýzy hrozeb pro Českou republiku a její závěry promítnout do metodických a strategických materiálů v oblasti bezpečnosti státu.</w:t>
            </w:r>
          </w:p>
          <w:p w:rsidR="009E59E0" w:rsidRPr="000B521F" w:rsidRDefault="000C2B6D" w:rsidP="0059011D">
            <w:pPr>
              <w:pStyle w:val="DAVA"/>
              <w:spacing w:before="60" w:after="60"/>
              <w:rPr>
                <w:rFonts w:ascii="Times New Roman" w:hAnsi="Times New Roman"/>
                <w:sz w:val="20"/>
                <w:szCs w:val="20"/>
              </w:rPr>
            </w:pPr>
            <w:r w:rsidRPr="000B521F">
              <w:rPr>
                <w:rFonts w:ascii="Times New Roman" w:hAnsi="Times New Roman"/>
                <w:sz w:val="20"/>
                <w:szCs w:val="20"/>
              </w:rPr>
              <w:t>Zajištění provozu a postupné modernizace nově vybudovaného Národního systému příjmu tísňového volání. S použitím nových technologií integrovat nové povinné služby v systému, zejména se soustředit na podporu komunikace s osobami se specifickým zdravotním postižením</w:t>
            </w:r>
            <w:r w:rsidR="00833CB5">
              <w:rPr>
                <w:rFonts w:ascii="Times New Roman" w:hAnsi="Times New Roman"/>
                <w:sz w:val="20"/>
                <w:szCs w:val="20"/>
              </w:rPr>
              <w:t>.</w:t>
            </w:r>
          </w:p>
        </w:tc>
      </w:tr>
      <w:tr w:rsidR="009E59E0" w:rsidRPr="000B521F" w:rsidTr="00761093">
        <w:tc>
          <w:tcPr>
            <w:tcW w:w="1701" w:type="dxa"/>
            <w:shd w:val="clear" w:color="auto" w:fill="8DB3E2" w:themeFill="text2" w:themeFillTint="66"/>
            <w:vAlign w:val="center"/>
          </w:tcPr>
          <w:p w:rsidR="009E59E0" w:rsidRPr="000B521F" w:rsidRDefault="009E59E0"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 xml:space="preserve">Strategický rámec rozvoje veřejné správy </w:t>
            </w:r>
            <w:r w:rsidR="00F1690C" w:rsidRPr="000B521F">
              <w:rPr>
                <w:rFonts w:ascii="Times New Roman" w:hAnsi="Times New Roman"/>
                <w:b/>
                <w:sz w:val="20"/>
                <w:szCs w:val="20"/>
              </w:rPr>
              <w:t>České republiky</w:t>
            </w:r>
            <w:r w:rsidR="000B521F">
              <w:rPr>
                <w:rFonts w:ascii="Times New Roman" w:hAnsi="Times New Roman"/>
                <w:b/>
                <w:sz w:val="20"/>
                <w:szCs w:val="20"/>
              </w:rPr>
              <w:t xml:space="preserve"> </w:t>
            </w:r>
            <w:r w:rsidRPr="000B521F">
              <w:rPr>
                <w:rFonts w:ascii="Times New Roman" w:hAnsi="Times New Roman"/>
                <w:b/>
                <w:sz w:val="20"/>
                <w:szCs w:val="20"/>
              </w:rPr>
              <w:t>2014+</w:t>
            </w:r>
          </w:p>
        </w:tc>
        <w:tc>
          <w:tcPr>
            <w:tcW w:w="7477" w:type="dxa"/>
            <w:shd w:val="clear" w:color="auto" w:fill="auto"/>
            <w:vAlign w:val="center"/>
          </w:tcPr>
          <w:p w:rsidR="009E59E0" w:rsidRPr="000B521F" w:rsidRDefault="009E59E0" w:rsidP="0059011D">
            <w:pPr>
              <w:pStyle w:val="DAVA"/>
              <w:spacing w:before="60" w:after="60"/>
              <w:rPr>
                <w:rFonts w:ascii="Times New Roman" w:hAnsi="Times New Roman"/>
                <w:sz w:val="20"/>
                <w:szCs w:val="20"/>
              </w:rPr>
            </w:pPr>
            <w:r w:rsidRPr="000B521F">
              <w:rPr>
                <w:rFonts w:ascii="Times New Roman" w:hAnsi="Times New Roman"/>
                <w:sz w:val="20"/>
                <w:szCs w:val="20"/>
              </w:rPr>
              <w:t>Dokument v přípravě, očekává se předložení vládě v </w:t>
            </w:r>
            <w:r w:rsidR="00F1690C" w:rsidRPr="000B521F">
              <w:rPr>
                <w:rFonts w:ascii="Times New Roman" w:hAnsi="Times New Roman"/>
                <w:sz w:val="20"/>
                <w:szCs w:val="20"/>
              </w:rPr>
              <w:t xml:space="preserve">únoru </w:t>
            </w:r>
            <w:r w:rsidRPr="000B521F">
              <w:rPr>
                <w:rFonts w:ascii="Times New Roman" w:hAnsi="Times New Roman"/>
                <w:sz w:val="20"/>
                <w:szCs w:val="20"/>
              </w:rPr>
              <w:t>2014, dále viz tabulka PP</w:t>
            </w:r>
            <w:r w:rsidR="008D25FA">
              <w:rPr>
                <w:rFonts w:ascii="Times New Roman" w:hAnsi="Times New Roman"/>
                <w:sz w:val="20"/>
                <w:szCs w:val="20"/>
              </w:rPr>
              <w:t>.</w:t>
            </w:r>
          </w:p>
        </w:tc>
      </w:tr>
      <w:tr w:rsidR="009E59E0" w:rsidRPr="000B521F" w:rsidTr="00761093">
        <w:tc>
          <w:tcPr>
            <w:tcW w:w="1701" w:type="dxa"/>
            <w:shd w:val="clear" w:color="auto" w:fill="8DB3E2" w:themeFill="text2" w:themeFillTint="66"/>
            <w:vAlign w:val="center"/>
          </w:tcPr>
          <w:p w:rsidR="009E59E0" w:rsidRPr="000B521F" w:rsidRDefault="009E59E0"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Strategický rámec rozvoje</w:t>
            </w:r>
            <w:r w:rsidR="00EF0413" w:rsidRPr="000B521F">
              <w:rPr>
                <w:rFonts w:ascii="Times New Roman" w:hAnsi="Times New Roman"/>
                <w:b/>
                <w:sz w:val="20"/>
                <w:szCs w:val="20"/>
              </w:rPr>
              <w:t xml:space="preserve"> </w:t>
            </w:r>
            <w:r w:rsidRPr="000B521F">
              <w:rPr>
                <w:rFonts w:ascii="Times New Roman" w:hAnsi="Times New Roman"/>
                <w:b/>
                <w:sz w:val="20"/>
                <w:szCs w:val="20"/>
              </w:rPr>
              <w:t>eGovernmentu 2014+</w:t>
            </w:r>
          </w:p>
        </w:tc>
        <w:tc>
          <w:tcPr>
            <w:tcW w:w="7477" w:type="dxa"/>
            <w:shd w:val="clear" w:color="auto" w:fill="auto"/>
            <w:vAlign w:val="center"/>
          </w:tcPr>
          <w:p w:rsidR="009E59E0" w:rsidRPr="000B521F" w:rsidRDefault="009E59E0" w:rsidP="0059011D">
            <w:pPr>
              <w:pStyle w:val="DAVA"/>
              <w:spacing w:before="60" w:after="60"/>
              <w:rPr>
                <w:rFonts w:ascii="Times New Roman" w:hAnsi="Times New Roman"/>
                <w:sz w:val="20"/>
                <w:szCs w:val="20"/>
              </w:rPr>
            </w:pPr>
            <w:r w:rsidRPr="000B521F">
              <w:rPr>
                <w:rFonts w:ascii="Times New Roman" w:hAnsi="Times New Roman"/>
                <w:sz w:val="20"/>
                <w:szCs w:val="20"/>
              </w:rPr>
              <w:t>Dokument v přípravě, očekává se předložení vládě v </w:t>
            </w:r>
            <w:r w:rsidR="00F1690C" w:rsidRPr="000B521F">
              <w:rPr>
                <w:rFonts w:ascii="Times New Roman" w:hAnsi="Times New Roman"/>
                <w:sz w:val="20"/>
                <w:szCs w:val="20"/>
              </w:rPr>
              <w:t xml:space="preserve">únoru </w:t>
            </w:r>
            <w:r w:rsidRPr="000B521F">
              <w:rPr>
                <w:rFonts w:ascii="Times New Roman" w:hAnsi="Times New Roman"/>
                <w:sz w:val="20"/>
                <w:szCs w:val="20"/>
              </w:rPr>
              <w:t>2014, dále viz tabulka PP</w:t>
            </w:r>
            <w:r w:rsidR="008D25FA">
              <w:rPr>
                <w:rFonts w:ascii="Times New Roman" w:hAnsi="Times New Roman"/>
                <w:sz w:val="20"/>
                <w:szCs w:val="20"/>
              </w:rPr>
              <w:t>.</w:t>
            </w:r>
          </w:p>
        </w:tc>
      </w:tr>
    </w:tbl>
    <w:p w:rsidR="009E59E0" w:rsidRPr="005B6699" w:rsidRDefault="009E59E0" w:rsidP="00833CB5">
      <w:pPr>
        <w:spacing w:after="120" w:line="240" w:lineRule="auto"/>
        <w:jc w:val="both"/>
        <w:rPr>
          <w:rFonts w:ascii="Times New Roman" w:hAnsi="Times New Roman" w:cs="Times New Roman"/>
          <w:sz w:val="24"/>
          <w:szCs w:val="24"/>
        </w:rPr>
      </w:pPr>
      <w:r w:rsidRPr="005B6699">
        <w:rPr>
          <w:rFonts w:ascii="Times New Roman" w:hAnsi="Times New Roman" w:cs="Times New Roman"/>
          <w:sz w:val="24"/>
          <w:szCs w:val="24"/>
        </w:rPr>
        <w:t xml:space="preserve">Další klíčové dokumenty vztahující se </w:t>
      </w:r>
      <w:r w:rsidR="00833CB5">
        <w:rPr>
          <w:rFonts w:ascii="Times New Roman" w:hAnsi="Times New Roman" w:cs="Times New Roman"/>
          <w:sz w:val="24"/>
          <w:szCs w:val="24"/>
        </w:rPr>
        <w:t xml:space="preserve">k dané problémové oblasti jsou </w:t>
      </w:r>
      <w:r w:rsidRPr="005B6699">
        <w:rPr>
          <w:rFonts w:ascii="Times New Roman" w:hAnsi="Times New Roman" w:cs="Times New Roman"/>
          <w:sz w:val="24"/>
          <w:szCs w:val="24"/>
        </w:rPr>
        <w:t>Státní politika v elektronických komunikacích – Digitální Česko v. 2.0 – Cesta k digitální ekonomice a další sektorové a krajské dokumenty definované v dílčích operačních programech.</w:t>
      </w:r>
    </w:p>
    <w:p w:rsidR="008206A4" w:rsidRPr="000B521F" w:rsidRDefault="00DC5011" w:rsidP="0059011D">
      <w:pPr>
        <w:pStyle w:val="Nadpis3"/>
        <w:numPr>
          <w:ilvl w:val="2"/>
          <w:numId w:val="14"/>
        </w:numPr>
        <w:spacing w:after="120"/>
        <w:rPr>
          <w:rFonts w:ascii="Times New Roman" w:hAnsi="Times New Roman" w:cs="Times New Roman"/>
        </w:rPr>
      </w:pPr>
      <w:bookmarkStart w:id="37" w:name="_Toc245272152"/>
      <w:bookmarkStart w:id="38" w:name="_Toc352918650"/>
      <w:bookmarkStart w:id="39" w:name="_Toc374702865"/>
      <w:r w:rsidRPr="000B521F">
        <w:rPr>
          <w:rFonts w:ascii="Times New Roman" w:hAnsi="Times New Roman" w:cs="Times New Roman"/>
        </w:rPr>
        <w:t>Sociální začleňování, boj s chudobou a systém péče o zdraví</w:t>
      </w:r>
      <w:bookmarkEnd w:id="37"/>
      <w:bookmarkEnd w:id="38"/>
      <w:bookmarkEnd w:id="39"/>
    </w:p>
    <w:p w:rsidR="00DC5011" w:rsidRPr="000B521F" w:rsidRDefault="00DC5011" w:rsidP="0059011D">
      <w:pPr>
        <w:spacing w:after="120" w:line="240" w:lineRule="auto"/>
        <w:rPr>
          <w:rFonts w:ascii="Times New Roman" w:hAnsi="Times New Roman" w:cs="Times New Roman"/>
          <w:b/>
          <w:sz w:val="24"/>
          <w:szCs w:val="24"/>
        </w:rPr>
      </w:pPr>
      <w:r w:rsidRPr="000B521F">
        <w:rPr>
          <w:rFonts w:ascii="Times New Roman" w:hAnsi="Times New Roman" w:cs="Times New Roman"/>
          <w:b/>
          <w:sz w:val="24"/>
          <w:szCs w:val="24"/>
        </w:rPr>
        <w:t>Východiska a charakteristika</w:t>
      </w:r>
    </w:p>
    <w:p w:rsidR="00A172DF" w:rsidRPr="000B521F" w:rsidRDefault="00A172DF"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I přes velké úsilí vynaložené v boji proti chudobě a sociálnímu vyloučení a na zkvalitnění související zdravotní péče vykazuje v těchto oblastech Česká republika zhoršující se tendence. Podíl obyvatel žijících pod hranicí chudoby a zejména ohrožených chudobou a sociálním vyloučením patří sice v rámci celé EU k nejnižším a stoupá jen pomalu (rok 2012 </w:t>
      </w:r>
      <w:r w:rsidR="00833CB5">
        <w:rPr>
          <w:rFonts w:ascii="Times New Roman" w:hAnsi="Times New Roman" w:cs="Times New Roman"/>
          <w:color w:val="000000"/>
          <w:sz w:val="24"/>
          <w:szCs w:val="24"/>
        </w:rPr>
        <w:t>–</w:t>
      </w:r>
      <w:r w:rsidRPr="000B521F">
        <w:rPr>
          <w:rFonts w:ascii="Times New Roman" w:hAnsi="Times New Roman" w:cs="Times New Roman"/>
          <w:sz w:val="24"/>
          <w:szCs w:val="24"/>
        </w:rPr>
        <w:t xml:space="preserve"> 15,4 %, </w:t>
      </w:r>
      <w:r w:rsidRPr="000B521F">
        <w:rPr>
          <w:rFonts w:ascii="Times New Roman" w:hAnsi="Times New Roman" w:cs="Times New Roman"/>
          <w:sz w:val="24"/>
          <w:szCs w:val="24"/>
        </w:rPr>
        <w:lastRenderedPageBreak/>
        <w:t xml:space="preserve">2011 </w:t>
      </w:r>
      <w:r w:rsidR="00833CB5">
        <w:rPr>
          <w:rFonts w:ascii="Times New Roman" w:hAnsi="Times New Roman" w:cs="Times New Roman"/>
          <w:color w:val="000000"/>
          <w:sz w:val="24"/>
          <w:szCs w:val="24"/>
        </w:rPr>
        <w:t>–</w:t>
      </w:r>
      <w:r w:rsidRPr="000B521F">
        <w:rPr>
          <w:rFonts w:ascii="Times New Roman" w:hAnsi="Times New Roman" w:cs="Times New Roman"/>
          <w:sz w:val="24"/>
          <w:szCs w:val="24"/>
        </w:rPr>
        <w:t xml:space="preserve"> 15,3%, 2010 – 14,4% a 2009 </w:t>
      </w:r>
      <w:r w:rsidR="00833CB5">
        <w:rPr>
          <w:rFonts w:ascii="Times New Roman" w:hAnsi="Times New Roman" w:cs="Times New Roman"/>
          <w:color w:val="000000"/>
          <w:sz w:val="24"/>
          <w:szCs w:val="24"/>
        </w:rPr>
        <w:t xml:space="preserve">– </w:t>
      </w:r>
      <w:r w:rsidRPr="000B521F">
        <w:rPr>
          <w:rFonts w:ascii="Times New Roman" w:hAnsi="Times New Roman" w:cs="Times New Roman"/>
          <w:sz w:val="24"/>
          <w:szCs w:val="24"/>
        </w:rPr>
        <w:t>14,0%)</w:t>
      </w:r>
      <w:r w:rsidRPr="000B521F">
        <w:rPr>
          <w:rStyle w:val="Znakapoznpodarou"/>
          <w:rFonts w:ascii="Times New Roman" w:hAnsi="Times New Roman" w:cs="Times New Roman"/>
          <w:sz w:val="24"/>
          <w:szCs w:val="24"/>
        </w:rPr>
        <w:footnoteReference w:id="62"/>
      </w:r>
      <w:r w:rsidRPr="000B521F">
        <w:rPr>
          <w:rFonts w:ascii="Times New Roman" w:hAnsi="Times New Roman" w:cs="Times New Roman"/>
          <w:sz w:val="24"/>
          <w:szCs w:val="24"/>
        </w:rPr>
        <w:t>, nepříznivý ekonomický vývoj a s tím související růst nezaměstnanosti představuje pro následující roky nezanedbatelné riziko. Hlavním cílem pro ČR je proto nepřipustit zhoršení tohoto podílu a z hlediska počtu osob ohrožených chudobou dosáhnout návratu na úroveň před začátkem hospodářské recese.</w:t>
      </w:r>
    </w:p>
    <w:p w:rsidR="00A172DF" w:rsidRPr="000B521F" w:rsidRDefault="00A172DF"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Chudoba a sociální vyloučení v ČR nepostihuje rozsáhlé skupiny populace, koncentruje se však u vybra</w:t>
      </w:r>
      <w:r w:rsidR="00833CB5">
        <w:rPr>
          <w:rFonts w:ascii="Times New Roman" w:hAnsi="Times New Roman" w:cs="Times New Roman"/>
          <w:sz w:val="24"/>
          <w:szCs w:val="24"/>
        </w:rPr>
        <w:t xml:space="preserve">ných nejvíce ohrožených skupin </w:t>
      </w:r>
      <w:r w:rsidR="00833CB5">
        <w:rPr>
          <w:rFonts w:ascii="Times New Roman" w:hAnsi="Times New Roman" w:cs="Times New Roman"/>
          <w:color w:val="000000"/>
          <w:sz w:val="24"/>
          <w:szCs w:val="24"/>
        </w:rPr>
        <w:t>–</w:t>
      </w:r>
      <w:r w:rsidRPr="000B521F">
        <w:rPr>
          <w:rFonts w:ascii="Times New Roman" w:hAnsi="Times New Roman" w:cs="Times New Roman"/>
          <w:sz w:val="24"/>
          <w:szCs w:val="24"/>
        </w:rPr>
        <w:t xml:space="preserve"> zejména dlouhodobě či opakovaně nezaměstnaných, neúplných a vícečetných rodin, seniorů</w:t>
      </w:r>
      <w:r w:rsidRPr="000B521F">
        <w:rPr>
          <w:rStyle w:val="Znakapoznpodarou"/>
          <w:rFonts w:ascii="Times New Roman" w:hAnsi="Times New Roman" w:cs="Times New Roman"/>
          <w:sz w:val="24"/>
          <w:szCs w:val="24"/>
        </w:rPr>
        <w:footnoteReference w:id="63"/>
      </w:r>
      <w:r w:rsidRPr="000B521F">
        <w:rPr>
          <w:rFonts w:ascii="Times New Roman" w:hAnsi="Times New Roman" w:cs="Times New Roman"/>
          <w:sz w:val="24"/>
          <w:szCs w:val="24"/>
        </w:rPr>
        <w:t xml:space="preserve">, osob opouštějící ústavní zařízení nebo zařízení výkonu trestu, osob žijící v sociálně vyloučených lokalitách (zejména Romů), bezdomovců, osob se zdravotním postižením a dalších. </w:t>
      </w:r>
    </w:p>
    <w:p w:rsidR="00A172DF" w:rsidRPr="000B521F" w:rsidRDefault="00A172DF"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Vazba chudoby a sociálního vyloučení na nezaměstnanost je velmi úzká. Téměř polovina (46,4 %) domácností kde je alespoň jedna osoba nezaměstnaná je v ČR ohrožena chudobou. Dlouhodobě nezaměstnaní ztrácejí pracovní návyky a jejich šance na uplatnění na trhu práce proto dále klesají. Zároveň narůstá specifická skupina mladých lidí, kteří nepokračují ve studiu na středních školách, po ukončení povinné školní docházky se stávají nezaměstnanými a pracovní návyky vůbec nezískají. Mimo to ve skupině sociálně vyloučených obyvatel narůstá počet osob, které nemají dokončené ani základní vzdělávání.  </w:t>
      </w:r>
    </w:p>
    <w:p w:rsidR="00A172DF" w:rsidRPr="000B521F" w:rsidRDefault="00A172DF"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Specifickým problémem ve vztahu k chudobě je rovněž velký význam sociálních transferů jako nástroje snižujícího její riziko; bez těchto transferů by pod hranicí ohrožení chudobou byly téměř dvě pětiny populace (38 %). </w:t>
      </w:r>
    </w:p>
    <w:p w:rsidR="00A172DF" w:rsidRPr="000B521F" w:rsidRDefault="00A172DF"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Chudoba a sociální vyloučení mají navíc silný územní rozměr z důvodu jejich nerovnoměrného rozmístění na území státu. Ve vybraných regionech narůstá počet sociálně vyloučených lokalit. Počty osob ohrožených chudobou se pak zvyšují především v hospodářsky postižených regionech ČR:</w:t>
      </w:r>
    </w:p>
    <w:p w:rsidR="00A172DF" w:rsidRPr="000B521F" w:rsidRDefault="00A172DF"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Problém sociálního vyloučení a chudoby je umocněn vyššími zdravotními riziky pro ohrožené osoby, celkovým zanedbáváním prevence závažných onemocnění a nedostatečnou dostupností odpovídající péče. Potřeba zabezpečit kvalitní zdravotní služby lidem ohroženým sociálním vyloučením a propojení se systémem služeb v sociální oblasti nabývá na významu i v souvislosti s demografickým vývojem.</w:t>
      </w:r>
    </w:p>
    <w:p w:rsidR="00A172DF" w:rsidRPr="000B521F" w:rsidRDefault="00A172DF"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Role zdravotní péče pro udržení a zajišťování lidského kapitálu bude v ČR proto stále více nabývat na významu. Problémy, na které chce ČR v oblasti zdravotní péče s využitím strukturálních fondů v programovém období 2014</w:t>
      </w:r>
      <w:r w:rsidR="00833CB5">
        <w:rPr>
          <w:rFonts w:ascii="Times New Roman" w:hAnsi="Times New Roman" w:cs="Times New Roman"/>
          <w:color w:val="000000"/>
          <w:sz w:val="24"/>
          <w:szCs w:val="24"/>
        </w:rPr>
        <w:t>–</w:t>
      </w:r>
      <w:r w:rsidRPr="000B521F">
        <w:rPr>
          <w:rFonts w:ascii="Times New Roman" w:hAnsi="Times New Roman" w:cs="Times New Roman"/>
          <w:sz w:val="24"/>
          <w:szCs w:val="24"/>
        </w:rPr>
        <w:t>2020 zaměřit jsou především prevence, rozdílná regionální dostupnost odpovídající infrastruktury a rovněž transformace nevyhovujícího systému psychiatrické péče.</w:t>
      </w:r>
    </w:p>
    <w:p w:rsidR="00A172DF" w:rsidRPr="000B521F" w:rsidRDefault="00A172DF" w:rsidP="0059011D">
      <w:p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 xml:space="preserve">Zejména v případě závažných onemocnění se pozornost soustřeďuje na samotnou léčbu, přičemž podpora zdravého životního stylu a prevence vzniku onemocnění je nedostatečná. </w:t>
      </w:r>
      <w:r w:rsidRPr="000B521F">
        <w:rPr>
          <w:rFonts w:ascii="Times New Roman" w:hAnsi="Times New Roman" w:cs="Times New Roman"/>
          <w:sz w:val="24"/>
          <w:szCs w:val="24"/>
        </w:rPr>
        <w:t>Díky tomu je ČR v rámci Evropy v prevalenci rizikových faktorů nejčastějších onemocnění mezi nejhoršími (kouřen</w:t>
      </w:r>
      <w:r w:rsidR="00833CB5">
        <w:rPr>
          <w:rFonts w:ascii="Times New Roman" w:hAnsi="Times New Roman" w:cs="Times New Roman"/>
          <w:sz w:val="24"/>
          <w:szCs w:val="24"/>
        </w:rPr>
        <w:t xml:space="preserve">í- 3. místo, spotřeba alkoholu </w:t>
      </w:r>
      <w:r w:rsidR="00833CB5">
        <w:rPr>
          <w:rFonts w:ascii="Times New Roman" w:hAnsi="Times New Roman" w:cs="Times New Roman"/>
          <w:color w:val="000000"/>
          <w:sz w:val="24"/>
          <w:szCs w:val="24"/>
        </w:rPr>
        <w:t>–</w:t>
      </w:r>
      <w:r w:rsidRPr="000B521F">
        <w:rPr>
          <w:rFonts w:ascii="Times New Roman" w:hAnsi="Times New Roman" w:cs="Times New Roman"/>
          <w:sz w:val="24"/>
          <w:szCs w:val="24"/>
        </w:rPr>
        <w:t xml:space="preserve"> 1. místo, obezita </w:t>
      </w:r>
      <w:r w:rsidR="00833CB5">
        <w:rPr>
          <w:rFonts w:ascii="Times New Roman" w:hAnsi="Times New Roman" w:cs="Times New Roman"/>
          <w:color w:val="000000"/>
          <w:sz w:val="24"/>
          <w:szCs w:val="24"/>
        </w:rPr>
        <w:t>–</w:t>
      </w:r>
      <w:r w:rsidRPr="000B521F">
        <w:rPr>
          <w:rFonts w:ascii="Times New Roman" w:hAnsi="Times New Roman" w:cs="Times New Roman"/>
          <w:sz w:val="24"/>
          <w:szCs w:val="24"/>
        </w:rPr>
        <w:t xml:space="preserve"> 2.</w:t>
      </w:r>
      <w:r w:rsidR="00833CB5">
        <w:rPr>
          <w:rFonts w:ascii="Times New Roman" w:hAnsi="Times New Roman" w:cs="Times New Roman"/>
          <w:color w:val="000000"/>
          <w:sz w:val="24"/>
          <w:szCs w:val="24"/>
        </w:rPr>
        <w:t>–</w:t>
      </w:r>
      <w:r w:rsidRPr="000B521F">
        <w:rPr>
          <w:rFonts w:ascii="Times New Roman" w:hAnsi="Times New Roman" w:cs="Times New Roman"/>
          <w:sz w:val="24"/>
          <w:szCs w:val="24"/>
        </w:rPr>
        <w:t xml:space="preserve">4. místo). </w:t>
      </w:r>
      <w:r w:rsidRPr="000B521F">
        <w:rPr>
          <w:rFonts w:ascii="Times New Roman" w:hAnsi="Times New Roman" w:cs="Times New Roman"/>
          <w:color w:val="000000"/>
          <w:sz w:val="24"/>
          <w:szCs w:val="24"/>
        </w:rPr>
        <w:t xml:space="preserve">To zvyšuje jak náklady systému zdravotní péče, tak riziko nárůstu počtu osob ohrožených sociálním vyloučením a chudobou </w:t>
      </w:r>
      <w:r w:rsidR="00E62E16" w:rsidRPr="000B521F">
        <w:rPr>
          <w:rFonts w:ascii="Times New Roman" w:hAnsi="Times New Roman" w:cs="Times New Roman"/>
          <w:color w:val="000000"/>
          <w:sz w:val="24"/>
          <w:szCs w:val="24"/>
        </w:rPr>
        <w:t xml:space="preserve">(a nárůstu nezaměstnanosti) </w:t>
      </w:r>
      <w:r w:rsidRPr="000B521F">
        <w:rPr>
          <w:rFonts w:ascii="Times New Roman" w:hAnsi="Times New Roman" w:cs="Times New Roman"/>
          <w:color w:val="000000"/>
          <w:sz w:val="24"/>
          <w:szCs w:val="24"/>
        </w:rPr>
        <w:t xml:space="preserve">v důsledku dlouhodobé nemoci a výpadku příjmu. </w:t>
      </w:r>
    </w:p>
    <w:p w:rsidR="00A172DF" w:rsidRPr="000B521F" w:rsidRDefault="00A172DF"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lastRenderedPageBreak/>
        <w:t xml:space="preserve">České zdravotnictví je navíc stále charakterizováno nevhodnou strukturou lůžek a regionálními nerovnostmi v přístupu k některým typům péče (především následné a péče přímo navazující na </w:t>
      </w:r>
      <w:r w:rsidR="00131E00" w:rsidRPr="000B521F">
        <w:rPr>
          <w:rFonts w:ascii="Times New Roman" w:hAnsi="Times New Roman" w:cs="Times New Roman"/>
          <w:sz w:val="24"/>
          <w:szCs w:val="24"/>
        </w:rPr>
        <w:t>vysoce specializovanou péči</w:t>
      </w:r>
      <w:r w:rsidR="008E1189" w:rsidRPr="000B521F">
        <w:rPr>
          <w:rStyle w:val="Znakapoznpodarou"/>
          <w:rFonts w:ascii="Times New Roman" w:hAnsi="Times New Roman" w:cs="Times New Roman"/>
          <w:sz w:val="24"/>
          <w:szCs w:val="24"/>
        </w:rPr>
        <w:footnoteReference w:id="64"/>
      </w:r>
      <w:r w:rsidRPr="000B521F">
        <w:rPr>
          <w:rFonts w:ascii="Times New Roman" w:hAnsi="Times New Roman" w:cs="Times New Roman"/>
          <w:sz w:val="24"/>
          <w:szCs w:val="24"/>
        </w:rPr>
        <w:t xml:space="preserve">), což ztěžuje návrat nemocných do běžného života a na trh práce) a celkovým podceněním péče psychiatrické.  </w:t>
      </w:r>
    </w:p>
    <w:p w:rsidR="00A172DF" w:rsidRPr="000B521F" w:rsidRDefault="00A172DF"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Psychiatrická péče stojící na rozhraní dvou systémů (sociálního a zdravotního) je silně centralizovaná, institucionalizovaná a neodpovídá současným požadavkům na optimální léčbu. Duševně nemocní jsou nuceni využívat zastaralý systém péče, který zesiluje jejich sociální vyloučení a komplikuje jim hledání uplatnění na trhu práce.</w:t>
      </w:r>
    </w:p>
    <w:p w:rsidR="00147E55" w:rsidRPr="000B521F" w:rsidRDefault="00147E55" w:rsidP="0059011D">
      <w:pPr>
        <w:spacing w:after="120" w:line="240" w:lineRule="auto"/>
        <w:jc w:val="both"/>
        <w:rPr>
          <w:rFonts w:ascii="Times New Roman" w:hAnsi="Times New Roman" w:cs="Times New Roman"/>
          <w:b/>
          <w:sz w:val="24"/>
          <w:szCs w:val="24"/>
        </w:rPr>
      </w:pPr>
    </w:p>
    <w:p w:rsidR="00A172DF" w:rsidRPr="000B521F" w:rsidRDefault="00A172DF" w:rsidP="0059011D">
      <w:pPr>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Územní dimenze</w:t>
      </w:r>
    </w:p>
    <w:p w:rsidR="00A172DF" w:rsidRPr="000B521F" w:rsidRDefault="00A172DF"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Míra ohrožení chudobou nebo sociálním vyloučením je v regionech ČR rozdílná. Národní průměr (15,3 %) převyšuje především region (NUTS II) Severozápad s téměř 25 % a Moravskoslezsko s 22 %.</w:t>
      </w:r>
      <w:r w:rsidRPr="000B521F">
        <w:rPr>
          <w:rStyle w:val="Znakapoznpodarou"/>
          <w:rFonts w:ascii="Times New Roman" w:hAnsi="Times New Roman" w:cs="Times New Roman"/>
          <w:sz w:val="24"/>
          <w:szCs w:val="24"/>
        </w:rPr>
        <w:footnoteReference w:id="65"/>
      </w:r>
      <w:r w:rsidRPr="000B521F">
        <w:rPr>
          <w:rFonts w:ascii="Times New Roman" w:hAnsi="Times New Roman" w:cs="Times New Roman"/>
          <w:sz w:val="24"/>
          <w:szCs w:val="24"/>
        </w:rPr>
        <w:t xml:space="preserve"> Varující jsou rovněž rostoucí rozdíly na místní a regionální úrovni, které způsobují narušení sociální soudržnosti a vznik problémových lokalit sužovaných chudobou, předlužením, nízkým vzděláním, špatným zdravotním stavem obyvatel a zvýšenou kriminalitou. Těchto sociálně vyloučených lokalit (či lokalit s potenciálem sociálního vyloučení) je v ČR již na 400 a žije v nich přibližně 100 tisíc obyvatel</w:t>
      </w:r>
      <w:r w:rsidRPr="000B521F">
        <w:rPr>
          <w:rStyle w:val="Znakapoznpodarou"/>
          <w:rFonts w:ascii="Times New Roman" w:hAnsi="Times New Roman" w:cs="Times New Roman"/>
          <w:sz w:val="24"/>
          <w:szCs w:val="24"/>
        </w:rPr>
        <w:footnoteReference w:id="66"/>
      </w:r>
      <w:r w:rsidRPr="000B521F">
        <w:rPr>
          <w:rFonts w:ascii="Times New Roman" w:hAnsi="Times New Roman" w:cs="Times New Roman"/>
          <w:sz w:val="24"/>
          <w:szCs w:val="24"/>
        </w:rPr>
        <w:t xml:space="preserve">. Dalších minimálně 60 tisíc lidí žije v podstandardních podmínkách segregovaných ubytoven zejména ve středních a velkých městech. </w:t>
      </w:r>
    </w:p>
    <w:p w:rsidR="00A172DF" w:rsidRPr="000B521F" w:rsidRDefault="00A172DF"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Počet sociálně vyloučených lokalit</w:t>
      </w:r>
      <w:r w:rsidRPr="000B521F">
        <w:rPr>
          <w:rStyle w:val="Znakapoznpodarou"/>
          <w:rFonts w:ascii="Times New Roman" w:hAnsi="Times New Roman" w:cs="Times New Roman"/>
          <w:sz w:val="24"/>
          <w:szCs w:val="24"/>
        </w:rPr>
        <w:footnoteReference w:id="67"/>
      </w:r>
      <w:r w:rsidRPr="000B521F">
        <w:rPr>
          <w:rFonts w:ascii="Times New Roman" w:hAnsi="Times New Roman" w:cs="Times New Roman"/>
          <w:sz w:val="24"/>
          <w:szCs w:val="24"/>
        </w:rPr>
        <w:t xml:space="preserve"> a podíl osob vyloučených nebo ohrožených sociálním vyloučením je vyšší v hospodářsky problémových regionech především v Moravskoslezském a Ústeckém kraji a dále také v Olomouckém, Libereckém, Karlovarském a v některých částech Středočeského kraje. Pokrytí sítí vhodných služeb (zejména sociálních, zdravotních a návazných) je často nedostačující</w:t>
      </w:r>
      <w:r w:rsidR="00765F1B" w:rsidRPr="000B521F">
        <w:rPr>
          <w:rFonts w:ascii="Times New Roman" w:hAnsi="Times New Roman" w:cs="Times New Roman"/>
          <w:sz w:val="24"/>
          <w:szCs w:val="24"/>
        </w:rPr>
        <w:t>,</w:t>
      </w:r>
      <w:r w:rsidRPr="000B521F">
        <w:rPr>
          <w:rFonts w:ascii="Times New Roman" w:hAnsi="Times New Roman" w:cs="Times New Roman"/>
          <w:sz w:val="24"/>
          <w:szCs w:val="24"/>
        </w:rPr>
        <w:t xml:space="preserve"> a to zejména v pohraničí a ve vnitřních periferiích. </w:t>
      </w:r>
    </w:p>
    <w:p w:rsidR="00A172DF" w:rsidRDefault="00A172DF" w:rsidP="0059011D">
      <w:pPr>
        <w:autoSpaceDE w:val="0"/>
        <w:autoSpaceDN w:val="0"/>
        <w:adjustRightInd w:val="0"/>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Významným problémem vyloučených lokalit je rovněž časté umisťování žáků ze sociálně vyloučených rodin mimo běžné základní školy hlavního vzdělávacího proudu, do segmentu škol pro mentálně hendikepované děti. Školy se tak často stávají místem sociální diferenciace i předčasné determinace budoucího úspěchu na trhu práce i v životě.</w:t>
      </w:r>
    </w:p>
    <w:p w:rsidR="00A172DF" w:rsidRPr="000B521F" w:rsidRDefault="00A172DF" w:rsidP="0059011D">
      <w:pPr>
        <w:autoSpaceDE w:val="0"/>
        <w:autoSpaceDN w:val="0"/>
        <w:adjustRightInd w:val="0"/>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Zejména v hospodářsky postižených regionech a periferních oblastech pak situaci komplikuje rovněž nedostatečná dostupnost zdravotní péče a zdravotních služeb. To je příčinou dalšího prohlubování sociálních rozdílů a nižší střední délky života. </w:t>
      </w:r>
    </w:p>
    <w:p w:rsidR="000944C5" w:rsidRPr="000B521F" w:rsidRDefault="000944C5" w:rsidP="000944C5">
      <w:pPr>
        <w:autoSpaceDE w:val="0"/>
        <w:autoSpaceDN w:val="0"/>
        <w:adjustRightInd w:val="0"/>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Dostupnost sociálních služeb v jednotlivých krajích lze charakterizovat počtem neuspokojených žadatelů o poskytnutí sociální služby v zařízení (domovy pro seniory – ČR  58 490, nejvíce Jihomoravský kraj 9763, Moravskoslezský 8746, nejméně Karlovarský kraj314) azylové domy – ČR 4766, nejvíce MSK 789, Pha 722, nejméně PlZ 59, chráněné bydlení – ČR 2053, nejvíce OL 1228, nejméně PLZ 1, domovy pro osoby se zdravotním postižením – ČR 3241, nejvíce UL 602, MSK 486, nejméně KV 21, domovy se zvláštním režimem – ČR 13713, nejvíce JMK 3466, nejméně KH 333 a týdenní stacionáře – ČR 140, nejvíce VY 26). </w:t>
      </w:r>
      <w:r>
        <w:rPr>
          <w:rStyle w:val="Znakapoznpodarou"/>
          <w:rFonts w:cs="Times New Roman"/>
          <w:sz w:val="24"/>
          <w:szCs w:val="24"/>
        </w:rPr>
        <w:footnoteReference w:id="68"/>
      </w:r>
    </w:p>
    <w:p w:rsidR="00A00CA8" w:rsidRPr="000B521F" w:rsidRDefault="00A00CA8" w:rsidP="0059011D">
      <w:pPr>
        <w:autoSpaceDE w:val="0"/>
        <w:autoSpaceDN w:val="0"/>
        <w:adjustRightInd w:val="0"/>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lastRenderedPageBreak/>
        <w:t>Atraktivita života na venkově je mj. určována rozsahem a kvalitou přístupu k veřejné infrastruktuře (čistá voda a prostředí, komunikace, služby, volnočasové aktivity, udržovaná krajina, apod.). V kontextu sociálního začleňování je přetrvávajícím problémem na venkově zajištění dostupné infrastruktury. Zejména v malých obcích, s velmi nízkou hustotou zalidnění, je nedostatečná občanská vybavenost (např. vodohospodářská infrastruktura) a jsou zde i vyšší náklady na pořízení technické infrastruktury na jednoho obyvatele. Komunitně vedený místní rozvoj, resp. metoda Leader přispívá k lepšímu zacílení podpory na místní potřeby a rozvoji spolupráce místních aktérů.</w:t>
      </w:r>
    </w:p>
    <w:p w:rsidR="00765F1B" w:rsidRPr="000B521F" w:rsidRDefault="00765F1B" w:rsidP="0059011D">
      <w:pPr>
        <w:autoSpaceDE w:val="0"/>
        <w:autoSpaceDN w:val="0"/>
        <w:adjustRightInd w:val="0"/>
        <w:spacing w:after="120" w:line="240" w:lineRule="auto"/>
        <w:jc w:val="both"/>
        <w:rPr>
          <w:rFonts w:ascii="Times New Roman" w:hAnsi="Times New Roman" w:cs="Times New Roman"/>
          <w:sz w:val="24"/>
          <w:szCs w:val="24"/>
        </w:rPr>
      </w:pPr>
    </w:p>
    <w:p w:rsidR="00A172DF" w:rsidRPr="000B521F" w:rsidRDefault="00A172DF" w:rsidP="0059011D">
      <w:pPr>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Zkušenosti z programového období 2007</w:t>
      </w:r>
      <w:r w:rsidR="00833CB5">
        <w:rPr>
          <w:rFonts w:ascii="Times New Roman" w:hAnsi="Times New Roman" w:cs="Times New Roman"/>
          <w:b/>
          <w:sz w:val="24"/>
          <w:szCs w:val="24"/>
        </w:rPr>
        <w:t>–</w:t>
      </w:r>
      <w:r w:rsidRPr="000B521F">
        <w:rPr>
          <w:rFonts w:ascii="Times New Roman" w:hAnsi="Times New Roman" w:cs="Times New Roman"/>
          <w:b/>
          <w:sz w:val="24"/>
          <w:szCs w:val="24"/>
        </w:rPr>
        <w:t>2013 a stav dosažení současných cílů</w:t>
      </w:r>
    </w:p>
    <w:p w:rsidR="00F90D02" w:rsidRPr="000B521F" w:rsidRDefault="00833CB5" w:rsidP="0059011D">
      <w:pPr>
        <w:spacing w:after="12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V programovém období 2007–</w:t>
      </w:r>
      <w:r w:rsidR="005D6CA1" w:rsidRPr="000B521F">
        <w:rPr>
          <w:rFonts w:ascii="Times New Roman" w:hAnsi="Times New Roman" w:cs="Times New Roman"/>
          <w:color w:val="000000"/>
          <w:sz w:val="24"/>
          <w:szCs w:val="24"/>
        </w:rPr>
        <w:t>2013 byly projekty v oblasti sociálního začleňování a boje s chudobou zaměřeny zejména na podporu začleňování ohrožených osob zpět do společnosti a na trh práce, na podporu a rozvoj stávajících i nových sociálně preventivních programů a sociálních služeb, podporu integrace příslušníků romských lokalit, komplexní programy zaměstnanosti s podpůrnými aktivitami pro sociálně vyloučené osoby a odstraňování bariér pro rovný přístup na trh práce</w:t>
      </w:r>
      <w:r w:rsidR="00E62E16" w:rsidRPr="000B521F">
        <w:rPr>
          <w:rStyle w:val="Znakapoznpodarou"/>
          <w:rFonts w:ascii="Times New Roman" w:hAnsi="Times New Roman" w:cs="Times New Roman"/>
          <w:color w:val="000000"/>
          <w:sz w:val="24"/>
          <w:szCs w:val="24"/>
        </w:rPr>
        <w:footnoteReference w:id="69"/>
      </w:r>
      <w:r w:rsidR="005D6CA1" w:rsidRPr="000B521F">
        <w:rPr>
          <w:rFonts w:ascii="Times New Roman" w:hAnsi="Times New Roman" w:cs="Times New Roman"/>
          <w:color w:val="000000"/>
          <w:sz w:val="24"/>
          <w:szCs w:val="24"/>
        </w:rPr>
        <w:t>. Na místní úrovni bylo testováno zavádění modelu dostupného (sociálního) bydlení. Na zkušenosti s realizací těchto projektů by se mělo v novém období navázat.</w:t>
      </w:r>
    </w:p>
    <w:p w:rsidR="00F90D02" w:rsidRPr="000B521F" w:rsidRDefault="005D6CA1" w:rsidP="0059011D">
      <w:p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 xml:space="preserve">Z dosavadních zkušeností a evaluačních studií nevyplývají žádné zásadní nedostatky ve zvolených intervencích a zároveň i absorpční kapacita je v dané oblasti relativně dostatečná. Určitým problémem pro dosažení cílů intervencí byla nedostatečná provázanost jednotlivých projektů a malá míra sdílení informací a zkušeností. Některé projekty se zaměřovaly jen na dílčí aspekty a neřešily situaci cílové skupiny komplexně (podpora zaměstnanosti, vzdělávání, sociálních služeb, zdravotní péče a prevence a oddlužování nebyly zpravidla řešeny koordinovaně, problematika dostupného bydlení pro znevýhodněné skupiny nebyla s výjimkou několika pilotních projektů řešena vůbec). Zároveň v případě projektů v oblasti sociálního začleňování sociálně vyloučených a sociálním vyloučením ohrožených osob existuje nebezpečí příliš široce a obecně podporovaných aktivit, které ve finále nenaplňují reálné potřeby cílových skupin. </w:t>
      </w:r>
    </w:p>
    <w:p w:rsidR="00F90D02" w:rsidRPr="000B521F" w:rsidRDefault="005D6CA1" w:rsidP="0059011D">
      <w:p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Účelnost intervencí v oblasti sociálního začleňování je možné hodnotit jako dobrou s tím, že za maximálně účelné jsou označovány intervence přímo v terénu a projekty řešící komplexně problémy a potřeby cílové skupiny. Důležitým prvkem projektů, který je vhodné dále rozvíjet, je partnerství a zapojování místních komunit při řešení sociálních problémů. O úspěšnosti intervencí svědčí i udržení relativně nízké míry ohrožení chudobou a sociálním vyloučením a to navzdory nepříznivému ekonomickému vývoji a podstatnému zvýšení míry nezaměstnanosti. Na druhé straně se ukázalo, že úzké vymezení cílové skupiny znamenalo problémy především z důvodu zásady poskytování sociálních služeb všem znevýhodněným v podobném postavení bez rozdílu a nikoli na základě příslušnosti do přesně stanovené věkové skupiny, na základě etnické příslušnosti nebo bydliště v určité lokalitě. Proto je již nyní např. v případě romské inkluze patrné, že pro intervenci nemohou být voleny (tak jako v období 2007</w:t>
      </w:r>
      <w:r w:rsidR="00833CB5">
        <w:rPr>
          <w:rFonts w:ascii="Times New Roman" w:hAnsi="Times New Roman" w:cs="Times New Roman"/>
          <w:color w:val="000000"/>
          <w:sz w:val="24"/>
          <w:szCs w:val="24"/>
        </w:rPr>
        <w:t>–20</w:t>
      </w:r>
      <w:r w:rsidRPr="000B521F">
        <w:rPr>
          <w:rFonts w:ascii="Times New Roman" w:hAnsi="Times New Roman" w:cs="Times New Roman"/>
          <w:color w:val="000000"/>
          <w:sz w:val="24"/>
          <w:szCs w:val="24"/>
        </w:rPr>
        <w:t xml:space="preserve">13) pouze úzce vymezené zóny vyloučených lokalit, ale intervence musí směřovat také do jejich okolí, což napomůže jednak samotnému procesu integrace obyvatel z vyloučených lokalit, ale také zvyšování sociální soudržnosti v místě a předcházení sociálnímu vyloučení obyvatel v bezprostředním okolí vyloučených lokalit, kteří bývají rovněž konfrontováni se zátěží vyplývající z života v hospodářsky méně rozvinuté oblasti. Na </w:t>
      </w:r>
      <w:r w:rsidRPr="000B521F">
        <w:rPr>
          <w:rFonts w:ascii="Times New Roman" w:hAnsi="Times New Roman" w:cs="Times New Roman"/>
          <w:color w:val="000000"/>
          <w:sz w:val="24"/>
          <w:szCs w:val="24"/>
        </w:rPr>
        <w:lastRenderedPageBreak/>
        <w:t>základě vyhodnocení zkušeností z min</w:t>
      </w:r>
      <w:r w:rsidR="00833CB5">
        <w:rPr>
          <w:rFonts w:ascii="Times New Roman" w:hAnsi="Times New Roman" w:cs="Times New Roman"/>
          <w:color w:val="000000"/>
          <w:sz w:val="24"/>
          <w:szCs w:val="24"/>
        </w:rPr>
        <w:t>ulého programového období (2007–</w:t>
      </w:r>
      <w:r w:rsidRPr="000B521F">
        <w:rPr>
          <w:rFonts w:ascii="Times New Roman" w:hAnsi="Times New Roman" w:cs="Times New Roman"/>
          <w:color w:val="000000"/>
          <w:sz w:val="24"/>
          <w:szCs w:val="24"/>
        </w:rPr>
        <w:t>2013) i z odborných debat na evropské úrovni</w:t>
      </w:r>
      <w:r w:rsidRPr="000B521F">
        <w:rPr>
          <w:rFonts w:ascii="Times New Roman" w:hAnsi="Times New Roman" w:cs="Times New Roman"/>
          <w:color w:val="000000"/>
          <w:sz w:val="24"/>
          <w:szCs w:val="24"/>
          <w:vertAlign w:val="superscript"/>
        </w:rPr>
        <w:footnoteReference w:id="70"/>
      </w:r>
      <w:r w:rsidRPr="000B521F">
        <w:rPr>
          <w:rFonts w:ascii="Times New Roman" w:hAnsi="Times New Roman" w:cs="Times New Roman"/>
          <w:color w:val="000000"/>
          <w:sz w:val="24"/>
          <w:szCs w:val="24"/>
        </w:rPr>
        <w:t xml:space="preserve">  bude při zaměření intervencí na zlepšení situace romského etnika podpořen tzv. „explicitní, nikoliv exkluzivní přístup“, který ve vztahu k romské inkluzi zahrnuje rovněž další skupiny, které se nacházejí ve stejných nebo srovnatelných socio-ekonomických životních podmínkách.</w:t>
      </w:r>
    </w:p>
    <w:p w:rsidR="00A172DF" w:rsidRPr="000B521F" w:rsidRDefault="00A172DF" w:rsidP="0059011D">
      <w:p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b/>
          <w:color w:val="000000"/>
          <w:sz w:val="24"/>
          <w:szCs w:val="24"/>
        </w:rPr>
        <w:t xml:space="preserve">V oblasti systému péče o zdraví </w:t>
      </w:r>
      <w:r w:rsidRPr="000B521F">
        <w:rPr>
          <w:rFonts w:ascii="Times New Roman" w:hAnsi="Times New Roman" w:cs="Times New Roman"/>
          <w:color w:val="000000"/>
          <w:sz w:val="24"/>
          <w:szCs w:val="24"/>
        </w:rPr>
        <w:t>byla podpora směřována především na pořízení přístrojového vybavení a rekonstrukce a výstavbu budov. Vzhledem k roztříštěnosti této podpory v jednotlivých regionálních operačních programech a Integrovaném operačním programu, postrádal přístup k využívání prostředků hlubší strategii a koncepci a v jednotlivých regionech byl odlišný bez vazby na regionální specifika. Cílem je proto realizovat v programovém období 2014</w:t>
      </w:r>
      <w:r w:rsidR="00833CB5">
        <w:rPr>
          <w:rFonts w:ascii="Times New Roman" w:hAnsi="Times New Roman" w:cs="Times New Roman"/>
          <w:color w:val="000000"/>
          <w:sz w:val="24"/>
          <w:szCs w:val="24"/>
        </w:rPr>
        <w:t>–</w:t>
      </w:r>
      <w:r w:rsidRPr="000B521F">
        <w:rPr>
          <w:rFonts w:ascii="Times New Roman" w:hAnsi="Times New Roman" w:cs="Times New Roman"/>
          <w:color w:val="000000"/>
          <w:sz w:val="24"/>
          <w:szCs w:val="24"/>
        </w:rPr>
        <w:t>2020 intervence v oblasti systému péče o zdraví s centrální koordinací a na základě kvalitních auditů potřebnosti s přihlédnutím k územním specifikům a potřebám</w:t>
      </w:r>
      <w:r w:rsidR="006F7EB0" w:rsidRPr="000B521F">
        <w:rPr>
          <w:rFonts w:ascii="Times New Roman" w:hAnsi="Times New Roman" w:cs="Times New Roman"/>
          <w:color w:val="000000"/>
          <w:sz w:val="24"/>
          <w:szCs w:val="24"/>
        </w:rPr>
        <w:t xml:space="preserve"> (včetně potřeb ohrožených skupin)</w:t>
      </w:r>
      <w:r w:rsidRPr="000B521F">
        <w:rPr>
          <w:rFonts w:ascii="Times New Roman" w:hAnsi="Times New Roman" w:cs="Times New Roman"/>
          <w:color w:val="000000"/>
          <w:sz w:val="24"/>
          <w:szCs w:val="24"/>
        </w:rPr>
        <w:t>.</w:t>
      </w:r>
    </w:p>
    <w:p w:rsidR="00147E55" w:rsidRPr="000B521F" w:rsidRDefault="00147E55" w:rsidP="0059011D">
      <w:pPr>
        <w:pStyle w:val="DAVA"/>
        <w:spacing w:after="120"/>
        <w:rPr>
          <w:rFonts w:ascii="Times New Roman" w:hAnsi="Times New Roman"/>
          <w:b/>
          <w:szCs w:val="24"/>
        </w:rPr>
      </w:pPr>
    </w:p>
    <w:p w:rsidR="00A172DF" w:rsidRPr="000B521F" w:rsidRDefault="00A172DF" w:rsidP="0059011D">
      <w:pPr>
        <w:pStyle w:val="DAVA"/>
        <w:spacing w:after="120"/>
        <w:rPr>
          <w:rFonts w:ascii="Times New Roman" w:hAnsi="Times New Roman"/>
          <w:szCs w:val="24"/>
        </w:rPr>
      </w:pPr>
      <w:r w:rsidRPr="000B521F">
        <w:rPr>
          <w:rFonts w:ascii="Times New Roman" w:hAnsi="Times New Roman"/>
          <w:b/>
          <w:szCs w:val="24"/>
        </w:rPr>
        <w:t>Hlavní identifikované problémy a potřeby rozvoje:</w:t>
      </w:r>
    </w:p>
    <w:p w:rsidR="00A172DF" w:rsidRPr="000B521F" w:rsidRDefault="00A172DF" w:rsidP="0059011D">
      <w:pPr>
        <w:pStyle w:val="DAVA"/>
        <w:spacing w:after="120"/>
        <w:rPr>
          <w:rFonts w:ascii="Times New Roman" w:hAnsi="Times New Roman"/>
          <w:color w:val="000000"/>
          <w:szCs w:val="24"/>
        </w:rPr>
      </w:pPr>
      <w:r w:rsidRPr="000B521F">
        <w:rPr>
          <w:rFonts w:ascii="Times New Roman" w:hAnsi="Times New Roman"/>
          <w:szCs w:val="24"/>
        </w:rPr>
        <w:t xml:space="preserve">S ohledem na společné cíle Strategie Evropa 2020 si ČR stanovila národní cíl v oblasti boje proti chudobě a to udržení hranice počtu osob ohrožených chudobou, materiální deprivací nebo žijících v domácnostech s velmi nízkou pracovní intenzitou do roku 2020 na úrovni roku 2008, s úsilím o snížení o 30 tisíc osob. Dosažení cílů v oblasti boje proti chudobě bude vyžadovat integrovaný přístup a </w:t>
      </w:r>
      <w:r w:rsidRPr="000B521F">
        <w:rPr>
          <w:rFonts w:ascii="Times New Roman" w:hAnsi="Times New Roman"/>
          <w:color w:val="000000"/>
          <w:szCs w:val="24"/>
        </w:rPr>
        <w:t xml:space="preserve">úzkou vazbu opatření zejména v oblasti vzdělávání, trhu práce a zaměstnanosti, bydlení, sociálních a zdravotních služeb, fungování veřejné správy a legislativy. </w:t>
      </w:r>
      <w:r w:rsidRPr="000B521F">
        <w:rPr>
          <w:rFonts w:ascii="Times New Roman" w:hAnsi="Times New Roman"/>
          <w:szCs w:val="24"/>
        </w:rPr>
        <w:t>ČR potřebuje reagovat především na tyto výzvy:</w:t>
      </w:r>
      <w:r w:rsidRPr="000B521F">
        <w:rPr>
          <w:rFonts w:ascii="Times New Roman" w:hAnsi="Times New Roman"/>
          <w:color w:val="000000"/>
          <w:szCs w:val="24"/>
        </w:rPr>
        <w:t xml:space="preserve"> </w:t>
      </w:r>
    </w:p>
    <w:p w:rsidR="00147E55" w:rsidRPr="000B521F" w:rsidRDefault="00147E55" w:rsidP="0059011D">
      <w:pPr>
        <w:spacing w:after="120" w:line="240" w:lineRule="auto"/>
        <w:jc w:val="both"/>
        <w:rPr>
          <w:rFonts w:ascii="Times New Roman" w:hAnsi="Times New Roman" w:cs="Times New Roman"/>
          <w:b/>
          <w:i/>
          <w:color w:val="000000"/>
          <w:sz w:val="24"/>
          <w:szCs w:val="24"/>
        </w:rPr>
      </w:pPr>
    </w:p>
    <w:p w:rsidR="00A172DF" w:rsidRPr="000B521F" w:rsidRDefault="00A172DF" w:rsidP="0059011D">
      <w:pPr>
        <w:spacing w:after="120" w:line="240" w:lineRule="auto"/>
        <w:jc w:val="both"/>
        <w:rPr>
          <w:rFonts w:ascii="Times New Roman" w:hAnsi="Times New Roman" w:cs="Times New Roman"/>
          <w:b/>
          <w:i/>
          <w:color w:val="000000"/>
          <w:sz w:val="24"/>
          <w:szCs w:val="24"/>
        </w:rPr>
      </w:pPr>
      <w:r w:rsidRPr="000B521F">
        <w:rPr>
          <w:rFonts w:ascii="Times New Roman" w:hAnsi="Times New Roman" w:cs="Times New Roman"/>
          <w:b/>
          <w:i/>
          <w:color w:val="000000"/>
          <w:sz w:val="24"/>
          <w:szCs w:val="24"/>
        </w:rPr>
        <w:t>1. Malá uplatnitelnost a nízká zaměstnanost osob sociálně vyloučených nebo sociálním vyloučením ohrožených na trhu práce</w:t>
      </w:r>
    </w:p>
    <w:p w:rsidR="00A172DF" w:rsidRPr="000B521F" w:rsidRDefault="00A172DF" w:rsidP="0059011D">
      <w:p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 xml:space="preserve">Dlouhodobá a opakovaná nezaměstnanost, která je v ČR jednou ze zásadních příčin sociálního vyloučení a chudoby je v podmínkách ČR spojena především s nízkou kvalifikací, zdravotním znevýhodněním a s diskriminací ze strany zaměstnavatelů – zvláště vůči etnickým menšinám, ženám s malými dětmi a vůči osobám ve věku 50+. Příčinou je i nedostatečná provázanost vzdělání s potřebami na trhu práce, nedostatečná efektivita a kapacita veřejných služeb zaměstnanosti a nedostatečná podpora profesní mobility pracovní síly, které jsou řešeny v problémových oblastech „vzdělávání“ a „trh práce“. </w:t>
      </w:r>
    </w:p>
    <w:p w:rsidR="00A172DF" w:rsidRPr="000B521F" w:rsidRDefault="00A172DF"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Významným problémem je i nízká funkční a finanční gramotnost osob sociálně vyloučených nebo sociálním vyloučením ohrožených. Zde je často důvodem ztížený přístup ke vzdělávání, které v důsledku indikuje i nízkou zaměstnanost a uplatnitelnost na trhu práce a tím i rostoucí riziko chudoby. Zejména pro žáky/studenty ze sociálně vyloučených rodin není vybudován systém služeb udržujících je v systému hlavního vzdělávacího proudu. Chybí služby podporující vzdělávání (propojení sociálních služeb, OSPOD a vzdělávacích institucí s cílem zlepšení vzdělanosti v sociálně vyloučených lokalitách) a zaměstnávání.</w:t>
      </w:r>
    </w:p>
    <w:p w:rsidR="00A172DF" w:rsidRPr="000B521F" w:rsidRDefault="00A172DF" w:rsidP="0059011D">
      <w:p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lastRenderedPageBreak/>
        <w:t>Vzhledem k tomu, že při současném nízkém počtu volných pracovních míst mají problém s uplatněním na trhu práce i osoby bez znevýhodnění, představuje významnou příležitost pro začlenění osob ohrožených sociálním vyloučením nebo sociálně vyloučených zpět na trh práce rozvoj sociálního podnikání a sociálních podniků. Podpora podnikatelských dovedností rovněž obsahuje významný potenciál multiplikační tvorby dalších pracovních míst v nově vzniklých (mikro)podnicích. Rozvoj sociálního podnikání je však zatím v ČR pomalý. Velký podíl na tom má malá informovanost veřejnosti o přínosech a podobě sociálního podnikání a rovněž nedostatečné povědomí o principech a přínosech sociálního podnikání mezi potenciálními zakladateli sociálních podniků.</w:t>
      </w:r>
    </w:p>
    <w:p w:rsidR="00A172DF" w:rsidRPr="000B521F" w:rsidRDefault="00A172DF" w:rsidP="0059011D">
      <w:pPr>
        <w:pStyle w:val="Bezmezer"/>
        <w:rPr>
          <w:rFonts w:ascii="Times New Roman" w:hAnsi="Times New Roman" w:cs="Times New Roman"/>
          <w:i/>
          <w:sz w:val="24"/>
          <w:szCs w:val="24"/>
        </w:rPr>
      </w:pPr>
      <w:r w:rsidRPr="000B521F">
        <w:rPr>
          <w:rFonts w:ascii="Times New Roman" w:hAnsi="Times New Roman" w:cs="Times New Roman"/>
          <w:i/>
          <w:sz w:val="24"/>
          <w:szCs w:val="24"/>
        </w:rPr>
        <w:t>Potřeby rozvoje:</w:t>
      </w:r>
    </w:p>
    <w:p w:rsidR="008206A4" w:rsidRPr="000B521F" w:rsidRDefault="00A172DF" w:rsidP="0059011D">
      <w:pPr>
        <w:pStyle w:val="Bezmezer"/>
        <w:numPr>
          <w:ilvl w:val="0"/>
          <w:numId w:val="40"/>
        </w:numPr>
        <w:rPr>
          <w:rFonts w:ascii="Times New Roman" w:hAnsi="Times New Roman" w:cs="Times New Roman"/>
          <w:sz w:val="24"/>
          <w:szCs w:val="24"/>
        </w:rPr>
      </w:pPr>
      <w:r w:rsidRPr="000B521F">
        <w:rPr>
          <w:rFonts w:ascii="Times New Roman" w:hAnsi="Times New Roman" w:cs="Times New Roman"/>
          <w:sz w:val="24"/>
          <w:szCs w:val="24"/>
        </w:rPr>
        <w:t>Zvyšování uplatnitelnosti osob sociálně vyloučených, ohrožených sociálním vyloučením a osob ohrožených chudobou na trhu práce prostřednictvím komplexních programů zaměstnanosti a poskytování individualizovaných služeb zaměstnanosti zaměřených na osoby ohrožené sociálním vyloučením a chudobou</w:t>
      </w:r>
      <w:r w:rsidR="006F7EB0" w:rsidRPr="000B521F">
        <w:rPr>
          <w:rFonts w:ascii="Times New Roman" w:hAnsi="Times New Roman" w:cs="Times New Roman"/>
          <w:sz w:val="24"/>
          <w:szCs w:val="24"/>
        </w:rPr>
        <w:t>.</w:t>
      </w:r>
    </w:p>
    <w:p w:rsidR="008206A4" w:rsidRPr="000B521F" w:rsidRDefault="00A172DF" w:rsidP="0059011D">
      <w:pPr>
        <w:pStyle w:val="Bezmezer"/>
        <w:numPr>
          <w:ilvl w:val="0"/>
          <w:numId w:val="40"/>
        </w:numPr>
        <w:rPr>
          <w:rFonts w:ascii="Times New Roman" w:hAnsi="Times New Roman" w:cs="Times New Roman"/>
          <w:sz w:val="24"/>
          <w:szCs w:val="24"/>
        </w:rPr>
      </w:pPr>
      <w:r w:rsidRPr="000B521F">
        <w:rPr>
          <w:rFonts w:ascii="Times New Roman" w:hAnsi="Times New Roman" w:cs="Times New Roman"/>
          <w:sz w:val="24"/>
          <w:szCs w:val="24"/>
        </w:rPr>
        <w:t>Rozvoj aktivní pomoci osobám sociálně vyloučeným či ohroženým vedoucí k zajištění zaměstnání- zajištění provázanosti sociální a navazující pracovní integrace</w:t>
      </w:r>
      <w:r w:rsidR="006F7EB0" w:rsidRPr="000B521F">
        <w:rPr>
          <w:rFonts w:ascii="Times New Roman" w:hAnsi="Times New Roman" w:cs="Times New Roman"/>
          <w:sz w:val="24"/>
          <w:szCs w:val="24"/>
        </w:rPr>
        <w:t>.</w:t>
      </w:r>
    </w:p>
    <w:p w:rsidR="008206A4" w:rsidRPr="000B521F" w:rsidRDefault="00A172DF" w:rsidP="0059011D">
      <w:pPr>
        <w:pStyle w:val="Bezmezer"/>
        <w:numPr>
          <w:ilvl w:val="0"/>
          <w:numId w:val="40"/>
        </w:numPr>
        <w:rPr>
          <w:rFonts w:ascii="Times New Roman" w:hAnsi="Times New Roman" w:cs="Times New Roman"/>
          <w:sz w:val="24"/>
          <w:szCs w:val="24"/>
        </w:rPr>
      </w:pPr>
      <w:r w:rsidRPr="000B521F">
        <w:rPr>
          <w:rFonts w:ascii="Times New Roman" w:hAnsi="Times New Roman" w:cs="Times New Roman"/>
          <w:sz w:val="24"/>
          <w:szCs w:val="24"/>
        </w:rPr>
        <w:t>Rozvoj preventivních opatření na trhu práce se zaměřením na problematiku sociálního vyloučení</w:t>
      </w:r>
      <w:r w:rsidR="006F7EB0" w:rsidRPr="000B521F">
        <w:rPr>
          <w:rFonts w:ascii="Times New Roman" w:hAnsi="Times New Roman" w:cs="Times New Roman"/>
          <w:sz w:val="24"/>
          <w:szCs w:val="24"/>
        </w:rPr>
        <w:t>.</w:t>
      </w:r>
      <w:r w:rsidRPr="000B521F">
        <w:rPr>
          <w:rFonts w:ascii="Times New Roman" w:hAnsi="Times New Roman" w:cs="Times New Roman"/>
          <w:sz w:val="24"/>
          <w:szCs w:val="24"/>
        </w:rPr>
        <w:t xml:space="preserve"> </w:t>
      </w:r>
    </w:p>
    <w:p w:rsidR="008206A4" w:rsidRPr="000B521F" w:rsidRDefault="00A172DF" w:rsidP="0059011D">
      <w:pPr>
        <w:pStyle w:val="Bezmezer"/>
        <w:numPr>
          <w:ilvl w:val="0"/>
          <w:numId w:val="40"/>
        </w:numPr>
        <w:rPr>
          <w:rFonts w:ascii="Times New Roman" w:hAnsi="Times New Roman" w:cs="Times New Roman"/>
          <w:color w:val="000000"/>
          <w:sz w:val="24"/>
          <w:szCs w:val="24"/>
        </w:rPr>
      </w:pPr>
      <w:r w:rsidRPr="000B521F">
        <w:rPr>
          <w:rFonts w:ascii="Times New Roman" w:hAnsi="Times New Roman" w:cs="Times New Roman"/>
          <w:color w:val="000000"/>
          <w:sz w:val="24"/>
          <w:szCs w:val="24"/>
        </w:rPr>
        <w:t>Zlepšit dostupnost motivačních, poradenských a podpůrných služeb (mechanismů) pro rozvoj a udržitelnost sociální ekonomiky včetně systému pro vzdělávání nejen podnikatelských subjektů (tj. zvýšení informovanosti o sociálním podnikání, vzdělávání v oblasti sociálního podnikání, spolupráce aktérů atp.)</w:t>
      </w:r>
      <w:r w:rsidR="006F7EB0" w:rsidRPr="000B521F">
        <w:rPr>
          <w:rFonts w:ascii="Times New Roman" w:hAnsi="Times New Roman" w:cs="Times New Roman"/>
          <w:color w:val="000000"/>
          <w:sz w:val="24"/>
          <w:szCs w:val="24"/>
        </w:rPr>
        <w:t>.</w:t>
      </w:r>
    </w:p>
    <w:p w:rsidR="008206A4" w:rsidRPr="000B521F" w:rsidRDefault="00A172DF" w:rsidP="0059011D">
      <w:pPr>
        <w:pStyle w:val="Bezmezer"/>
        <w:numPr>
          <w:ilvl w:val="0"/>
          <w:numId w:val="40"/>
        </w:numPr>
        <w:rPr>
          <w:rFonts w:ascii="Times New Roman" w:hAnsi="Times New Roman" w:cs="Times New Roman"/>
          <w:color w:val="000000"/>
          <w:sz w:val="24"/>
          <w:szCs w:val="24"/>
        </w:rPr>
      </w:pPr>
      <w:r w:rsidRPr="000B521F">
        <w:rPr>
          <w:rFonts w:ascii="Times New Roman" w:hAnsi="Times New Roman" w:cs="Times New Roman"/>
          <w:color w:val="000000"/>
          <w:sz w:val="24"/>
          <w:szCs w:val="24"/>
        </w:rPr>
        <w:t>Vytváření podmínek k zajištění snadnějšího přístupu k finanční podpoře sociálních podniků</w:t>
      </w:r>
      <w:r w:rsidR="006F7EB0" w:rsidRPr="000B521F">
        <w:rPr>
          <w:rFonts w:ascii="Times New Roman" w:hAnsi="Times New Roman" w:cs="Times New Roman"/>
          <w:color w:val="000000"/>
          <w:sz w:val="24"/>
          <w:szCs w:val="24"/>
        </w:rPr>
        <w:t>.</w:t>
      </w:r>
    </w:p>
    <w:p w:rsidR="00A172DF" w:rsidRPr="000B521F" w:rsidRDefault="00A172DF" w:rsidP="0059011D">
      <w:pPr>
        <w:pStyle w:val="Bezmezer"/>
        <w:rPr>
          <w:rFonts w:ascii="Times New Roman" w:hAnsi="Times New Roman" w:cs="Times New Roman"/>
          <w:sz w:val="24"/>
          <w:szCs w:val="24"/>
        </w:rPr>
      </w:pPr>
    </w:p>
    <w:p w:rsidR="00A172DF" w:rsidRPr="000B521F" w:rsidRDefault="00A172DF" w:rsidP="0059011D">
      <w:pPr>
        <w:spacing w:after="120" w:line="240" w:lineRule="auto"/>
        <w:jc w:val="both"/>
        <w:rPr>
          <w:rFonts w:ascii="Times New Roman" w:hAnsi="Times New Roman" w:cs="Times New Roman"/>
          <w:b/>
          <w:i/>
          <w:color w:val="000000"/>
          <w:sz w:val="24"/>
          <w:szCs w:val="24"/>
        </w:rPr>
      </w:pPr>
      <w:r w:rsidRPr="000B521F">
        <w:rPr>
          <w:rFonts w:ascii="Times New Roman" w:hAnsi="Times New Roman" w:cs="Times New Roman"/>
          <w:b/>
          <w:i/>
          <w:color w:val="000000"/>
          <w:sz w:val="24"/>
          <w:szCs w:val="24"/>
        </w:rPr>
        <w:t>2. Rostoucí počet vyloučených lokalit</w:t>
      </w:r>
    </w:p>
    <w:p w:rsidR="00E37E1C" w:rsidRDefault="00A172DF" w:rsidP="0059011D">
      <w:p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 xml:space="preserve">Vznik sociálně vyloučených lokalit je spojen s prostorovou segregací, obce často neumí či nemohou předcházet jejich vzniku. Nesprávná je často i bytová politika obcí a privatizace bytového fondu, která problém vyloučených lokalit může i posilovat, místo aby jej řešila (viz </w:t>
      </w:r>
    </w:p>
    <w:p w:rsidR="00E37E1C" w:rsidRDefault="00E37E1C" w:rsidP="0059011D">
      <w:pPr>
        <w:spacing w:after="120" w:line="240" w:lineRule="auto"/>
        <w:jc w:val="both"/>
        <w:rPr>
          <w:rFonts w:ascii="Times New Roman" w:hAnsi="Times New Roman" w:cs="Times New Roman"/>
          <w:color w:val="000000"/>
          <w:sz w:val="24"/>
          <w:szCs w:val="24"/>
        </w:rPr>
      </w:pPr>
    </w:p>
    <w:p w:rsidR="00A172DF" w:rsidRPr="00E37E1C" w:rsidRDefault="00A172DF" w:rsidP="0059011D">
      <w:pPr>
        <w:spacing w:after="120" w:line="240" w:lineRule="auto"/>
        <w:jc w:val="both"/>
        <w:rPr>
          <w:rFonts w:ascii="Times New Roman" w:hAnsi="Times New Roman" w:cs="Times New Roman"/>
          <w:b/>
          <w:i/>
          <w:color w:val="000000"/>
          <w:sz w:val="24"/>
          <w:szCs w:val="24"/>
        </w:rPr>
      </w:pPr>
      <w:r w:rsidRPr="00E37E1C">
        <w:rPr>
          <w:rFonts w:ascii="Times New Roman" w:hAnsi="Times New Roman" w:cs="Times New Roman"/>
          <w:b/>
          <w:i/>
          <w:color w:val="000000"/>
          <w:sz w:val="24"/>
          <w:szCs w:val="24"/>
        </w:rPr>
        <w:t xml:space="preserve">3. Malá dostupnost sociálního bydlení). </w:t>
      </w:r>
    </w:p>
    <w:p w:rsidR="00A172DF" w:rsidRPr="000B521F" w:rsidRDefault="00A172DF" w:rsidP="0059011D">
      <w:p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Ve vyloučených lokalitách je také zhoršená dostupnost služeb včetně zdravotních(a často rovněž neochotou léčit sociálně vyloučené, do kterých spadají často i osoby zdravotně postižené nebo jinak stigmatizované) a nedostatečná infrastruktura. Klíčovým problémem zůstává nedostatek pracovních příležitostí, způsobený často strukturálními problémy (odchod nebo omezování aktivit zaměstnavatelů, kteří byli pro místní trh práce klíčoví) a nedostatečnou tvorbou nových pracovních míst.</w:t>
      </w:r>
    </w:p>
    <w:p w:rsidR="00A172DF" w:rsidRPr="000B521F" w:rsidRDefault="00A172DF" w:rsidP="0059011D">
      <w:p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Na místní úrovni stále chybí dostatečná koordinace řešení sociálního vyloučení a přetrvává nízká míra informovanosti o této problematice u všech relevantních aktérů, včetně veřejnosti. V neposlední řadě je málo podporován sociální dialog a vědomí společenské odpovědnosti.</w:t>
      </w:r>
    </w:p>
    <w:p w:rsidR="00A172DF" w:rsidRPr="000B521F" w:rsidRDefault="00A172DF" w:rsidP="0059011D">
      <w:p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 xml:space="preserve">Ve vyloučených lokalitách je rostoucím problémem nedostatečná kvalita základních škol hlavního vzdělávacího proudu, naopak v řadě obcí dochází k segregaci sociálně slabých, specificky romských dětí, do škol pro mentálně hendikepované děti či do tzv. ghettoškol (školy s odlivem dětí z majoritní populace a nárůstem dětí se sociálně vyloučeného prostředí). Řešení problematiky vyloučených lokalit je rovněž významně spojeno s prevencí jejich dalšího vzniku, který je do značné míry důsledkem nedostatečných preventivních (zejména sociálních) politik a současně posilován zhoršující se ekonomickou a sociální situací. </w:t>
      </w:r>
    </w:p>
    <w:p w:rsidR="00A172DF" w:rsidRPr="000B521F" w:rsidRDefault="00A172DF" w:rsidP="0059011D">
      <w:pPr>
        <w:pStyle w:val="Bezmezer"/>
        <w:rPr>
          <w:rFonts w:ascii="Times New Roman" w:hAnsi="Times New Roman" w:cs="Times New Roman"/>
          <w:i/>
          <w:sz w:val="24"/>
          <w:szCs w:val="24"/>
        </w:rPr>
      </w:pPr>
      <w:r w:rsidRPr="000B521F">
        <w:rPr>
          <w:rFonts w:ascii="Times New Roman" w:hAnsi="Times New Roman" w:cs="Times New Roman"/>
          <w:i/>
          <w:sz w:val="24"/>
          <w:szCs w:val="24"/>
        </w:rPr>
        <w:lastRenderedPageBreak/>
        <w:t>Potřeby rozvoje:</w:t>
      </w:r>
    </w:p>
    <w:p w:rsidR="008206A4" w:rsidRPr="000B521F" w:rsidRDefault="00A172DF" w:rsidP="0059011D">
      <w:pPr>
        <w:pStyle w:val="Bezmezer"/>
        <w:numPr>
          <w:ilvl w:val="0"/>
          <w:numId w:val="41"/>
        </w:numPr>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Meziinstitucionální a komplexní přístup k řešení problémů v dotčených oblastech, zahrnující aktivní přístup veřejné správy a koordinaci a posílení partnerství při tvorbě integračních strategií, podpůrné, motivační a sankční nástroje vůči lokálním aktérům a optimalizaci pokrytí sociálními službami</w:t>
      </w:r>
      <w:r w:rsidR="00064A4A">
        <w:rPr>
          <w:rFonts w:ascii="Times New Roman" w:hAnsi="Times New Roman" w:cs="Times New Roman"/>
          <w:color w:val="000000"/>
          <w:sz w:val="24"/>
          <w:szCs w:val="24"/>
        </w:rPr>
        <w:t>.</w:t>
      </w:r>
    </w:p>
    <w:p w:rsidR="008206A4" w:rsidRDefault="00A172DF" w:rsidP="0059011D">
      <w:pPr>
        <w:pStyle w:val="Bezmezer"/>
        <w:numPr>
          <w:ilvl w:val="0"/>
          <w:numId w:val="41"/>
        </w:numPr>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 xml:space="preserve">Podpora tvorby specifických nástrojů pro řešení problematiky sociálně vyloučených lokalit včetně předcházení jejich vzniku a koordinace politik a jednotlivých aktivit na podporu sociálního začleňování. </w:t>
      </w:r>
    </w:p>
    <w:p w:rsidR="009E757B" w:rsidRPr="000B521F" w:rsidRDefault="009E757B" w:rsidP="009E757B">
      <w:pPr>
        <w:pStyle w:val="Bezmezer"/>
        <w:ind w:left="502"/>
        <w:jc w:val="both"/>
        <w:rPr>
          <w:rFonts w:ascii="Times New Roman" w:hAnsi="Times New Roman" w:cs="Times New Roman"/>
          <w:color w:val="000000"/>
          <w:sz w:val="24"/>
          <w:szCs w:val="24"/>
        </w:rPr>
      </w:pPr>
    </w:p>
    <w:p w:rsidR="00A172DF" w:rsidRPr="000B521F" w:rsidRDefault="00A172DF" w:rsidP="0059011D">
      <w:pPr>
        <w:pStyle w:val="Bezmezer"/>
        <w:jc w:val="both"/>
        <w:rPr>
          <w:rFonts w:ascii="Times New Roman" w:hAnsi="Times New Roman" w:cs="Times New Roman"/>
          <w:color w:val="000000"/>
          <w:sz w:val="24"/>
          <w:szCs w:val="24"/>
        </w:rPr>
      </w:pPr>
    </w:p>
    <w:p w:rsidR="00A172DF" w:rsidRPr="000B521F" w:rsidRDefault="00A172DF" w:rsidP="0059011D">
      <w:pPr>
        <w:spacing w:after="120" w:line="240" w:lineRule="auto"/>
        <w:jc w:val="both"/>
        <w:rPr>
          <w:rFonts w:ascii="Times New Roman" w:hAnsi="Times New Roman" w:cs="Times New Roman"/>
          <w:b/>
          <w:i/>
          <w:color w:val="000000"/>
          <w:sz w:val="24"/>
          <w:szCs w:val="24"/>
        </w:rPr>
      </w:pPr>
      <w:r w:rsidRPr="000B521F">
        <w:rPr>
          <w:rFonts w:ascii="Times New Roman" w:hAnsi="Times New Roman" w:cs="Times New Roman"/>
          <w:b/>
          <w:i/>
          <w:color w:val="000000"/>
          <w:sz w:val="24"/>
          <w:szCs w:val="24"/>
        </w:rPr>
        <w:t>3. Malá dostupnost sociálního bydlen</w:t>
      </w:r>
      <w:r w:rsidR="00632CBD">
        <w:rPr>
          <w:rFonts w:ascii="Times New Roman" w:hAnsi="Times New Roman" w:cs="Times New Roman"/>
          <w:b/>
          <w:i/>
          <w:color w:val="000000"/>
          <w:sz w:val="24"/>
          <w:szCs w:val="24"/>
        </w:rPr>
        <w:t>í</w:t>
      </w:r>
      <w:r w:rsidR="00632CBD">
        <w:rPr>
          <w:rStyle w:val="Znakapoznpodarou"/>
          <w:rFonts w:cs="Times New Roman"/>
          <w:b/>
          <w:i/>
          <w:color w:val="000000"/>
          <w:sz w:val="24"/>
          <w:szCs w:val="24"/>
        </w:rPr>
        <w:footnoteReference w:id="71"/>
      </w:r>
    </w:p>
    <w:p w:rsidR="00A172DF" w:rsidRPr="000B521F" w:rsidRDefault="00A172DF" w:rsidP="0059011D">
      <w:p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Se sociálním vyloučením souvisí významné riziko ztráty bydlení, zejména v důsledku předlužení. Většina sociálně vyloučených obyvatel žije v substandardních podmínkách pro bydlení, na ubytovnách, nebo jsou postiženi bezdomovstvím. V ČR není zaveden systém sociálního (veřejného) bydlení a problematika bydlení je v jednotlivých obcích řešena různými způsoby, vč. vytěsňování chudých lidí z obcí.</w:t>
      </w:r>
    </w:p>
    <w:p w:rsidR="00A172DF" w:rsidRPr="000B521F" w:rsidRDefault="00A172DF" w:rsidP="0059011D">
      <w:p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 xml:space="preserve">Počet tzv. sociálních bytů je v ČR velmi nízký. Prudce klesá i podíl nájemních bytů, a to i přesto, že vlastnické bydlení je pro určité skupiny lidí nedostupné. Finanční nedostupnost bydlení pro osoby nebo rodiny je často spojena s potřebou splácet dluhy, dlouhodobou nezaměstnaností, zhoršením zdravotním stavem, diskriminací na trhu s byty, atd. Dalším problém v oblasti sociálního bydlení je nedostatek nástrojů prevence ztráty bydlení a chybějící legislativa/nástroje pro řešení sociálního bydlení. V důsledku toho rostou náklady nejen na sociální systémy. </w:t>
      </w:r>
    </w:p>
    <w:p w:rsidR="00A172DF" w:rsidRPr="000B521F" w:rsidRDefault="00A172DF" w:rsidP="0059011D">
      <w:pPr>
        <w:pStyle w:val="Bezmezer"/>
        <w:rPr>
          <w:rFonts w:ascii="Times New Roman" w:hAnsi="Times New Roman" w:cs="Times New Roman"/>
          <w:i/>
          <w:sz w:val="24"/>
          <w:szCs w:val="24"/>
        </w:rPr>
      </w:pPr>
      <w:r w:rsidRPr="000B521F">
        <w:rPr>
          <w:rFonts w:ascii="Times New Roman" w:hAnsi="Times New Roman" w:cs="Times New Roman"/>
          <w:i/>
          <w:sz w:val="24"/>
          <w:szCs w:val="24"/>
        </w:rPr>
        <w:t>Potřeby rozvoje:</w:t>
      </w:r>
    </w:p>
    <w:p w:rsidR="008206A4" w:rsidRPr="000B521F" w:rsidRDefault="00A172DF" w:rsidP="0059011D">
      <w:pPr>
        <w:pStyle w:val="Bezmezer"/>
        <w:numPr>
          <w:ilvl w:val="0"/>
          <w:numId w:val="42"/>
        </w:numPr>
        <w:rPr>
          <w:rFonts w:ascii="Times New Roman" w:hAnsi="Times New Roman" w:cs="Times New Roman"/>
          <w:color w:val="000000"/>
          <w:sz w:val="24"/>
          <w:szCs w:val="24"/>
        </w:rPr>
      </w:pPr>
      <w:r w:rsidRPr="000B521F">
        <w:rPr>
          <w:rFonts w:ascii="Times New Roman" w:hAnsi="Times New Roman" w:cs="Times New Roman"/>
          <w:color w:val="000000"/>
          <w:sz w:val="24"/>
          <w:szCs w:val="24"/>
        </w:rPr>
        <w:t>Rozvoj systému dostupného bydlení jako základní sociální potřeby včetně mechanismů krizového a podporovaného bydlení pro jedince i rodiny s</w:t>
      </w:r>
      <w:r w:rsidR="00064A4A">
        <w:rPr>
          <w:rFonts w:ascii="Times New Roman" w:hAnsi="Times New Roman" w:cs="Times New Roman"/>
          <w:color w:val="000000"/>
          <w:sz w:val="24"/>
          <w:szCs w:val="24"/>
        </w:rPr>
        <w:t> </w:t>
      </w:r>
      <w:r w:rsidRPr="000B521F">
        <w:rPr>
          <w:rFonts w:ascii="Times New Roman" w:hAnsi="Times New Roman" w:cs="Times New Roman"/>
          <w:color w:val="000000"/>
          <w:sz w:val="24"/>
          <w:szCs w:val="24"/>
        </w:rPr>
        <w:t>dětmi</w:t>
      </w:r>
      <w:r w:rsidR="00064A4A">
        <w:rPr>
          <w:rFonts w:ascii="Times New Roman" w:hAnsi="Times New Roman" w:cs="Times New Roman"/>
          <w:color w:val="000000"/>
          <w:sz w:val="24"/>
          <w:szCs w:val="24"/>
        </w:rPr>
        <w:t>.</w:t>
      </w:r>
    </w:p>
    <w:p w:rsidR="008206A4" w:rsidRPr="000B521F" w:rsidRDefault="00A172DF" w:rsidP="0059011D">
      <w:pPr>
        <w:pStyle w:val="Bezmezer"/>
        <w:numPr>
          <w:ilvl w:val="0"/>
          <w:numId w:val="42"/>
        </w:numPr>
        <w:rPr>
          <w:rFonts w:ascii="Times New Roman" w:hAnsi="Times New Roman" w:cs="Times New Roman"/>
          <w:color w:val="000000"/>
          <w:sz w:val="24"/>
          <w:szCs w:val="24"/>
        </w:rPr>
      </w:pPr>
      <w:r w:rsidRPr="000B521F">
        <w:rPr>
          <w:rFonts w:ascii="Times New Roman" w:hAnsi="Times New Roman" w:cs="Times New Roman"/>
          <w:color w:val="000000"/>
          <w:sz w:val="24"/>
          <w:szCs w:val="24"/>
        </w:rPr>
        <w:t>V rámci integračních politik je tak nezbytné zejména propojení služby bydlení a sociální práce, popřípadě i zdravotní péče spolu s rozvojem provázanosti a propustnosti sociálních služeb (tj. sociální bydlení, sociální a komunitní práce) a strategií místního rozvoje s vedoucí úlohou komunit.</w:t>
      </w:r>
    </w:p>
    <w:p w:rsidR="00F3719F" w:rsidRDefault="00A172DF">
      <w:pPr>
        <w:pStyle w:val="Bezmezer"/>
        <w:ind w:left="502"/>
        <w:rPr>
          <w:rFonts w:ascii="Times New Roman" w:hAnsi="Times New Roman" w:cs="Times New Roman"/>
          <w:color w:val="000000"/>
          <w:sz w:val="24"/>
          <w:szCs w:val="24"/>
        </w:rPr>
      </w:pPr>
      <w:r w:rsidRPr="000B521F">
        <w:rPr>
          <w:rFonts w:ascii="Times New Roman" w:hAnsi="Times New Roman" w:cs="Times New Roman"/>
          <w:color w:val="000000"/>
          <w:sz w:val="24"/>
          <w:szCs w:val="24"/>
        </w:rPr>
        <w:t>Rozvoj modelů podpory vedoucích k bydlení, a to zejm. modelu HousingFirst</w:t>
      </w:r>
      <w:r w:rsidR="00064A4A">
        <w:rPr>
          <w:rFonts w:ascii="Times New Roman" w:hAnsi="Times New Roman" w:cs="Times New Roman"/>
          <w:color w:val="000000"/>
          <w:sz w:val="24"/>
          <w:szCs w:val="24"/>
        </w:rPr>
        <w:t>.</w:t>
      </w:r>
      <w:r w:rsidRPr="000B521F">
        <w:rPr>
          <w:rFonts w:ascii="Times New Roman" w:hAnsi="Times New Roman" w:cs="Times New Roman"/>
          <w:color w:val="000000"/>
          <w:sz w:val="24"/>
          <w:szCs w:val="24"/>
        </w:rPr>
        <w:t xml:space="preserve"> </w:t>
      </w:r>
    </w:p>
    <w:p w:rsidR="00E37E1C" w:rsidRDefault="00E37E1C">
      <w:pPr>
        <w:pStyle w:val="Bezmezer"/>
        <w:ind w:left="502"/>
        <w:rPr>
          <w:rFonts w:ascii="Times New Roman" w:hAnsi="Times New Roman" w:cs="Times New Roman"/>
          <w:color w:val="000000"/>
          <w:sz w:val="24"/>
          <w:szCs w:val="24"/>
        </w:rPr>
      </w:pPr>
    </w:p>
    <w:p w:rsidR="00A172DF" w:rsidRPr="000B521F" w:rsidRDefault="00A172DF" w:rsidP="0059011D">
      <w:pPr>
        <w:spacing w:after="120" w:line="240" w:lineRule="auto"/>
        <w:jc w:val="both"/>
        <w:rPr>
          <w:rFonts w:ascii="Times New Roman" w:hAnsi="Times New Roman" w:cs="Times New Roman"/>
          <w:b/>
          <w:i/>
          <w:color w:val="000000"/>
          <w:sz w:val="24"/>
          <w:szCs w:val="24"/>
        </w:rPr>
      </w:pPr>
      <w:r w:rsidRPr="00FA5396">
        <w:rPr>
          <w:rFonts w:ascii="Times New Roman" w:hAnsi="Times New Roman" w:cs="Times New Roman"/>
          <w:b/>
          <w:i/>
          <w:color w:val="000000"/>
          <w:sz w:val="24"/>
          <w:szCs w:val="24"/>
        </w:rPr>
        <w:t>4. Nastavení a dostupnost sociálních služeb neodpovídá potřebám cílových s</w:t>
      </w:r>
      <w:r w:rsidRPr="000B521F">
        <w:rPr>
          <w:rFonts w:ascii="Times New Roman" w:hAnsi="Times New Roman" w:cs="Times New Roman"/>
          <w:b/>
          <w:i/>
          <w:color w:val="000000"/>
          <w:sz w:val="24"/>
          <w:szCs w:val="24"/>
        </w:rPr>
        <w:t>kupin</w:t>
      </w:r>
    </w:p>
    <w:p w:rsidR="00A172DF" w:rsidRPr="000B521F" w:rsidRDefault="00A172DF" w:rsidP="0059011D">
      <w:p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 xml:space="preserve">Ohrožení rizikových skupin sociálním vyloučením a chudobou zesiluje také nedostupnost některých typů sociálních služeb (nízkoprahových, terénních a ambulantních) a sociálních a preventivních programů (integrační aktivity pro osoby po výkonu trestu či ve výkonu alternativních trestů, služby pro rodiny a děti, psychologické poradny pro ohrožené skupiny, preventivní aktivity pro osoby, jež jsou ve zvýšené míře ohroženy trestnou činností aj.). </w:t>
      </w:r>
    </w:p>
    <w:p w:rsidR="00A172DF" w:rsidRPr="000B521F" w:rsidRDefault="00A172DF" w:rsidP="0059011D">
      <w:p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 xml:space="preserve">Souvisejícím problémem je vysoká míra využívání institucionální péče při řešení problémů ohrožených dětí a rodin a nedostatečná opatření pro slaďování pracovního a rodinného života. Zásadním problém je také zajištění kvality, dostupnosti, propustnosti a komplexnosti systému sociálních služeb a jejich provázanost s dalšími službami, zejména v oblasti zaměstnanosti, zdravotní péče a bydlení. </w:t>
      </w:r>
    </w:p>
    <w:p w:rsidR="00A172DF" w:rsidRPr="000B521F" w:rsidRDefault="00A172DF" w:rsidP="0059011D">
      <w:p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lastRenderedPageBreak/>
        <w:t>Slabinou systému sociálních služeb jsou rovněž nedostatečně prováděné inspekce kvality v sociálních službách a neexistence standardů kvality v navazujících službách; rovněž vzdělání a odborné kompetence sociálních pracovníků často nejsou dostatečné.</w:t>
      </w:r>
    </w:p>
    <w:p w:rsidR="00A172DF" w:rsidRPr="000B521F" w:rsidRDefault="00A172DF" w:rsidP="0059011D">
      <w:p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V ČR existují rovněž území a regiony s nedostatečnými pokrytím sítěmi sociálních služeb, které by odrážely a reagovaly na jejich poptávku.</w:t>
      </w:r>
    </w:p>
    <w:p w:rsidR="00A172DF" w:rsidRPr="000B521F" w:rsidRDefault="00A172DF" w:rsidP="00833CB5">
      <w:pPr>
        <w:pStyle w:val="Bezmezer"/>
        <w:jc w:val="both"/>
        <w:rPr>
          <w:rFonts w:ascii="Times New Roman" w:hAnsi="Times New Roman" w:cs="Times New Roman"/>
          <w:i/>
          <w:sz w:val="24"/>
          <w:szCs w:val="24"/>
        </w:rPr>
      </w:pPr>
      <w:r w:rsidRPr="000B521F">
        <w:rPr>
          <w:rFonts w:ascii="Times New Roman" w:hAnsi="Times New Roman" w:cs="Times New Roman"/>
          <w:i/>
          <w:sz w:val="24"/>
          <w:szCs w:val="24"/>
        </w:rPr>
        <w:t>Potřeby rozvoje:</w:t>
      </w:r>
    </w:p>
    <w:p w:rsidR="008206A4" w:rsidRPr="000B521F" w:rsidRDefault="00A172DF" w:rsidP="00833CB5">
      <w:pPr>
        <w:pStyle w:val="Bezmezer"/>
        <w:numPr>
          <w:ilvl w:val="0"/>
          <w:numId w:val="43"/>
        </w:numPr>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Systematizace financování služeb sociální prevence, sociálního poradenství a zdravotní péče (neziskový sektor, podnikatelé, veřejnost) ve prospěch efektivní kombinace komunitních a institucionalizovaných služeb</w:t>
      </w:r>
      <w:r w:rsidR="00064A4A">
        <w:rPr>
          <w:rFonts w:ascii="Times New Roman" w:hAnsi="Times New Roman" w:cs="Times New Roman"/>
          <w:color w:val="000000"/>
          <w:sz w:val="24"/>
          <w:szCs w:val="24"/>
        </w:rPr>
        <w:t>.</w:t>
      </w:r>
    </w:p>
    <w:p w:rsidR="008206A4" w:rsidRPr="000B521F" w:rsidRDefault="00A172DF" w:rsidP="00833CB5">
      <w:pPr>
        <w:pStyle w:val="Bezmezer"/>
        <w:numPr>
          <w:ilvl w:val="0"/>
          <w:numId w:val="43"/>
        </w:numPr>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Zvyšování dostupnosti a účinnosti ambulantních a pobytových služeb a nízkoprahových a kulturně komunitních center poskytující např. integrační služby</w:t>
      </w:r>
      <w:r w:rsidR="00064A4A">
        <w:rPr>
          <w:rFonts w:ascii="Times New Roman" w:hAnsi="Times New Roman" w:cs="Times New Roman"/>
          <w:color w:val="000000"/>
          <w:sz w:val="24"/>
          <w:szCs w:val="24"/>
        </w:rPr>
        <w:t>.</w:t>
      </w:r>
    </w:p>
    <w:p w:rsidR="008206A4" w:rsidRPr="000B521F" w:rsidRDefault="00A172DF" w:rsidP="00833CB5">
      <w:pPr>
        <w:pStyle w:val="Bezmezer"/>
        <w:numPr>
          <w:ilvl w:val="0"/>
          <w:numId w:val="43"/>
        </w:numPr>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Rozvoj neformální a sdílené péče, informovanosti, transformace a deinstitucionalizace služeb a vzdělávání pracovníků v sociální oblasti, podpora dobrovolnictví</w:t>
      </w:r>
      <w:r w:rsidR="00064A4A">
        <w:rPr>
          <w:rFonts w:ascii="Times New Roman" w:hAnsi="Times New Roman" w:cs="Times New Roman"/>
          <w:color w:val="000000"/>
          <w:sz w:val="24"/>
          <w:szCs w:val="24"/>
        </w:rPr>
        <w:t>.</w:t>
      </w:r>
    </w:p>
    <w:p w:rsidR="008206A4" w:rsidRPr="000B521F" w:rsidRDefault="00A172DF" w:rsidP="00833CB5">
      <w:pPr>
        <w:pStyle w:val="Bezmezer"/>
        <w:numPr>
          <w:ilvl w:val="0"/>
          <w:numId w:val="43"/>
        </w:numPr>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Rozvoj nových modelů komunitních sociálních služeb obecného zájmu</w:t>
      </w:r>
      <w:r w:rsidR="00064A4A">
        <w:rPr>
          <w:rFonts w:ascii="Times New Roman" w:hAnsi="Times New Roman" w:cs="Times New Roman"/>
          <w:color w:val="000000"/>
          <w:sz w:val="24"/>
          <w:szCs w:val="24"/>
        </w:rPr>
        <w:t>.</w:t>
      </w:r>
      <w:r w:rsidRPr="000B521F">
        <w:rPr>
          <w:rFonts w:ascii="Times New Roman" w:hAnsi="Times New Roman" w:cs="Times New Roman"/>
          <w:color w:val="000000"/>
          <w:sz w:val="24"/>
          <w:szCs w:val="24"/>
        </w:rPr>
        <w:t xml:space="preserve"> </w:t>
      </w:r>
    </w:p>
    <w:p w:rsidR="008206A4" w:rsidRPr="000B521F" w:rsidRDefault="00A172DF" w:rsidP="00833CB5">
      <w:pPr>
        <w:pStyle w:val="Bezmezer"/>
        <w:numPr>
          <w:ilvl w:val="0"/>
          <w:numId w:val="43"/>
        </w:numPr>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Podpora nedostatkových sociálních služeb, sociálních a preventivních programů</w:t>
      </w:r>
      <w:r w:rsidR="00064A4A">
        <w:rPr>
          <w:rFonts w:ascii="Times New Roman" w:hAnsi="Times New Roman" w:cs="Times New Roman"/>
          <w:color w:val="000000"/>
          <w:sz w:val="24"/>
          <w:szCs w:val="24"/>
        </w:rPr>
        <w:t>.</w:t>
      </w:r>
    </w:p>
    <w:p w:rsidR="008206A4" w:rsidRPr="000B521F" w:rsidRDefault="00A172DF" w:rsidP="00833CB5">
      <w:pPr>
        <w:pStyle w:val="Bezmezer"/>
        <w:numPr>
          <w:ilvl w:val="0"/>
          <w:numId w:val="43"/>
        </w:numPr>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Rozvoj spolupráce poskytovatelů sociálních služeb za účelem sociálního začleňování na místní úrovni</w:t>
      </w:r>
      <w:r w:rsidR="00064A4A">
        <w:rPr>
          <w:rFonts w:ascii="Times New Roman" w:hAnsi="Times New Roman" w:cs="Times New Roman"/>
          <w:color w:val="000000"/>
          <w:sz w:val="24"/>
          <w:szCs w:val="24"/>
        </w:rPr>
        <w:t>.</w:t>
      </w:r>
    </w:p>
    <w:p w:rsidR="008206A4" w:rsidRPr="000B521F" w:rsidRDefault="00A172DF" w:rsidP="00833CB5">
      <w:pPr>
        <w:pStyle w:val="Bezmezer"/>
        <w:numPr>
          <w:ilvl w:val="0"/>
          <w:numId w:val="43"/>
        </w:numPr>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Zefektivňování procesů v sociálních službách a ve službách pro rodiny a děti, rozvoj strategického řízení a managementu s cílem podpořit prevenci a včasnou intervenci</w:t>
      </w:r>
      <w:r w:rsidR="00064A4A">
        <w:rPr>
          <w:rFonts w:ascii="Times New Roman" w:hAnsi="Times New Roman" w:cs="Times New Roman"/>
          <w:color w:val="000000"/>
          <w:sz w:val="24"/>
          <w:szCs w:val="24"/>
        </w:rPr>
        <w:t>.</w:t>
      </w:r>
    </w:p>
    <w:p w:rsidR="008206A4" w:rsidRPr="000B521F" w:rsidRDefault="00A172DF" w:rsidP="00833CB5">
      <w:pPr>
        <w:pStyle w:val="Bezmezer"/>
        <w:numPr>
          <w:ilvl w:val="0"/>
          <w:numId w:val="43"/>
        </w:numPr>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Posilování prvků kvality, standardizace činností v sociálních službách, službách pro rodiny a děti, sociálně právní ochraně dětí a dalších navazujících službách a organizacích podporujících sociální začleňování</w:t>
      </w:r>
      <w:r w:rsidR="00064A4A">
        <w:rPr>
          <w:rFonts w:ascii="Times New Roman" w:hAnsi="Times New Roman" w:cs="Times New Roman"/>
          <w:color w:val="000000"/>
          <w:sz w:val="24"/>
          <w:szCs w:val="24"/>
        </w:rPr>
        <w:t>.</w:t>
      </w:r>
    </w:p>
    <w:p w:rsidR="008206A4" w:rsidRPr="000B521F" w:rsidRDefault="00A172DF" w:rsidP="00833CB5">
      <w:pPr>
        <w:pStyle w:val="Bezmezer"/>
        <w:numPr>
          <w:ilvl w:val="0"/>
          <w:numId w:val="43"/>
        </w:numPr>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Vzdělávání sociálních pracovníků pracujících v sociálních a zdravotnických službách</w:t>
      </w:r>
      <w:r w:rsidR="00064A4A">
        <w:rPr>
          <w:rFonts w:ascii="Times New Roman" w:hAnsi="Times New Roman" w:cs="Times New Roman"/>
          <w:color w:val="000000"/>
          <w:sz w:val="24"/>
          <w:szCs w:val="24"/>
        </w:rPr>
        <w:t>.</w:t>
      </w:r>
    </w:p>
    <w:p w:rsidR="00A172DF" w:rsidRPr="000B521F" w:rsidRDefault="00A172DF" w:rsidP="0059011D">
      <w:pPr>
        <w:pStyle w:val="Bezmezer"/>
        <w:rPr>
          <w:rFonts w:ascii="Times New Roman" w:hAnsi="Times New Roman" w:cs="Times New Roman"/>
          <w:color w:val="000000"/>
          <w:sz w:val="24"/>
          <w:szCs w:val="24"/>
        </w:rPr>
      </w:pPr>
    </w:p>
    <w:p w:rsidR="00A172DF" w:rsidRPr="000B521F" w:rsidRDefault="00A172DF" w:rsidP="0059011D">
      <w:pPr>
        <w:spacing w:after="120" w:line="240" w:lineRule="auto"/>
        <w:jc w:val="both"/>
        <w:rPr>
          <w:rFonts w:ascii="Times New Roman" w:hAnsi="Times New Roman" w:cs="Times New Roman"/>
          <w:b/>
          <w:i/>
          <w:color w:val="000000"/>
          <w:sz w:val="24"/>
          <w:szCs w:val="24"/>
        </w:rPr>
      </w:pPr>
      <w:r w:rsidRPr="000B521F">
        <w:rPr>
          <w:rFonts w:ascii="Times New Roman" w:hAnsi="Times New Roman" w:cs="Times New Roman"/>
          <w:b/>
          <w:i/>
          <w:color w:val="000000"/>
          <w:sz w:val="24"/>
          <w:szCs w:val="24"/>
        </w:rPr>
        <w:t xml:space="preserve">5. Nedostatečné využívání moderních nástrojů řešení problematiky sociálního vyloučení </w:t>
      </w:r>
    </w:p>
    <w:p w:rsidR="00A172DF" w:rsidRPr="000B521F" w:rsidRDefault="00A172DF" w:rsidP="0059011D">
      <w:p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V ČR existují přetrvávající problémy, které se nedaří řešit pomocí tradičních nástrojů sociální politiky a politik trhu práce, ať už je to oblast trhu práce, sociálního začleňování nebo veřejné správy. Dlouho přetrvávající a obtížně řešitelné problémy jsou potenciálně vhodné pro řešení pomocí sociálních inovací ovšem míra využívání sociálních inovací a nově vzniklých nástrojů je v ČR nízká (v podstatě nulová). V ČR neexistuje infrastruktura pro vývoj a šíření sociálních inovací, není deklarovaný zájem o tvorbu nových řešení a jejich další využití (tzv. inovační poptávka), úroveň povědomí o (sociálních) inovacích a jejich přínosech je nízká. Důsledkem tohoto stavu je i minimum finančních prostředků, které je na jejich podporu poskytováno a roztříštěnost inovační nabídky.</w:t>
      </w:r>
    </w:p>
    <w:p w:rsidR="00A172DF" w:rsidRPr="000B521F" w:rsidRDefault="00A172DF" w:rsidP="00833CB5">
      <w:pPr>
        <w:pStyle w:val="Bezmezer"/>
        <w:jc w:val="both"/>
        <w:rPr>
          <w:rFonts w:ascii="Times New Roman" w:hAnsi="Times New Roman" w:cs="Times New Roman"/>
          <w:i/>
          <w:sz w:val="24"/>
          <w:szCs w:val="24"/>
        </w:rPr>
      </w:pPr>
      <w:r w:rsidRPr="000B521F">
        <w:rPr>
          <w:rFonts w:ascii="Times New Roman" w:hAnsi="Times New Roman" w:cs="Times New Roman"/>
          <w:i/>
          <w:sz w:val="24"/>
          <w:szCs w:val="24"/>
        </w:rPr>
        <w:t>Potřeby rozvoje:</w:t>
      </w:r>
    </w:p>
    <w:p w:rsidR="008206A4" w:rsidRPr="000B521F" w:rsidRDefault="00A172DF" w:rsidP="00833CB5">
      <w:pPr>
        <w:pStyle w:val="Bezmezer"/>
        <w:numPr>
          <w:ilvl w:val="0"/>
          <w:numId w:val="44"/>
        </w:numPr>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Zlepšení kapacit a infrastruktury pro vývoj a šíření sociálních inovací</w:t>
      </w:r>
      <w:r w:rsidR="00833CB5">
        <w:rPr>
          <w:rFonts w:ascii="Times New Roman" w:hAnsi="Times New Roman" w:cs="Times New Roman"/>
          <w:color w:val="000000"/>
          <w:sz w:val="24"/>
          <w:szCs w:val="24"/>
        </w:rPr>
        <w:t>.</w:t>
      </w:r>
      <w:r w:rsidRPr="000B521F">
        <w:rPr>
          <w:rFonts w:ascii="Times New Roman" w:hAnsi="Times New Roman" w:cs="Times New Roman"/>
          <w:color w:val="000000"/>
          <w:sz w:val="24"/>
          <w:szCs w:val="24"/>
        </w:rPr>
        <w:t xml:space="preserve"> </w:t>
      </w:r>
    </w:p>
    <w:p w:rsidR="008206A4" w:rsidRPr="000B521F" w:rsidRDefault="00A172DF" w:rsidP="00833CB5">
      <w:pPr>
        <w:pStyle w:val="Bezmezer"/>
        <w:numPr>
          <w:ilvl w:val="0"/>
          <w:numId w:val="44"/>
        </w:numPr>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Vytvoření a rozvoj kapacit pro inovační nabídku a poptávku (vzdělávání aktérů na straně poptávky i nabídky, vznik inovační platformy – podpora síťování a spolupráce aktérů, apod.)</w:t>
      </w:r>
      <w:r w:rsidR="00833CB5">
        <w:rPr>
          <w:rFonts w:ascii="Times New Roman" w:hAnsi="Times New Roman" w:cs="Times New Roman"/>
          <w:color w:val="000000"/>
          <w:sz w:val="24"/>
          <w:szCs w:val="24"/>
        </w:rPr>
        <w:t>.</w:t>
      </w:r>
    </w:p>
    <w:p w:rsidR="00A172DF" w:rsidRPr="000B521F" w:rsidRDefault="00A172DF" w:rsidP="0059011D">
      <w:pPr>
        <w:pStyle w:val="Bezmezer"/>
        <w:rPr>
          <w:rFonts w:ascii="Times New Roman" w:hAnsi="Times New Roman" w:cs="Times New Roman"/>
          <w:color w:val="000000"/>
          <w:sz w:val="24"/>
          <w:szCs w:val="24"/>
        </w:rPr>
      </w:pPr>
    </w:p>
    <w:p w:rsidR="00A172DF" w:rsidRPr="000B521F" w:rsidRDefault="00A172DF" w:rsidP="0059011D">
      <w:pPr>
        <w:spacing w:after="120" w:line="240" w:lineRule="auto"/>
        <w:jc w:val="both"/>
        <w:rPr>
          <w:rFonts w:ascii="Times New Roman" w:hAnsi="Times New Roman" w:cs="Times New Roman"/>
          <w:b/>
          <w:i/>
          <w:color w:val="000000"/>
          <w:sz w:val="24"/>
          <w:szCs w:val="24"/>
        </w:rPr>
      </w:pPr>
      <w:r w:rsidRPr="000B521F">
        <w:rPr>
          <w:rFonts w:ascii="Times New Roman" w:hAnsi="Times New Roman" w:cs="Times New Roman"/>
          <w:b/>
          <w:i/>
          <w:color w:val="000000"/>
          <w:sz w:val="24"/>
          <w:szCs w:val="24"/>
        </w:rPr>
        <w:t>6. Nedostatky v kvalitě a dostupnosti zdravotní péče a v prevenci závažných onemocnění</w:t>
      </w:r>
    </w:p>
    <w:p w:rsidR="00A172DF" w:rsidRPr="000B521F" w:rsidRDefault="00A172DF"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color w:val="000000"/>
          <w:sz w:val="24"/>
          <w:szCs w:val="24"/>
        </w:rPr>
        <w:t xml:space="preserve">Kvalita a dostupnost infrastruktury poskytovatelů zdravotní péče v ČR vykazuje značné regionální nerovnosti. Platí to nejen v případě </w:t>
      </w:r>
      <w:r w:rsidR="00131E00" w:rsidRPr="000B521F">
        <w:rPr>
          <w:rFonts w:ascii="Times New Roman" w:hAnsi="Times New Roman" w:cs="Times New Roman"/>
          <w:color w:val="000000"/>
          <w:sz w:val="24"/>
          <w:szCs w:val="24"/>
        </w:rPr>
        <w:t>vysoce specializované</w:t>
      </w:r>
      <w:r w:rsidRPr="000B521F">
        <w:rPr>
          <w:rFonts w:ascii="Times New Roman" w:hAnsi="Times New Roman" w:cs="Times New Roman"/>
          <w:color w:val="000000"/>
          <w:sz w:val="24"/>
          <w:szCs w:val="24"/>
        </w:rPr>
        <w:t xml:space="preserve"> péče, ale zejména v oblasti následné péče. To snižuje zaměstnatelnost především žen, které v případě místní nedostupnosti profesionální péče často přebírají péči o dlouhodobě nemocné členy rodiny v domácím ošetřování. </w:t>
      </w:r>
      <w:r w:rsidRPr="000B521F">
        <w:rPr>
          <w:rFonts w:ascii="Times New Roman" w:hAnsi="Times New Roman" w:cs="Times New Roman"/>
          <w:sz w:val="24"/>
          <w:szCs w:val="24"/>
        </w:rPr>
        <w:t>Významné nedostatky existují i v oblasti péče na sociálně zdravotním rozhraní.</w:t>
      </w:r>
    </w:p>
    <w:p w:rsidR="00A172DF" w:rsidRPr="000B521F" w:rsidRDefault="00A172DF" w:rsidP="0059011D">
      <w:p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lastRenderedPageBreak/>
        <w:t xml:space="preserve">Dlouhodobé podfinancování a zanedbání psychiatrické péče způsobilo, že duševně nemocní, jsou bez adekvátní alternativy nuceni k dlouhodobým pobytům v institucionálních zařízeních, což zvyšuje riziko jejich vyloučení ze společnosti i trhu práce. </w:t>
      </w:r>
    </w:p>
    <w:p w:rsidR="00A172DF" w:rsidRPr="000B521F" w:rsidRDefault="00A172DF" w:rsidP="0059011D">
      <w:p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 xml:space="preserve">Efektivita systému péče o zdraví je významně oslabována nedostatečným důrazem na podporu zdravého životního stylu a prevence. Největší význam má především včasný záchyt závažných onemocnění, snížení výskytu rizikových faktorů v populaci (informační programy a poradenství pro nejvíce ohrožené skupiny) a zvýšení odpovědnosti za vlastní zdraví. </w:t>
      </w:r>
    </w:p>
    <w:p w:rsidR="00A172DF" w:rsidRPr="000B521F" w:rsidRDefault="00A172DF" w:rsidP="00833CB5">
      <w:pPr>
        <w:pStyle w:val="Bezmezer"/>
        <w:jc w:val="both"/>
        <w:rPr>
          <w:rFonts w:ascii="Times New Roman" w:hAnsi="Times New Roman" w:cs="Times New Roman"/>
          <w:i/>
          <w:sz w:val="24"/>
          <w:szCs w:val="24"/>
        </w:rPr>
      </w:pPr>
      <w:r w:rsidRPr="000B521F">
        <w:rPr>
          <w:rFonts w:ascii="Times New Roman" w:hAnsi="Times New Roman" w:cs="Times New Roman"/>
          <w:i/>
          <w:sz w:val="24"/>
          <w:szCs w:val="24"/>
        </w:rPr>
        <w:t>Potřeby rozvoje:</w:t>
      </w:r>
    </w:p>
    <w:p w:rsidR="008206A4" w:rsidRPr="000B521F" w:rsidRDefault="00A172DF" w:rsidP="00833CB5">
      <w:pPr>
        <w:pStyle w:val="Bezmezer"/>
        <w:numPr>
          <w:ilvl w:val="0"/>
          <w:numId w:val="45"/>
        </w:numPr>
        <w:jc w:val="both"/>
        <w:rPr>
          <w:rFonts w:ascii="Times New Roman" w:hAnsi="Times New Roman" w:cs="Times New Roman"/>
          <w:sz w:val="24"/>
          <w:szCs w:val="24"/>
        </w:rPr>
      </w:pPr>
      <w:r w:rsidRPr="000B521F">
        <w:rPr>
          <w:rFonts w:ascii="Times New Roman" w:hAnsi="Times New Roman" w:cs="Times New Roman"/>
          <w:sz w:val="24"/>
          <w:szCs w:val="24"/>
        </w:rPr>
        <w:t>Zlepšit kvalitu</w:t>
      </w:r>
      <w:r w:rsidR="008B732E" w:rsidRPr="000B521F">
        <w:rPr>
          <w:rFonts w:ascii="Times New Roman" w:hAnsi="Times New Roman" w:cs="Times New Roman"/>
          <w:sz w:val="24"/>
          <w:szCs w:val="24"/>
        </w:rPr>
        <w:t xml:space="preserve"> (modernizace</w:t>
      </w:r>
      <w:r w:rsidR="006275B9" w:rsidRPr="000B521F">
        <w:rPr>
          <w:rFonts w:ascii="Times New Roman" w:hAnsi="Times New Roman" w:cs="Times New Roman"/>
          <w:sz w:val="24"/>
          <w:szCs w:val="24"/>
        </w:rPr>
        <w:t xml:space="preserve"> a zlepšení infrastruktury</w:t>
      </w:r>
      <w:r w:rsidR="008B732E" w:rsidRPr="000B521F">
        <w:rPr>
          <w:rFonts w:ascii="Times New Roman" w:hAnsi="Times New Roman" w:cs="Times New Roman"/>
          <w:sz w:val="24"/>
          <w:szCs w:val="24"/>
        </w:rPr>
        <w:t>)</w:t>
      </w:r>
      <w:r w:rsidRPr="000B521F">
        <w:rPr>
          <w:rFonts w:ascii="Times New Roman" w:hAnsi="Times New Roman" w:cs="Times New Roman"/>
          <w:sz w:val="24"/>
          <w:szCs w:val="24"/>
        </w:rPr>
        <w:t xml:space="preserve"> a dostupnost poskytované zdravotní péče, která bude reflektovat demografické trendy, ať již v centrech </w:t>
      </w:r>
      <w:r w:rsidR="008E1189" w:rsidRPr="000B521F">
        <w:rPr>
          <w:rFonts w:ascii="Times New Roman" w:hAnsi="Times New Roman" w:cs="Times New Roman"/>
          <w:sz w:val="24"/>
          <w:szCs w:val="24"/>
        </w:rPr>
        <w:t xml:space="preserve">vysoce </w:t>
      </w:r>
      <w:r w:rsidRPr="000B521F">
        <w:rPr>
          <w:rFonts w:ascii="Times New Roman" w:hAnsi="Times New Roman" w:cs="Times New Roman"/>
          <w:sz w:val="24"/>
          <w:szCs w:val="24"/>
        </w:rPr>
        <w:t>specializované péče (nebo v zařízeních poskytujících následnou a návaznou péči, a která umožní rovný přístup ke zdraví a zdravotní péči všem skupinám obyvatel</w:t>
      </w:r>
      <w:r w:rsidR="00833CB5">
        <w:rPr>
          <w:rFonts w:ascii="Times New Roman" w:hAnsi="Times New Roman" w:cs="Times New Roman"/>
          <w:sz w:val="24"/>
          <w:szCs w:val="24"/>
        </w:rPr>
        <w:t>.</w:t>
      </w:r>
    </w:p>
    <w:p w:rsidR="008206A4" w:rsidRPr="000B521F" w:rsidRDefault="00A172DF" w:rsidP="00833CB5">
      <w:pPr>
        <w:pStyle w:val="Bezmezer"/>
        <w:numPr>
          <w:ilvl w:val="0"/>
          <w:numId w:val="45"/>
        </w:numPr>
        <w:jc w:val="both"/>
        <w:rPr>
          <w:rFonts w:ascii="Times New Roman" w:hAnsi="Times New Roman" w:cs="Times New Roman"/>
          <w:sz w:val="24"/>
          <w:szCs w:val="24"/>
        </w:rPr>
      </w:pPr>
      <w:r w:rsidRPr="000B521F">
        <w:rPr>
          <w:rFonts w:ascii="Times New Roman" w:hAnsi="Times New Roman" w:cs="Times New Roman"/>
          <w:sz w:val="24"/>
          <w:szCs w:val="24"/>
        </w:rPr>
        <w:t>Restrukturalizace psychiatrické péče ve smyslu její humanizace a rozvoji komunitní péče, zlepšením infrastruktury pro její poskytování, vzděláváním pracovníků poskytovatelů psychiatrické péče, podporovou tvorby nových neinstitucionálních typů péče, programů na podporu duševního zdraví a podporou návratu duševně nemocných na trh práce</w:t>
      </w:r>
      <w:r w:rsidR="00833CB5">
        <w:rPr>
          <w:rFonts w:ascii="Times New Roman" w:hAnsi="Times New Roman" w:cs="Times New Roman"/>
          <w:sz w:val="24"/>
          <w:szCs w:val="24"/>
        </w:rPr>
        <w:t>.</w:t>
      </w:r>
    </w:p>
    <w:p w:rsidR="008206A4" w:rsidRPr="000B521F" w:rsidRDefault="00A172DF" w:rsidP="00833CB5">
      <w:pPr>
        <w:pStyle w:val="Bezmezer"/>
        <w:numPr>
          <w:ilvl w:val="0"/>
          <w:numId w:val="45"/>
        </w:numPr>
        <w:jc w:val="both"/>
        <w:rPr>
          <w:rFonts w:ascii="Times New Roman" w:hAnsi="Times New Roman" w:cs="Times New Roman"/>
          <w:sz w:val="24"/>
          <w:szCs w:val="24"/>
        </w:rPr>
      </w:pPr>
      <w:r w:rsidRPr="000B521F">
        <w:rPr>
          <w:rFonts w:ascii="Times New Roman" w:hAnsi="Times New Roman" w:cs="Times New Roman"/>
          <w:sz w:val="24"/>
          <w:szCs w:val="24"/>
        </w:rPr>
        <w:t>Podpora zdravého životního stylu zaměřená především na snížení výskytu rizikových faktorů ve společnosti</w:t>
      </w:r>
      <w:r w:rsidR="00833CB5">
        <w:rPr>
          <w:rFonts w:ascii="Times New Roman" w:hAnsi="Times New Roman" w:cs="Times New Roman"/>
          <w:sz w:val="24"/>
          <w:szCs w:val="24"/>
        </w:rPr>
        <w:t>.</w:t>
      </w:r>
    </w:p>
    <w:p w:rsidR="008206A4" w:rsidRPr="000B521F" w:rsidRDefault="00A172DF" w:rsidP="00833CB5">
      <w:pPr>
        <w:pStyle w:val="Bezmezer"/>
        <w:numPr>
          <w:ilvl w:val="0"/>
          <w:numId w:val="45"/>
        </w:numPr>
        <w:jc w:val="both"/>
        <w:rPr>
          <w:rFonts w:ascii="Times New Roman" w:hAnsi="Times New Roman" w:cs="Times New Roman"/>
          <w:sz w:val="24"/>
          <w:szCs w:val="24"/>
        </w:rPr>
      </w:pPr>
      <w:r w:rsidRPr="000B521F">
        <w:rPr>
          <w:rFonts w:ascii="Times New Roman" w:hAnsi="Times New Roman" w:cs="Times New Roman"/>
          <w:sz w:val="24"/>
          <w:szCs w:val="24"/>
        </w:rPr>
        <w:t>Vzdělávání zdravotnického personálu ve vztahu k modernizaci psychiatrické péče a stárnutí obyvatel tak, aby specifické kompetence odrážely jak stávající požadavky, tak požadavky, které lze vzhledem k demografickému vývoji očekávat</w:t>
      </w:r>
      <w:r w:rsidR="00833CB5">
        <w:rPr>
          <w:rFonts w:ascii="Times New Roman" w:hAnsi="Times New Roman" w:cs="Times New Roman"/>
          <w:sz w:val="24"/>
          <w:szCs w:val="24"/>
        </w:rPr>
        <w:t>.</w:t>
      </w:r>
    </w:p>
    <w:p w:rsidR="008206A4" w:rsidRPr="000B521F" w:rsidRDefault="00A172DF" w:rsidP="00833CB5">
      <w:pPr>
        <w:pStyle w:val="Bezmezer"/>
        <w:numPr>
          <w:ilvl w:val="0"/>
          <w:numId w:val="45"/>
        </w:numPr>
        <w:jc w:val="both"/>
        <w:rPr>
          <w:rFonts w:ascii="Times New Roman" w:hAnsi="Times New Roman" w:cs="Times New Roman"/>
          <w:color w:val="000000"/>
          <w:sz w:val="24"/>
          <w:szCs w:val="24"/>
        </w:rPr>
      </w:pPr>
      <w:r w:rsidRPr="000B521F">
        <w:rPr>
          <w:rFonts w:ascii="Times New Roman" w:hAnsi="Times New Roman" w:cs="Times New Roman"/>
          <w:sz w:val="24"/>
          <w:szCs w:val="24"/>
        </w:rPr>
        <w:t>Propojování zdravotní a sociální péče</w:t>
      </w:r>
      <w:r w:rsidR="00833CB5">
        <w:rPr>
          <w:rFonts w:ascii="Times New Roman" w:hAnsi="Times New Roman" w:cs="Times New Roman"/>
          <w:sz w:val="24"/>
          <w:szCs w:val="24"/>
        </w:rPr>
        <w:t>.</w:t>
      </w:r>
    </w:p>
    <w:p w:rsidR="00A172DF" w:rsidRPr="000B521F" w:rsidRDefault="00A172DF" w:rsidP="0059011D">
      <w:pPr>
        <w:pStyle w:val="Bezmezer"/>
        <w:rPr>
          <w:rFonts w:ascii="Times New Roman" w:hAnsi="Times New Roman" w:cs="Times New Roman"/>
          <w:color w:val="000000"/>
          <w:sz w:val="24"/>
          <w:szCs w:val="24"/>
        </w:rPr>
      </w:pPr>
    </w:p>
    <w:p w:rsidR="00A172DF" w:rsidRPr="000B521F" w:rsidRDefault="00A172DF" w:rsidP="00064A4A">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Klíčovým strategickým materiálem ČR, o který se bude opírat politika sociálního začleňování </w:t>
      </w:r>
      <w:r w:rsidRPr="000B521F">
        <w:rPr>
          <w:rStyle w:val="Znakapoznpodarou"/>
          <w:rFonts w:ascii="Times New Roman" w:hAnsi="Times New Roman" w:cs="Times New Roman"/>
          <w:sz w:val="24"/>
          <w:szCs w:val="24"/>
        </w:rPr>
        <w:footnoteReference w:id="72"/>
      </w:r>
      <w:r w:rsidRPr="000B521F">
        <w:rPr>
          <w:rFonts w:ascii="Times New Roman" w:hAnsi="Times New Roman" w:cs="Times New Roman"/>
          <w:sz w:val="24"/>
          <w:szCs w:val="24"/>
        </w:rPr>
        <w:t>a boje s chudobou v následujících letech, bude připravovaná Strategie sociálního začleňování 2014–2020 vycházející z koncepčního materiálu „Dlouhodobá vize Ministerstva práce a sociálních věcí pro oblast sociálního začleňování“.</w:t>
      </w:r>
    </w:p>
    <w:p w:rsidR="00147E55" w:rsidRPr="000B521F" w:rsidRDefault="00147E55" w:rsidP="0059011D">
      <w:pPr>
        <w:spacing w:after="120" w:line="240" w:lineRule="auto"/>
        <w:rPr>
          <w:rFonts w:ascii="Times New Roman" w:hAnsi="Times New Roman" w:cs="Times New Roman"/>
          <w:sz w:val="24"/>
          <w:szCs w:val="24"/>
        </w:rPr>
      </w:pPr>
    </w:p>
    <w:p w:rsidR="00B40133" w:rsidRPr="000B521F" w:rsidRDefault="00B40133" w:rsidP="005B6699">
      <w:pPr>
        <w:spacing w:after="120" w:line="240" w:lineRule="auto"/>
        <w:rPr>
          <w:rFonts w:ascii="Times New Roman" w:hAnsi="Times New Roman" w:cs="Times New Roman"/>
          <w:b/>
          <w:sz w:val="24"/>
          <w:szCs w:val="24"/>
        </w:rPr>
      </w:pPr>
      <w:r w:rsidRPr="000B521F">
        <w:rPr>
          <w:rFonts w:ascii="Times New Roman" w:hAnsi="Times New Roman" w:cs="Times New Roman"/>
          <w:b/>
          <w:sz w:val="24"/>
          <w:szCs w:val="24"/>
        </w:rPr>
        <w:t>Specifické potřeby a výzvy městského a venkovského prostoru a přeshraničních regionů:</w:t>
      </w:r>
    </w:p>
    <w:p w:rsidR="008206A4" w:rsidRPr="000B521F" w:rsidRDefault="00064A4A" w:rsidP="005B6699">
      <w:pPr>
        <w:pStyle w:val="Odstavecseseznamem"/>
        <w:numPr>
          <w:ilvl w:val="0"/>
          <w:numId w:val="97"/>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V</w:t>
      </w:r>
      <w:r w:rsidR="00CC51BB" w:rsidRPr="000B521F">
        <w:rPr>
          <w:rFonts w:ascii="Times New Roman" w:hAnsi="Times New Roman" w:cs="Times New Roman"/>
          <w:sz w:val="24"/>
          <w:szCs w:val="24"/>
        </w:rPr>
        <w:t xml:space="preserve">e městech jde o rozvoj </w:t>
      </w:r>
      <w:r w:rsidR="00710CF8" w:rsidRPr="000B521F">
        <w:rPr>
          <w:rFonts w:ascii="Times New Roman" w:hAnsi="Times New Roman" w:cs="Times New Roman"/>
          <w:sz w:val="24"/>
          <w:szCs w:val="24"/>
        </w:rPr>
        <w:t xml:space="preserve">vysoce </w:t>
      </w:r>
      <w:r w:rsidR="00CC51BB" w:rsidRPr="000B521F">
        <w:rPr>
          <w:rFonts w:ascii="Times New Roman" w:hAnsi="Times New Roman" w:cs="Times New Roman"/>
          <w:sz w:val="24"/>
          <w:szCs w:val="24"/>
        </w:rPr>
        <w:t>specializované zdravotní péče</w:t>
      </w:r>
      <w:r>
        <w:rPr>
          <w:rFonts w:ascii="Times New Roman" w:hAnsi="Times New Roman" w:cs="Times New Roman"/>
          <w:sz w:val="24"/>
          <w:szCs w:val="24"/>
        </w:rPr>
        <w:t>.</w:t>
      </w:r>
      <w:r w:rsidR="00CC51BB" w:rsidRPr="000B521F">
        <w:rPr>
          <w:rFonts w:ascii="Times New Roman" w:hAnsi="Times New Roman" w:cs="Times New Roman"/>
          <w:sz w:val="24"/>
          <w:szCs w:val="24"/>
        </w:rPr>
        <w:t xml:space="preserve"> </w:t>
      </w:r>
    </w:p>
    <w:p w:rsidR="008206A4" w:rsidRPr="000B521F" w:rsidRDefault="00064A4A" w:rsidP="005B6699">
      <w:pPr>
        <w:pStyle w:val="Odstavecseseznamem"/>
        <w:numPr>
          <w:ilvl w:val="0"/>
          <w:numId w:val="97"/>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Ve</w:t>
      </w:r>
      <w:r w:rsidR="00CC51BB" w:rsidRPr="000B521F">
        <w:rPr>
          <w:rFonts w:ascii="Times New Roman" w:hAnsi="Times New Roman" w:cs="Times New Roman"/>
          <w:sz w:val="24"/>
          <w:szCs w:val="24"/>
        </w:rPr>
        <w:t xml:space="preserve"> venkovském prostoru jde o stabilizace základní zdravotní péče a její dostupnosti</w:t>
      </w:r>
      <w:r>
        <w:rPr>
          <w:rFonts w:ascii="Times New Roman" w:hAnsi="Times New Roman" w:cs="Times New Roman"/>
          <w:sz w:val="24"/>
          <w:szCs w:val="24"/>
        </w:rPr>
        <w:t>.</w:t>
      </w:r>
    </w:p>
    <w:p w:rsidR="001861FC" w:rsidRPr="000B521F" w:rsidRDefault="001861FC" w:rsidP="0059011D">
      <w:pPr>
        <w:pStyle w:val="Tabulka"/>
        <w:spacing w:before="120" w:after="60"/>
        <w:rPr>
          <w:szCs w:val="20"/>
        </w:rPr>
      </w:pPr>
      <w:r w:rsidRPr="000B521F">
        <w:rPr>
          <w:szCs w:val="20"/>
        </w:rPr>
        <w:t>Vazby na dokumenty EU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7684"/>
      </w:tblGrid>
      <w:tr w:rsidR="001861FC" w:rsidRPr="000B521F" w:rsidTr="00761093">
        <w:trPr>
          <w:trHeight w:val="765"/>
        </w:trPr>
        <w:tc>
          <w:tcPr>
            <w:tcW w:w="1418" w:type="dxa"/>
            <w:shd w:val="clear" w:color="auto" w:fill="8DB3E2" w:themeFill="text2" w:themeFillTint="66"/>
            <w:vAlign w:val="center"/>
          </w:tcPr>
          <w:p w:rsidR="001861FC" w:rsidRPr="000B521F" w:rsidRDefault="001861FC" w:rsidP="0059011D">
            <w:pPr>
              <w:pStyle w:val="DAVA"/>
              <w:spacing w:before="0"/>
              <w:jc w:val="left"/>
              <w:rPr>
                <w:rFonts w:ascii="Times New Roman" w:hAnsi="Times New Roman"/>
                <w:b/>
                <w:sz w:val="20"/>
                <w:szCs w:val="20"/>
              </w:rPr>
            </w:pPr>
            <w:r w:rsidRPr="000B521F">
              <w:rPr>
                <w:rFonts w:ascii="Times New Roman" w:hAnsi="Times New Roman"/>
                <w:b/>
                <w:sz w:val="20"/>
                <w:szCs w:val="20"/>
              </w:rPr>
              <w:t>Strategie Evropa 2020</w:t>
            </w:r>
          </w:p>
        </w:tc>
        <w:tc>
          <w:tcPr>
            <w:tcW w:w="7684" w:type="dxa"/>
            <w:shd w:val="clear" w:color="auto" w:fill="auto"/>
            <w:vAlign w:val="center"/>
          </w:tcPr>
          <w:p w:rsidR="001861FC" w:rsidRPr="000B521F" w:rsidRDefault="001861FC" w:rsidP="0059011D">
            <w:pPr>
              <w:pStyle w:val="DAVA"/>
              <w:spacing w:before="0"/>
              <w:rPr>
                <w:rFonts w:ascii="Times New Roman" w:hAnsi="Times New Roman"/>
                <w:sz w:val="20"/>
                <w:szCs w:val="20"/>
              </w:rPr>
            </w:pPr>
            <w:r w:rsidRPr="000B521F">
              <w:rPr>
                <w:rFonts w:ascii="Times New Roman" w:hAnsi="Times New Roman"/>
                <w:sz w:val="20"/>
                <w:szCs w:val="20"/>
              </w:rPr>
              <w:t>Cíl „Snížit min. o 20 mil. počet Evropanů, kteří žijí pod vnitrostátní hranicí chudoby. Iniciativa „Evropská platforma pro boj proti chudobě“. Integrovaný hlavní směr 7: „Zvyšování účasti žen a mužů na trhu práce, omezování strukturální nezaměstnanosti a prosazování kvality pracovních míst“ a 10: „Podpora sociálního začlenění a boj proti chudobě“</w:t>
            </w:r>
            <w:r w:rsidR="00064A4A">
              <w:rPr>
                <w:rFonts w:ascii="Times New Roman" w:hAnsi="Times New Roman"/>
                <w:sz w:val="20"/>
                <w:szCs w:val="20"/>
              </w:rPr>
              <w:t>.</w:t>
            </w:r>
            <w:r w:rsidRPr="000B521F">
              <w:rPr>
                <w:rFonts w:ascii="Times New Roman" w:hAnsi="Times New Roman"/>
                <w:sz w:val="20"/>
                <w:szCs w:val="20"/>
              </w:rPr>
              <w:t xml:space="preserve"> </w:t>
            </w:r>
          </w:p>
        </w:tc>
      </w:tr>
      <w:tr w:rsidR="001861FC" w:rsidRPr="000B521F" w:rsidTr="00064A4A">
        <w:trPr>
          <w:trHeight w:val="1475"/>
        </w:trPr>
        <w:tc>
          <w:tcPr>
            <w:tcW w:w="1418" w:type="dxa"/>
            <w:shd w:val="clear" w:color="auto" w:fill="8DB3E2" w:themeFill="text2" w:themeFillTint="66"/>
            <w:vAlign w:val="center"/>
          </w:tcPr>
          <w:p w:rsidR="001861FC" w:rsidRPr="000B521F" w:rsidRDefault="001861FC" w:rsidP="0059011D">
            <w:pPr>
              <w:pStyle w:val="DAVA"/>
              <w:spacing w:before="0"/>
              <w:jc w:val="left"/>
              <w:rPr>
                <w:rFonts w:ascii="Times New Roman" w:hAnsi="Times New Roman"/>
                <w:b/>
                <w:sz w:val="20"/>
                <w:szCs w:val="20"/>
              </w:rPr>
            </w:pPr>
            <w:r w:rsidRPr="000B521F">
              <w:rPr>
                <w:rFonts w:ascii="Times New Roman" w:hAnsi="Times New Roman"/>
                <w:b/>
                <w:sz w:val="20"/>
                <w:szCs w:val="20"/>
              </w:rPr>
              <w:t>Společný strategický rámec</w:t>
            </w:r>
          </w:p>
        </w:tc>
        <w:tc>
          <w:tcPr>
            <w:tcW w:w="7684" w:type="dxa"/>
            <w:shd w:val="clear" w:color="auto" w:fill="auto"/>
            <w:vAlign w:val="center"/>
          </w:tcPr>
          <w:p w:rsidR="001861FC" w:rsidRPr="000B521F" w:rsidRDefault="001861FC" w:rsidP="0059011D">
            <w:pPr>
              <w:pStyle w:val="DAVA"/>
              <w:spacing w:before="0"/>
              <w:rPr>
                <w:rFonts w:ascii="Times New Roman" w:hAnsi="Times New Roman"/>
                <w:sz w:val="20"/>
                <w:szCs w:val="20"/>
              </w:rPr>
            </w:pPr>
            <w:r w:rsidRPr="000B521F">
              <w:rPr>
                <w:rFonts w:ascii="Times New Roman" w:hAnsi="Times New Roman"/>
                <w:sz w:val="20"/>
                <w:szCs w:val="20"/>
              </w:rPr>
              <w:t>Příloha 1: 4.7 Program pro sociální změnu a inovace. 5.3 Podpora rovnosti mužů a žen. 5.4 Potřeby znevýhodněných skupin. 5.5 Reakce na demografickou změnu: Investice do zdravotní infrastruktury. 5.6. Řešení demografických změn: zacílení na dostatečnost a kvalitu vzdělávání, školení a sociální podporu příslušných struktur, stejně tak jako v relevantních případech na efektivitu sociálních ochranných systémů.</w:t>
            </w:r>
          </w:p>
        </w:tc>
      </w:tr>
      <w:tr w:rsidR="001861FC" w:rsidRPr="000B521F" w:rsidTr="00761093">
        <w:trPr>
          <w:trHeight w:val="407"/>
        </w:trPr>
        <w:tc>
          <w:tcPr>
            <w:tcW w:w="1418" w:type="dxa"/>
            <w:shd w:val="clear" w:color="auto" w:fill="8DB3E2" w:themeFill="text2" w:themeFillTint="66"/>
            <w:vAlign w:val="center"/>
          </w:tcPr>
          <w:p w:rsidR="001861FC" w:rsidRPr="000B521F" w:rsidRDefault="001861FC" w:rsidP="0059011D">
            <w:pPr>
              <w:pStyle w:val="DAVA"/>
              <w:spacing w:before="0"/>
              <w:jc w:val="left"/>
              <w:rPr>
                <w:rFonts w:ascii="Times New Roman" w:hAnsi="Times New Roman"/>
                <w:b/>
                <w:sz w:val="20"/>
                <w:szCs w:val="20"/>
              </w:rPr>
            </w:pPr>
            <w:r w:rsidRPr="000B521F">
              <w:rPr>
                <w:rFonts w:ascii="Times New Roman" w:hAnsi="Times New Roman"/>
                <w:b/>
                <w:sz w:val="20"/>
                <w:szCs w:val="20"/>
              </w:rPr>
              <w:lastRenderedPageBreak/>
              <w:t>Tematické cíle</w:t>
            </w:r>
          </w:p>
        </w:tc>
        <w:tc>
          <w:tcPr>
            <w:tcW w:w="7684" w:type="dxa"/>
            <w:shd w:val="clear" w:color="auto" w:fill="auto"/>
            <w:vAlign w:val="center"/>
          </w:tcPr>
          <w:p w:rsidR="001861FC" w:rsidRPr="000B521F" w:rsidRDefault="001861FC" w:rsidP="0059011D">
            <w:pPr>
              <w:pStyle w:val="DAVA"/>
              <w:spacing w:before="0"/>
              <w:rPr>
                <w:rFonts w:ascii="Times New Roman" w:hAnsi="Times New Roman"/>
                <w:sz w:val="20"/>
                <w:szCs w:val="20"/>
              </w:rPr>
            </w:pPr>
            <w:r w:rsidRPr="000B521F">
              <w:rPr>
                <w:rFonts w:ascii="Times New Roman" w:hAnsi="Times New Roman"/>
                <w:sz w:val="20"/>
                <w:szCs w:val="20"/>
              </w:rPr>
              <w:t>9. Podpora sociálního začleňování a boj proti chudobě</w:t>
            </w:r>
            <w:r w:rsidR="00064A4A">
              <w:rPr>
                <w:rFonts w:ascii="Times New Roman" w:hAnsi="Times New Roman"/>
                <w:sz w:val="20"/>
                <w:szCs w:val="20"/>
              </w:rPr>
              <w:t>.</w:t>
            </w:r>
          </w:p>
        </w:tc>
      </w:tr>
      <w:tr w:rsidR="001861FC" w:rsidRPr="000B521F" w:rsidTr="00761093">
        <w:tc>
          <w:tcPr>
            <w:tcW w:w="1418" w:type="dxa"/>
            <w:shd w:val="clear" w:color="auto" w:fill="8DB3E2" w:themeFill="text2" w:themeFillTint="66"/>
            <w:vAlign w:val="center"/>
          </w:tcPr>
          <w:p w:rsidR="001861FC" w:rsidRPr="000B521F" w:rsidRDefault="001861FC" w:rsidP="0059011D">
            <w:pPr>
              <w:pStyle w:val="DAVA"/>
              <w:spacing w:before="0"/>
              <w:jc w:val="left"/>
              <w:rPr>
                <w:rFonts w:ascii="Times New Roman" w:hAnsi="Times New Roman"/>
                <w:b/>
                <w:sz w:val="20"/>
                <w:szCs w:val="20"/>
              </w:rPr>
            </w:pPr>
            <w:r w:rsidRPr="000B521F">
              <w:rPr>
                <w:rFonts w:ascii="Times New Roman" w:hAnsi="Times New Roman"/>
                <w:b/>
                <w:sz w:val="20"/>
                <w:szCs w:val="20"/>
              </w:rPr>
              <w:t>Specifická doporučení Rady</w:t>
            </w:r>
          </w:p>
        </w:tc>
        <w:tc>
          <w:tcPr>
            <w:tcW w:w="7684" w:type="dxa"/>
            <w:shd w:val="clear" w:color="auto" w:fill="auto"/>
            <w:vAlign w:val="center"/>
          </w:tcPr>
          <w:p w:rsidR="00B4215A" w:rsidRPr="000B521F" w:rsidRDefault="00B4215A" w:rsidP="0059011D">
            <w:pPr>
              <w:pStyle w:val="DAVA"/>
              <w:spacing w:before="0"/>
              <w:rPr>
                <w:rFonts w:ascii="Times New Roman" w:hAnsi="Times New Roman"/>
                <w:sz w:val="20"/>
                <w:szCs w:val="20"/>
              </w:rPr>
            </w:pPr>
            <w:r w:rsidRPr="000B521F">
              <w:rPr>
                <w:rFonts w:ascii="Times New Roman" w:hAnsi="Times New Roman"/>
                <w:sz w:val="20"/>
                <w:szCs w:val="20"/>
              </w:rPr>
              <w:t>Částečně 3. zlepšila nákladovou efektivnost výdajů na zdravotní péči, zejména na péči v</w:t>
            </w:r>
            <w:r w:rsidR="00064A4A">
              <w:rPr>
                <w:rFonts w:ascii="Times New Roman" w:hAnsi="Times New Roman"/>
                <w:sz w:val="20"/>
                <w:szCs w:val="20"/>
              </w:rPr>
              <w:t> </w:t>
            </w:r>
            <w:r w:rsidRPr="000B521F">
              <w:rPr>
                <w:rFonts w:ascii="Times New Roman" w:hAnsi="Times New Roman"/>
                <w:sz w:val="20"/>
                <w:szCs w:val="20"/>
              </w:rPr>
              <w:t>nemocnicích</w:t>
            </w:r>
            <w:r w:rsidR="00064A4A">
              <w:rPr>
                <w:rFonts w:ascii="Times New Roman" w:hAnsi="Times New Roman"/>
                <w:sz w:val="20"/>
                <w:szCs w:val="20"/>
              </w:rPr>
              <w:t>.</w:t>
            </w:r>
          </w:p>
          <w:p w:rsidR="001861FC" w:rsidRPr="000B521F" w:rsidRDefault="001861FC" w:rsidP="0059011D">
            <w:pPr>
              <w:pStyle w:val="DAVA"/>
              <w:spacing w:before="0"/>
              <w:rPr>
                <w:rFonts w:ascii="Times New Roman" w:hAnsi="Times New Roman"/>
                <w:color w:val="000000"/>
                <w:sz w:val="20"/>
                <w:szCs w:val="20"/>
              </w:rPr>
            </w:pPr>
            <w:r w:rsidRPr="000B521F">
              <w:rPr>
                <w:rFonts w:ascii="Times New Roman" w:hAnsi="Times New Roman"/>
                <w:sz w:val="20"/>
                <w:szCs w:val="20"/>
              </w:rPr>
              <w:t>Částečně 4.</w:t>
            </w:r>
            <w:r w:rsidRPr="000B521F">
              <w:rPr>
                <w:rFonts w:ascii="Times New Roman" w:hAnsi="Times New Roman"/>
                <w:color w:val="000000"/>
                <w:sz w:val="20"/>
                <w:szCs w:val="20"/>
              </w:rPr>
              <w:t xml:space="preserve"> Přijmout opatření k posílení efektivnosti a účinnosti veřejných služeb zaměstnanosti. Výrazně zvýšit dostupnost zařízení péče o děti podporující sociální začlenění se zaměřením na děti do tří let a zvýšit účast romských dětí, a to zejména přijetím a provedením zákona o soukromých zařízeních péče o děti a zvýšením kapacity veřejných zařízení péče o děti</w:t>
            </w:r>
            <w:r w:rsidR="00064A4A">
              <w:rPr>
                <w:rFonts w:ascii="Times New Roman" w:hAnsi="Times New Roman"/>
                <w:color w:val="000000"/>
                <w:sz w:val="20"/>
                <w:szCs w:val="20"/>
              </w:rPr>
              <w:t>.</w:t>
            </w:r>
          </w:p>
          <w:p w:rsidR="00735A9E" w:rsidRPr="000B521F" w:rsidRDefault="00735A9E" w:rsidP="0059011D">
            <w:pPr>
              <w:pStyle w:val="DAVA"/>
              <w:spacing w:before="0"/>
              <w:rPr>
                <w:rFonts w:ascii="Times New Roman" w:hAnsi="Times New Roman"/>
                <w:sz w:val="20"/>
                <w:szCs w:val="20"/>
              </w:rPr>
            </w:pPr>
          </w:p>
        </w:tc>
      </w:tr>
    </w:tbl>
    <w:p w:rsidR="001861FC" w:rsidRPr="000B521F" w:rsidRDefault="001861FC" w:rsidP="0059011D">
      <w:pPr>
        <w:pStyle w:val="Tabulka"/>
        <w:spacing w:before="120" w:after="60"/>
        <w:rPr>
          <w:szCs w:val="20"/>
        </w:rPr>
      </w:pPr>
      <w:r w:rsidRPr="000B521F">
        <w:rPr>
          <w:szCs w:val="20"/>
        </w:rPr>
        <w:t>Vazby na dokumenty ČR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7760"/>
      </w:tblGrid>
      <w:tr w:rsidR="001861FC" w:rsidRPr="000B521F" w:rsidTr="00761093">
        <w:trPr>
          <w:trHeight w:val="395"/>
        </w:trPr>
        <w:tc>
          <w:tcPr>
            <w:tcW w:w="1418" w:type="dxa"/>
            <w:shd w:val="clear" w:color="auto" w:fill="8DB3E2" w:themeFill="text2" w:themeFillTint="66"/>
            <w:vAlign w:val="center"/>
          </w:tcPr>
          <w:p w:rsidR="001861FC" w:rsidRPr="000B521F" w:rsidRDefault="001861FC" w:rsidP="0059011D">
            <w:pPr>
              <w:pStyle w:val="DAVA"/>
              <w:spacing w:before="0"/>
              <w:jc w:val="left"/>
              <w:rPr>
                <w:rFonts w:ascii="Times New Roman" w:hAnsi="Times New Roman"/>
                <w:b/>
                <w:sz w:val="20"/>
                <w:szCs w:val="20"/>
              </w:rPr>
            </w:pPr>
            <w:r w:rsidRPr="000B521F">
              <w:rPr>
                <w:rFonts w:ascii="Times New Roman" w:hAnsi="Times New Roman"/>
                <w:b/>
                <w:sz w:val="20"/>
                <w:szCs w:val="20"/>
              </w:rPr>
              <w:t>Národní program reforem</w:t>
            </w:r>
          </w:p>
        </w:tc>
        <w:tc>
          <w:tcPr>
            <w:tcW w:w="7760" w:type="dxa"/>
            <w:shd w:val="clear" w:color="auto" w:fill="auto"/>
            <w:vAlign w:val="center"/>
          </w:tcPr>
          <w:p w:rsidR="001861FC" w:rsidRPr="000B521F" w:rsidRDefault="001861FC" w:rsidP="0059011D">
            <w:pPr>
              <w:pStyle w:val="DAVA"/>
              <w:spacing w:before="0"/>
              <w:rPr>
                <w:rFonts w:ascii="Times New Roman" w:hAnsi="Times New Roman"/>
                <w:sz w:val="20"/>
                <w:szCs w:val="20"/>
              </w:rPr>
            </w:pPr>
            <w:r w:rsidRPr="000B521F">
              <w:rPr>
                <w:rFonts w:ascii="Times New Roman" w:hAnsi="Times New Roman"/>
                <w:sz w:val="20"/>
                <w:szCs w:val="20"/>
              </w:rPr>
              <w:t xml:space="preserve">3.1.2 Udržitelný systém zdravotní a sociální péče; 3.3.2 Sociální začleňování a boj s chudobou. </w:t>
            </w:r>
          </w:p>
        </w:tc>
      </w:tr>
      <w:tr w:rsidR="001861FC" w:rsidRPr="000B521F" w:rsidTr="00761093">
        <w:trPr>
          <w:trHeight w:val="407"/>
        </w:trPr>
        <w:tc>
          <w:tcPr>
            <w:tcW w:w="1418" w:type="dxa"/>
            <w:shd w:val="clear" w:color="auto" w:fill="8DB3E2" w:themeFill="text2" w:themeFillTint="66"/>
            <w:vAlign w:val="center"/>
          </w:tcPr>
          <w:p w:rsidR="001861FC" w:rsidRPr="000B521F" w:rsidRDefault="001861FC" w:rsidP="0059011D">
            <w:pPr>
              <w:pStyle w:val="DAVA"/>
              <w:spacing w:before="0"/>
              <w:jc w:val="left"/>
              <w:rPr>
                <w:rFonts w:ascii="Times New Roman" w:hAnsi="Times New Roman"/>
                <w:b/>
                <w:sz w:val="20"/>
                <w:szCs w:val="20"/>
              </w:rPr>
            </w:pPr>
            <w:r w:rsidRPr="000B521F">
              <w:rPr>
                <w:rFonts w:ascii="Times New Roman" w:hAnsi="Times New Roman"/>
                <w:b/>
                <w:sz w:val="20"/>
                <w:szCs w:val="20"/>
              </w:rPr>
              <w:t>Strategie mezinárodní konkurence-schopnosti ČR</w:t>
            </w:r>
          </w:p>
        </w:tc>
        <w:tc>
          <w:tcPr>
            <w:tcW w:w="7760" w:type="dxa"/>
            <w:shd w:val="clear" w:color="auto" w:fill="auto"/>
            <w:vAlign w:val="center"/>
          </w:tcPr>
          <w:p w:rsidR="001861FC" w:rsidRPr="000B521F" w:rsidRDefault="001861FC" w:rsidP="0059011D">
            <w:pPr>
              <w:pStyle w:val="DAVA"/>
              <w:spacing w:before="0"/>
              <w:rPr>
                <w:rFonts w:ascii="Times New Roman" w:hAnsi="Times New Roman"/>
                <w:sz w:val="20"/>
                <w:szCs w:val="20"/>
              </w:rPr>
            </w:pPr>
            <w:r w:rsidRPr="000B521F">
              <w:rPr>
                <w:rFonts w:ascii="Times New Roman" w:hAnsi="Times New Roman"/>
                <w:sz w:val="20"/>
                <w:szCs w:val="20"/>
              </w:rPr>
              <w:t>4. Zdravotnictví – racionalizace nákupů zdravotnické techniky a léků, zefektivnění financování zdravotnictví, zefektivnění fungování zdravotních pojišťoven, restrukturalizace lůžkové péče, vazba pacienta ke zdraví</w:t>
            </w:r>
            <w:r w:rsidR="00064A4A">
              <w:rPr>
                <w:rFonts w:ascii="Times New Roman" w:hAnsi="Times New Roman"/>
                <w:sz w:val="20"/>
                <w:szCs w:val="20"/>
              </w:rPr>
              <w:t>.</w:t>
            </w:r>
          </w:p>
          <w:p w:rsidR="001861FC" w:rsidRPr="000B521F" w:rsidRDefault="001861FC" w:rsidP="0059011D">
            <w:pPr>
              <w:pStyle w:val="DAVA"/>
              <w:spacing w:before="0"/>
              <w:rPr>
                <w:rFonts w:ascii="Times New Roman" w:hAnsi="Times New Roman"/>
                <w:sz w:val="20"/>
                <w:szCs w:val="20"/>
              </w:rPr>
            </w:pPr>
            <w:r w:rsidRPr="000B521F">
              <w:rPr>
                <w:rFonts w:ascii="Times New Roman" w:hAnsi="Times New Roman"/>
                <w:sz w:val="20"/>
                <w:szCs w:val="20"/>
              </w:rPr>
              <w:t>5. Vzdělanost – Zajistit přístup ke kvalitnímu vzdělání bez ohledu na místo, sociální zázemí a dispozice a děti se slabými dispozicemi včas identifikovat a nasměrovat k nim vhodnou formu pomoci</w:t>
            </w:r>
            <w:r w:rsidR="00064A4A">
              <w:rPr>
                <w:rFonts w:ascii="Times New Roman" w:hAnsi="Times New Roman"/>
                <w:sz w:val="20"/>
                <w:szCs w:val="20"/>
              </w:rPr>
              <w:t>.</w:t>
            </w:r>
          </w:p>
          <w:p w:rsidR="001861FC" w:rsidRPr="000B521F" w:rsidRDefault="001861FC" w:rsidP="00970F9B">
            <w:pPr>
              <w:pStyle w:val="DAVA"/>
              <w:spacing w:before="0"/>
              <w:rPr>
                <w:rFonts w:ascii="Times New Roman" w:hAnsi="Times New Roman"/>
                <w:sz w:val="20"/>
                <w:szCs w:val="20"/>
              </w:rPr>
            </w:pPr>
            <w:r w:rsidRPr="000B521F">
              <w:rPr>
                <w:rFonts w:ascii="Times New Roman" w:hAnsi="Times New Roman"/>
                <w:sz w:val="20"/>
                <w:szCs w:val="20"/>
              </w:rPr>
              <w:t xml:space="preserve">6. Trh práce </w:t>
            </w:r>
            <w:r w:rsidR="00970F9B">
              <w:rPr>
                <w:rFonts w:ascii="Times New Roman" w:hAnsi="Times New Roman"/>
                <w:sz w:val="20"/>
                <w:szCs w:val="20"/>
              </w:rPr>
              <w:t>–</w:t>
            </w:r>
            <w:r w:rsidRPr="000B521F">
              <w:rPr>
                <w:rFonts w:ascii="Times New Roman" w:hAnsi="Times New Roman"/>
                <w:sz w:val="20"/>
                <w:szCs w:val="20"/>
              </w:rPr>
              <w:t xml:space="preserve"> Zvýšení dostupnosti nájemního bydlení – i v oblasti sociálního bydlení</w:t>
            </w:r>
            <w:r w:rsidR="00064A4A">
              <w:rPr>
                <w:rFonts w:ascii="Times New Roman" w:hAnsi="Times New Roman"/>
                <w:sz w:val="20"/>
                <w:szCs w:val="20"/>
              </w:rPr>
              <w:t>.</w:t>
            </w:r>
          </w:p>
        </w:tc>
      </w:tr>
      <w:tr w:rsidR="001861FC" w:rsidRPr="000B521F" w:rsidTr="00761093">
        <w:tc>
          <w:tcPr>
            <w:tcW w:w="1418" w:type="dxa"/>
            <w:shd w:val="clear" w:color="auto" w:fill="8DB3E2" w:themeFill="text2" w:themeFillTint="66"/>
            <w:vAlign w:val="center"/>
          </w:tcPr>
          <w:p w:rsidR="001861FC" w:rsidRPr="000B521F" w:rsidRDefault="001861FC" w:rsidP="0059011D">
            <w:pPr>
              <w:pStyle w:val="DAVA"/>
              <w:spacing w:before="0"/>
              <w:jc w:val="left"/>
              <w:rPr>
                <w:rFonts w:ascii="Times New Roman" w:hAnsi="Times New Roman"/>
                <w:b/>
                <w:sz w:val="20"/>
                <w:szCs w:val="20"/>
              </w:rPr>
            </w:pPr>
            <w:r w:rsidRPr="000B521F">
              <w:rPr>
                <w:rFonts w:ascii="Times New Roman" w:hAnsi="Times New Roman"/>
                <w:b/>
                <w:sz w:val="20"/>
                <w:szCs w:val="20"/>
              </w:rPr>
              <w:t>Strategie regionálního rozvoje</w:t>
            </w:r>
          </w:p>
        </w:tc>
        <w:tc>
          <w:tcPr>
            <w:tcW w:w="7760" w:type="dxa"/>
            <w:shd w:val="clear" w:color="auto" w:fill="auto"/>
            <w:vAlign w:val="center"/>
          </w:tcPr>
          <w:p w:rsidR="001861FC" w:rsidRPr="000B521F" w:rsidRDefault="001861FC" w:rsidP="0059011D">
            <w:pPr>
              <w:pStyle w:val="DAVA"/>
              <w:spacing w:before="0"/>
              <w:rPr>
                <w:rFonts w:ascii="Times New Roman" w:hAnsi="Times New Roman"/>
                <w:sz w:val="20"/>
                <w:szCs w:val="20"/>
              </w:rPr>
            </w:pPr>
            <w:r w:rsidRPr="000B521F">
              <w:rPr>
                <w:rFonts w:ascii="Times New Roman" w:hAnsi="Times New Roman"/>
                <w:sz w:val="20"/>
                <w:szCs w:val="20"/>
              </w:rPr>
              <w:t>Priorita 3 Zkvalitnění sociálního prostředí rozvojových území (průřezové opatření 3.X. Podpora integrace sociálně vyloučených a sociálním vyloučením ohrožených skupin obyvatelstva; opatření 3.1 Zvýšení kvality a vybavenosti veřejnými službami)</w:t>
            </w:r>
            <w:r w:rsidR="00064A4A">
              <w:rPr>
                <w:rFonts w:ascii="Times New Roman" w:hAnsi="Times New Roman"/>
                <w:sz w:val="20"/>
                <w:szCs w:val="20"/>
              </w:rPr>
              <w:t>.</w:t>
            </w:r>
          </w:p>
          <w:p w:rsidR="001861FC" w:rsidRPr="000B521F" w:rsidRDefault="001861FC" w:rsidP="0059011D">
            <w:pPr>
              <w:pStyle w:val="DAVA"/>
              <w:spacing w:before="0"/>
              <w:rPr>
                <w:rFonts w:ascii="Times New Roman" w:hAnsi="Times New Roman"/>
                <w:sz w:val="20"/>
                <w:szCs w:val="20"/>
              </w:rPr>
            </w:pPr>
            <w:r w:rsidRPr="000B521F">
              <w:rPr>
                <w:rFonts w:ascii="Times New Roman" w:hAnsi="Times New Roman"/>
                <w:sz w:val="20"/>
                <w:szCs w:val="20"/>
              </w:rPr>
              <w:t>3.2 Rozvoj a zlepšování podmínek pro volnočasové aktivity obyvatel a pro využití kulturního potenciálu (opatření 3.3 Podpora bydlení jako nástroje sociální soudržnosti)</w:t>
            </w:r>
            <w:r w:rsidR="00064A4A">
              <w:rPr>
                <w:rFonts w:ascii="Times New Roman" w:hAnsi="Times New Roman"/>
                <w:sz w:val="20"/>
                <w:szCs w:val="20"/>
              </w:rPr>
              <w:t>.</w:t>
            </w:r>
          </w:p>
          <w:p w:rsidR="001861FC" w:rsidRPr="000B521F" w:rsidRDefault="001861FC" w:rsidP="0059011D">
            <w:pPr>
              <w:pStyle w:val="DAVA"/>
              <w:spacing w:before="0"/>
              <w:rPr>
                <w:rFonts w:ascii="Times New Roman" w:hAnsi="Times New Roman"/>
                <w:sz w:val="20"/>
                <w:szCs w:val="20"/>
              </w:rPr>
            </w:pPr>
            <w:r w:rsidRPr="000B521F">
              <w:rPr>
                <w:rFonts w:ascii="Times New Roman" w:hAnsi="Times New Roman"/>
                <w:sz w:val="20"/>
                <w:szCs w:val="20"/>
              </w:rPr>
              <w:t>Priorita 4 Vyvážený rozvoj stabilizovaných území (opatření 4.1 Zajištění odpovídající kapacity infrastruktury veřejných služeb). Priorita 5 Oživení periferních území (opatření 5.2 Podpora zvýšení kvality pracovní síly)</w:t>
            </w:r>
            <w:r w:rsidR="00064A4A">
              <w:rPr>
                <w:rFonts w:ascii="Times New Roman" w:hAnsi="Times New Roman"/>
                <w:sz w:val="20"/>
                <w:szCs w:val="20"/>
              </w:rPr>
              <w:t>.</w:t>
            </w:r>
          </w:p>
        </w:tc>
      </w:tr>
      <w:tr w:rsidR="001861FC" w:rsidRPr="000B521F" w:rsidTr="00761093">
        <w:tc>
          <w:tcPr>
            <w:tcW w:w="1418" w:type="dxa"/>
            <w:shd w:val="clear" w:color="auto" w:fill="8DB3E2" w:themeFill="text2" w:themeFillTint="66"/>
            <w:vAlign w:val="center"/>
          </w:tcPr>
          <w:p w:rsidR="001861FC" w:rsidRPr="000B521F" w:rsidRDefault="001861FC" w:rsidP="0059011D">
            <w:pPr>
              <w:pStyle w:val="DAVA"/>
              <w:spacing w:before="0"/>
              <w:jc w:val="left"/>
              <w:rPr>
                <w:rFonts w:ascii="Times New Roman" w:hAnsi="Times New Roman"/>
                <w:b/>
                <w:sz w:val="20"/>
                <w:szCs w:val="20"/>
              </w:rPr>
            </w:pPr>
            <w:r w:rsidRPr="000B521F">
              <w:rPr>
                <w:rFonts w:ascii="Times New Roman" w:hAnsi="Times New Roman"/>
                <w:b/>
                <w:sz w:val="20"/>
                <w:szCs w:val="20"/>
              </w:rPr>
              <w:t>Strategie sociálního začleňování 2014 - 2020</w:t>
            </w:r>
          </w:p>
        </w:tc>
        <w:tc>
          <w:tcPr>
            <w:tcW w:w="7760" w:type="dxa"/>
            <w:shd w:val="clear" w:color="auto" w:fill="auto"/>
            <w:vAlign w:val="center"/>
          </w:tcPr>
          <w:p w:rsidR="001861FC" w:rsidRPr="000B521F" w:rsidRDefault="001861FC" w:rsidP="0059011D">
            <w:pPr>
              <w:pStyle w:val="DAVA"/>
              <w:spacing w:before="0"/>
              <w:rPr>
                <w:rFonts w:ascii="Times New Roman" w:hAnsi="Times New Roman"/>
                <w:sz w:val="20"/>
                <w:szCs w:val="20"/>
              </w:rPr>
            </w:pPr>
            <w:r w:rsidRPr="00E37E1C">
              <w:rPr>
                <w:rFonts w:ascii="Times New Roman" w:hAnsi="Times New Roman"/>
                <w:sz w:val="20"/>
                <w:szCs w:val="20"/>
              </w:rPr>
              <w:t>Dokument v přípravě, bude doplněno v další fázi</w:t>
            </w:r>
            <w:r w:rsidR="00064A4A" w:rsidRPr="00E37E1C">
              <w:rPr>
                <w:rFonts w:ascii="Times New Roman" w:hAnsi="Times New Roman"/>
                <w:sz w:val="20"/>
                <w:szCs w:val="20"/>
              </w:rPr>
              <w:t>.</w:t>
            </w:r>
          </w:p>
          <w:p w:rsidR="001861FC" w:rsidRPr="000B521F" w:rsidRDefault="001861FC" w:rsidP="0059011D">
            <w:pPr>
              <w:pStyle w:val="DAVA"/>
              <w:spacing w:before="0"/>
              <w:rPr>
                <w:rFonts w:ascii="Times New Roman" w:hAnsi="Times New Roman"/>
                <w:sz w:val="20"/>
                <w:szCs w:val="20"/>
              </w:rPr>
            </w:pPr>
            <w:r w:rsidRPr="000B521F">
              <w:rPr>
                <w:rFonts w:ascii="Times New Roman" w:hAnsi="Times New Roman"/>
                <w:sz w:val="20"/>
                <w:szCs w:val="20"/>
              </w:rPr>
              <w:t>Zaměření dokumentu bude v souladu se schválenou „Dlouhodobou vizí resortu práce a sociálních věcí pro oblast sociálního začleňování – květen 2012“, která definuje cíle sociální začleňování. Vazba DoP k cílům/prioritám dokumentu je v  oblastech: (i) zvýšení uplatnitelnosti osob sociálně vyloučených a osob ohrožených sociálním vyloučením a chudobou na trhu práce, (ii) efektivní, dostupný, dlouhodobě udržitelný a kvalitní systém sociálních služeb a služeb pro rodiny a děti, (iii) efektivní a dlouhodobě udržitelný systém sociální ochrany, (iv) snižování regionálních disparit a zvyšování role samospráv, (v) zvyšování využívání principů mainstreaming sociálního začleňování,kooperace aktérů založené na vyhodnocování relevantních dat</w:t>
            </w:r>
            <w:r w:rsidR="00064A4A">
              <w:rPr>
                <w:rFonts w:ascii="Times New Roman" w:hAnsi="Times New Roman"/>
                <w:sz w:val="20"/>
                <w:szCs w:val="20"/>
              </w:rPr>
              <w:t>.</w:t>
            </w:r>
          </w:p>
        </w:tc>
      </w:tr>
      <w:tr w:rsidR="001861FC" w:rsidRPr="000B521F" w:rsidTr="00761093">
        <w:tc>
          <w:tcPr>
            <w:tcW w:w="1418" w:type="dxa"/>
            <w:shd w:val="clear" w:color="auto" w:fill="8DB3E2" w:themeFill="text2" w:themeFillTint="66"/>
            <w:vAlign w:val="center"/>
          </w:tcPr>
          <w:p w:rsidR="001861FC" w:rsidRPr="000B521F" w:rsidRDefault="001861FC" w:rsidP="00970F9B">
            <w:pPr>
              <w:pStyle w:val="DAVA"/>
              <w:spacing w:before="0"/>
              <w:jc w:val="left"/>
              <w:rPr>
                <w:rFonts w:ascii="Times New Roman" w:hAnsi="Times New Roman"/>
                <w:b/>
                <w:sz w:val="20"/>
                <w:szCs w:val="20"/>
                <w:highlight w:val="red"/>
              </w:rPr>
            </w:pPr>
            <w:r w:rsidRPr="000B521F">
              <w:rPr>
                <w:rFonts w:ascii="Times New Roman" w:hAnsi="Times New Roman"/>
                <w:b/>
                <w:sz w:val="20"/>
                <w:szCs w:val="20"/>
              </w:rPr>
              <w:t>Strategie boje proti soc</w:t>
            </w:r>
            <w:r w:rsidR="00970F9B">
              <w:rPr>
                <w:rFonts w:ascii="Times New Roman" w:hAnsi="Times New Roman"/>
                <w:b/>
                <w:sz w:val="20"/>
                <w:szCs w:val="20"/>
              </w:rPr>
              <w:t>iálnímu vyloučení na období 2011–</w:t>
            </w:r>
            <w:r w:rsidRPr="000B521F">
              <w:rPr>
                <w:rFonts w:ascii="Times New Roman" w:hAnsi="Times New Roman"/>
                <w:b/>
                <w:sz w:val="20"/>
                <w:szCs w:val="20"/>
              </w:rPr>
              <w:t>2015</w:t>
            </w:r>
          </w:p>
        </w:tc>
        <w:tc>
          <w:tcPr>
            <w:tcW w:w="7760" w:type="dxa"/>
            <w:shd w:val="clear" w:color="auto" w:fill="auto"/>
            <w:vAlign w:val="center"/>
          </w:tcPr>
          <w:p w:rsidR="001861FC" w:rsidRPr="000B521F" w:rsidRDefault="001861FC" w:rsidP="00064A4A">
            <w:pPr>
              <w:pStyle w:val="DAVA"/>
              <w:spacing w:before="0"/>
              <w:rPr>
                <w:rFonts w:ascii="Times New Roman" w:hAnsi="Times New Roman"/>
                <w:sz w:val="20"/>
                <w:szCs w:val="20"/>
                <w:highlight w:val="red"/>
              </w:rPr>
            </w:pPr>
            <w:r w:rsidRPr="000B521F">
              <w:rPr>
                <w:rFonts w:ascii="Times New Roman" w:hAnsi="Times New Roman"/>
                <w:sz w:val="20"/>
                <w:szCs w:val="20"/>
              </w:rPr>
              <w:t>Dokument byl schválen vládou ČR v r. 2011; nav</w:t>
            </w:r>
            <w:r w:rsidR="00970F9B">
              <w:rPr>
                <w:rFonts w:ascii="Times New Roman" w:hAnsi="Times New Roman"/>
                <w:sz w:val="20"/>
                <w:szCs w:val="20"/>
              </w:rPr>
              <w:t>azující dokument na období 2016–</w:t>
            </w:r>
            <w:r w:rsidRPr="000B521F">
              <w:rPr>
                <w:rFonts w:ascii="Times New Roman" w:hAnsi="Times New Roman"/>
                <w:sz w:val="20"/>
                <w:szCs w:val="20"/>
              </w:rPr>
              <w:t>2020 bude dle usnesení vlády zpracován v letech 2014</w:t>
            </w:r>
            <w:r w:rsidR="00970F9B">
              <w:rPr>
                <w:rFonts w:ascii="Times New Roman" w:hAnsi="Times New Roman"/>
                <w:sz w:val="20"/>
                <w:szCs w:val="20"/>
              </w:rPr>
              <w:t>–20</w:t>
            </w:r>
            <w:r w:rsidRPr="000B521F">
              <w:rPr>
                <w:rFonts w:ascii="Times New Roman" w:hAnsi="Times New Roman"/>
                <w:sz w:val="20"/>
                <w:szCs w:val="20"/>
              </w:rPr>
              <w:t>15</w:t>
            </w:r>
            <w:r w:rsidR="00064A4A">
              <w:rPr>
                <w:rFonts w:ascii="Times New Roman" w:hAnsi="Times New Roman"/>
                <w:sz w:val="20"/>
                <w:szCs w:val="20"/>
              </w:rPr>
              <w:t>.</w:t>
            </w:r>
          </w:p>
        </w:tc>
      </w:tr>
      <w:tr w:rsidR="001861FC" w:rsidRPr="000B521F" w:rsidTr="00064A4A">
        <w:trPr>
          <w:trHeight w:val="458"/>
        </w:trPr>
        <w:tc>
          <w:tcPr>
            <w:tcW w:w="1418" w:type="dxa"/>
            <w:shd w:val="clear" w:color="auto" w:fill="8DB3E2" w:themeFill="text2" w:themeFillTint="66"/>
          </w:tcPr>
          <w:p w:rsidR="001861FC" w:rsidRPr="000B521F" w:rsidRDefault="001861FC" w:rsidP="0059011D">
            <w:pPr>
              <w:pStyle w:val="DAVA"/>
              <w:spacing w:before="0"/>
              <w:jc w:val="left"/>
              <w:rPr>
                <w:rFonts w:ascii="Times New Roman" w:hAnsi="Times New Roman"/>
                <w:b/>
                <w:sz w:val="20"/>
                <w:szCs w:val="20"/>
              </w:rPr>
            </w:pPr>
            <w:r w:rsidRPr="000B521F">
              <w:rPr>
                <w:rFonts w:ascii="Times New Roman" w:hAnsi="Times New Roman"/>
                <w:b/>
                <w:sz w:val="20"/>
                <w:szCs w:val="20"/>
              </w:rPr>
              <w:t>Zdraví 2020</w:t>
            </w:r>
          </w:p>
        </w:tc>
        <w:tc>
          <w:tcPr>
            <w:tcW w:w="7760" w:type="dxa"/>
            <w:shd w:val="clear" w:color="auto" w:fill="auto"/>
          </w:tcPr>
          <w:p w:rsidR="001861FC" w:rsidRPr="000B521F" w:rsidRDefault="001861FC" w:rsidP="00E37E1C">
            <w:pPr>
              <w:pStyle w:val="DAVA"/>
              <w:spacing w:before="0"/>
              <w:rPr>
                <w:rFonts w:ascii="Times New Roman" w:hAnsi="Times New Roman"/>
                <w:sz w:val="20"/>
                <w:szCs w:val="20"/>
              </w:rPr>
            </w:pPr>
            <w:r w:rsidRPr="000B521F">
              <w:rPr>
                <w:rFonts w:ascii="Times New Roman" w:hAnsi="Times New Roman"/>
                <w:sz w:val="20"/>
                <w:szCs w:val="20"/>
              </w:rPr>
              <w:t>Dokument v</w:t>
            </w:r>
            <w:r w:rsidR="00E37E1C">
              <w:rPr>
                <w:rFonts w:ascii="Times New Roman" w:hAnsi="Times New Roman"/>
                <w:sz w:val="20"/>
                <w:szCs w:val="20"/>
              </w:rPr>
              <w:t> </w:t>
            </w:r>
            <w:r w:rsidRPr="000B521F">
              <w:rPr>
                <w:rFonts w:ascii="Times New Roman" w:hAnsi="Times New Roman"/>
                <w:sz w:val="20"/>
                <w:szCs w:val="20"/>
              </w:rPr>
              <w:t>přípravě</w:t>
            </w:r>
            <w:r w:rsidR="00E37E1C">
              <w:rPr>
                <w:rFonts w:ascii="Times New Roman" w:hAnsi="Times New Roman"/>
                <w:sz w:val="20"/>
                <w:szCs w:val="20"/>
              </w:rPr>
              <w:t>.</w:t>
            </w:r>
          </w:p>
        </w:tc>
      </w:tr>
      <w:tr w:rsidR="000C2B6D" w:rsidRPr="000B521F" w:rsidTr="00761093">
        <w:tc>
          <w:tcPr>
            <w:tcW w:w="1418" w:type="dxa"/>
            <w:shd w:val="clear" w:color="auto" w:fill="8DB3E2" w:themeFill="text2" w:themeFillTint="66"/>
          </w:tcPr>
          <w:p w:rsidR="000C2B6D" w:rsidRPr="000B521F" w:rsidRDefault="000C2B6D" w:rsidP="0059011D">
            <w:pPr>
              <w:pStyle w:val="DAVA"/>
              <w:spacing w:before="0"/>
              <w:jc w:val="left"/>
              <w:rPr>
                <w:rFonts w:ascii="Times New Roman" w:hAnsi="Times New Roman"/>
                <w:b/>
                <w:sz w:val="20"/>
                <w:szCs w:val="20"/>
              </w:rPr>
            </w:pPr>
            <w:r w:rsidRPr="000B521F">
              <w:rPr>
                <w:rFonts w:ascii="Times New Roman" w:hAnsi="Times New Roman"/>
                <w:b/>
                <w:sz w:val="20"/>
                <w:szCs w:val="20"/>
              </w:rPr>
              <w:t>Strategie reformy psychiatrické péče</w:t>
            </w:r>
          </w:p>
        </w:tc>
        <w:tc>
          <w:tcPr>
            <w:tcW w:w="7760" w:type="dxa"/>
            <w:shd w:val="clear" w:color="auto" w:fill="auto"/>
          </w:tcPr>
          <w:p w:rsidR="000C2B6D" w:rsidRPr="000B521F" w:rsidRDefault="000C2B6D" w:rsidP="0059011D">
            <w:pPr>
              <w:pStyle w:val="DAVA"/>
              <w:spacing w:before="0"/>
              <w:rPr>
                <w:rFonts w:ascii="Times New Roman" w:hAnsi="Times New Roman"/>
                <w:sz w:val="20"/>
                <w:szCs w:val="20"/>
              </w:rPr>
            </w:pPr>
            <w:r w:rsidRPr="000B521F">
              <w:rPr>
                <w:rFonts w:ascii="Times New Roman" w:hAnsi="Times New Roman"/>
                <w:sz w:val="20"/>
                <w:szCs w:val="20"/>
              </w:rPr>
              <w:t>Dokument v přípravě. Hlavní cíle dokumentu jsou:</w:t>
            </w:r>
          </w:p>
          <w:p w:rsidR="008206A4" w:rsidRPr="000B521F" w:rsidRDefault="000C2B6D" w:rsidP="0059011D">
            <w:pPr>
              <w:pStyle w:val="DAVA"/>
              <w:spacing w:before="0"/>
              <w:rPr>
                <w:rFonts w:ascii="Times New Roman" w:hAnsi="Times New Roman"/>
                <w:bCs/>
                <w:sz w:val="20"/>
                <w:szCs w:val="20"/>
              </w:rPr>
            </w:pPr>
            <w:r w:rsidRPr="000B521F">
              <w:rPr>
                <w:rFonts w:ascii="Times New Roman" w:hAnsi="Times New Roman"/>
                <w:bCs/>
                <w:sz w:val="20"/>
                <w:szCs w:val="20"/>
              </w:rPr>
              <w:t xml:space="preserve">1.Zvýšit kvalitu psychiatrické péče systémovou změnou organizace jejího poskytování. </w:t>
            </w:r>
          </w:p>
          <w:p w:rsidR="008206A4" w:rsidRPr="000B521F" w:rsidRDefault="000C2B6D" w:rsidP="0059011D">
            <w:pPr>
              <w:pStyle w:val="DAVA"/>
              <w:spacing w:before="0"/>
              <w:rPr>
                <w:rFonts w:ascii="Times New Roman" w:hAnsi="Times New Roman"/>
                <w:bCs/>
                <w:sz w:val="20"/>
                <w:szCs w:val="20"/>
              </w:rPr>
            </w:pPr>
            <w:r w:rsidRPr="000B521F">
              <w:rPr>
                <w:rFonts w:ascii="Times New Roman" w:hAnsi="Times New Roman"/>
                <w:bCs/>
                <w:sz w:val="20"/>
                <w:szCs w:val="20"/>
              </w:rPr>
              <w:t>2.Omezit stigmatizaci duševně nemocných a oboru psychiatrie obecně.</w:t>
            </w:r>
          </w:p>
          <w:p w:rsidR="008206A4" w:rsidRPr="000B521F" w:rsidRDefault="000C2B6D" w:rsidP="0059011D">
            <w:pPr>
              <w:pStyle w:val="DAVA"/>
              <w:spacing w:before="0"/>
              <w:rPr>
                <w:rFonts w:ascii="Times New Roman" w:hAnsi="Times New Roman"/>
                <w:bCs/>
                <w:sz w:val="20"/>
                <w:szCs w:val="20"/>
              </w:rPr>
            </w:pPr>
            <w:r w:rsidRPr="000B521F">
              <w:rPr>
                <w:rFonts w:ascii="Times New Roman" w:hAnsi="Times New Roman"/>
                <w:bCs/>
                <w:sz w:val="20"/>
                <w:szCs w:val="20"/>
              </w:rPr>
              <w:t xml:space="preserve">3.Zvýšit spokojenost uživatelů s poskytovanou psychiatrickou péčí. </w:t>
            </w:r>
          </w:p>
          <w:p w:rsidR="008206A4" w:rsidRPr="000B521F" w:rsidRDefault="000C2B6D" w:rsidP="0059011D">
            <w:pPr>
              <w:pStyle w:val="DAVA"/>
              <w:spacing w:before="0"/>
              <w:rPr>
                <w:rFonts w:ascii="Times New Roman" w:hAnsi="Times New Roman"/>
                <w:bCs/>
                <w:sz w:val="20"/>
                <w:szCs w:val="20"/>
              </w:rPr>
            </w:pPr>
            <w:r w:rsidRPr="000B521F">
              <w:rPr>
                <w:rFonts w:ascii="Times New Roman" w:hAnsi="Times New Roman"/>
                <w:bCs/>
                <w:sz w:val="20"/>
                <w:szCs w:val="20"/>
              </w:rPr>
              <w:t>4.Zvýšit efektivitu psychiatrické péče včasnou diagnostikou a identifikací skryté psychiatrické nemocnosti.</w:t>
            </w:r>
          </w:p>
          <w:p w:rsidR="008206A4" w:rsidRPr="000B521F" w:rsidRDefault="000C2B6D" w:rsidP="0059011D">
            <w:pPr>
              <w:pStyle w:val="DAVA"/>
              <w:spacing w:before="0"/>
              <w:rPr>
                <w:rFonts w:ascii="Times New Roman" w:hAnsi="Times New Roman"/>
                <w:bCs/>
                <w:sz w:val="20"/>
                <w:szCs w:val="20"/>
              </w:rPr>
            </w:pPr>
            <w:r w:rsidRPr="000B521F">
              <w:rPr>
                <w:rFonts w:ascii="Times New Roman" w:hAnsi="Times New Roman"/>
                <w:bCs/>
                <w:sz w:val="20"/>
                <w:szCs w:val="20"/>
              </w:rPr>
              <w:t>5.Zvýšit úspěšnost plnohodnotného začleňování duševně nemocných do společnosti (zejména zlepšením podmínek pro zaměstnanost, vzdělávání a bydlení aj.).</w:t>
            </w:r>
          </w:p>
          <w:p w:rsidR="008206A4" w:rsidRPr="000B521F" w:rsidRDefault="000C2B6D" w:rsidP="0059011D">
            <w:pPr>
              <w:pStyle w:val="DAVA"/>
              <w:spacing w:before="0"/>
              <w:rPr>
                <w:rFonts w:ascii="Times New Roman" w:hAnsi="Times New Roman"/>
                <w:bCs/>
                <w:sz w:val="20"/>
                <w:szCs w:val="20"/>
              </w:rPr>
            </w:pPr>
            <w:r w:rsidRPr="000B521F">
              <w:rPr>
                <w:rFonts w:ascii="Times New Roman" w:hAnsi="Times New Roman"/>
                <w:bCs/>
                <w:sz w:val="20"/>
                <w:szCs w:val="20"/>
              </w:rPr>
              <w:t xml:space="preserve">6.Zlepšit provázanost zdravotních, sociálních a dalších návazných služeb. </w:t>
            </w:r>
          </w:p>
          <w:p w:rsidR="008206A4" w:rsidRPr="000B521F" w:rsidRDefault="000C2B6D" w:rsidP="0059011D">
            <w:pPr>
              <w:pStyle w:val="DAVA"/>
              <w:spacing w:before="0"/>
              <w:rPr>
                <w:rFonts w:ascii="Times New Roman" w:hAnsi="Times New Roman"/>
                <w:bCs/>
                <w:sz w:val="20"/>
                <w:szCs w:val="20"/>
              </w:rPr>
            </w:pPr>
            <w:r w:rsidRPr="000B521F">
              <w:rPr>
                <w:rFonts w:ascii="Times New Roman" w:hAnsi="Times New Roman"/>
                <w:bCs/>
                <w:sz w:val="20"/>
                <w:szCs w:val="20"/>
              </w:rPr>
              <w:t>7.Humanizovat psychiatrickou péči.</w:t>
            </w:r>
          </w:p>
          <w:p w:rsidR="000C2B6D" w:rsidRPr="000B521F" w:rsidRDefault="000C2B6D" w:rsidP="0059011D">
            <w:pPr>
              <w:pStyle w:val="DAVA"/>
              <w:spacing w:before="0"/>
              <w:rPr>
                <w:rFonts w:ascii="Times New Roman" w:hAnsi="Times New Roman"/>
                <w:sz w:val="20"/>
                <w:szCs w:val="20"/>
              </w:rPr>
            </w:pPr>
          </w:p>
        </w:tc>
      </w:tr>
    </w:tbl>
    <w:p w:rsidR="00064A4A" w:rsidRDefault="00064A4A" w:rsidP="005B6699">
      <w:pPr>
        <w:pStyle w:val="Tabulka"/>
      </w:pPr>
    </w:p>
    <w:p w:rsidR="001861FC" w:rsidRPr="000B521F" w:rsidRDefault="001861FC" w:rsidP="005B6699">
      <w:pPr>
        <w:pStyle w:val="Tabulka"/>
      </w:pPr>
      <w:r w:rsidRPr="000B521F">
        <w:lastRenderedPageBreak/>
        <w:t>Cíle strategie Evropa 2020 a cíle Národního programu reforem</w:t>
      </w:r>
    </w:p>
    <w:p w:rsidR="001861FC" w:rsidRPr="000B521F" w:rsidRDefault="001861FC"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Strategie Evropa 2020 stanovuje cíl „snížit o 25% počet Evropanů, kteří žijí pod vnitrostátní hranicí chudoby, což vyvede z chudoby přes 20 milionů lidí (přičemž vnitrostátní hranice chudoby je stanovena na úrovni 60% průměrného disponibilního příjmu v každém členském státě).</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993"/>
        <w:gridCol w:w="992"/>
        <w:gridCol w:w="1026"/>
        <w:gridCol w:w="1100"/>
        <w:gridCol w:w="1083"/>
        <w:gridCol w:w="1043"/>
      </w:tblGrid>
      <w:tr w:rsidR="001861FC" w:rsidRPr="000B521F" w:rsidTr="00761093">
        <w:tc>
          <w:tcPr>
            <w:tcW w:w="2835" w:type="dxa"/>
            <w:shd w:val="clear" w:color="auto" w:fill="8DB3E2" w:themeFill="text2" w:themeFillTint="66"/>
            <w:vAlign w:val="center"/>
          </w:tcPr>
          <w:p w:rsidR="001861FC" w:rsidRPr="000B521F" w:rsidRDefault="001861FC" w:rsidP="0059011D">
            <w:pPr>
              <w:spacing w:after="120" w:line="240" w:lineRule="auto"/>
              <w:jc w:val="both"/>
              <w:rPr>
                <w:rFonts w:ascii="Times New Roman" w:hAnsi="Times New Roman" w:cs="Times New Roman"/>
                <w:b/>
                <w:sz w:val="20"/>
                <w:szCs w:val="20"/>
              </w:rPr>
            </w:pPr>
            <w:r w:rsidRPr="000B521F">
              <w:rPr>
                <w:rFonts w:ascii="Times New Roman" w:hAnsi="Times New Roman" w:cs="Times New Roman"/>
                <w:b/>
                <w:sz w:val="20"/>
                <w:szCs w:val="20"/>
              </w:rPr>
              <w:t>Hlavní cíl strategie Evropa 2020</w:t>
            </w:r>
          </w:p>
        </w:tc>
        <w:tc>
          <w:tcPr>
            <w:tcW w:w="993" w:type="dxa"/>
            <w:tcBorders>
              <w:right w:val="single" w:sz="6" w:space="0" w:color="auto"/>
            </w:tcBorders>
            <w:shd w:val="clear" w:color="auto" w:fill="8DB3E2" w:themeFill="text2" w:themeFillTint="66"/>
            <w:vAlign w:val="center"/>
          </w:tcPr>
          <w:p w:rsidR="001861FC" w:rsidRPr="000B521F" w:rsidRDefault="001861FC" w:rsidP="0059011D">
            <w:pPr>
              <w:spacing w:after="120" w:line="240" w:lineRule="auto"/>
              <w:jc w:val="both"/>
              <w:rPr>
                <w:rFonts w:ascii="Times New Roman" w:hAnsi="Times New Roman" w:cs="Times New Roman"/>
                <w:b/>
                <w:sz w:val="20"/>
                <w:szCs w:val="20"/>
              </w:rPr>
            </w:pPr>
            <w:r w:rsidRPr="000B521F">
              <w:rPr>
                <w:rFonts w:ascii="Times New Roman" w:hAnsi="Times New Roman" w:cs="Times New Roman"/>
                <w:b/>
                <w:sz w:val="20"/>
                <w:szCs w:val="20"/>
              </w:rPr>
              <w:t>Cíl EU k 2020</w:t>
            </w:r>
          </w:p>
        </w:tc>
        <w:tc>
          <w:tcPr>
            <w:tcW w:w="992" w:type="dxa"/>
            <w:tcBorders>
              <w:left w:val="single" w:sz="6" w:space="0" w:color="auto"/>
            </w:tcBorders>
            <w:shd w:val="clear" w:color="auto" w:fill="8DB3E2" w:themeFill="text2" w:themeFillTint="66"/>
            <w:vAlign w:val="center"/>
          </w:tcPr>
          <w:p w:rsidR="001861FC" w:rsidRPr="000B521F" w:rsidRDefault="001861FC" w:rsidP="0059011D">
            <w:pPr>
              <w:spacing w:after="120" w:line="240" w:lineRule="auto"/>
              <w:jc w:val="both"/>
              <w:rPr>
                <w:rFonts w:ascii="Times New Roman" w:hAnsi="Times New Roman" w:cs="Times New Roman"/>
                <w:b/>
                <w:sz w:val="20"/>
                <w:szCs w:val="20"/>
              </w:rPr>
            </w:pPr>
            <w:r w:rsidRPr="000B521F">
              <w:rPr>
                <w:rFonts w:ascii="Times New Roman" w:hAnsi="Times New Roman" w:cs="Times New Roman"/>
                <w:b/>
                <w:sz w:val="20"/>
                <w:szCs w:val="20"/>
              </w:rPr>
              <w:t>Stav EU k 2010</w:t>
            </w:r>
          </w:p>
        </w:tc>
        <w:tc>
          <w:tcPr>
            <w:tcW w:w="1026" w:type="dxa"/>
            <w:tcBorders>
              <w:right w:val="single" w:sz="6" w:space="0" w:color="auto"/>
            </w:tcBorders>
            <w:shd w:val="clear" w:color="auto" w:fill="8DB3E2" w:themeFill="text2" w:themeFillTint="66"/>
            <w:vAlign w:val="center"/>
          </w:tcPr>
          <w:p w:rsidR="001861FC" w:rsidRPr="000B521F" w:rsidRDefault="001861FC" w:rsidP="0059011D">
            <w:pPr>
              <w:spacing w:after="120" w:line="240" w:lineRule="auto"/>
              <w:jc w:val="both"/>
              <w:rPr>
                <w:rFonts w:ascii="Times New Roman" w:hAnsi="Times New Roman" w:cs="Times New Roman"/>
                <w:b/>
                <w:sz w:val="20"/>
                <w:szCs w:val="20"/>
              </w:rPr>
            </w:pPr>
            <w:r w:rsidRPr="000B521F">
              <w:rPr>
                <w:rFonts w:ascii="Times New Roman" w:hAnsi="Times New Roman" w:cs="Times New Roman"/>
                <w:b/>
                <w:sz w:val="20"/>
                <w:szCs w:val="20"/>
              </w:rPr>
              <w:t>Stav EU k 2011</w:t>
            </w:r>
          </w:p>
        </w:tc>
        <w:tc>
          <w:tcPr>
            <w:tcW w:w="1100" w:type="dxa"/>
            <w:tcBorders>
              <w:right w:val="single" w:sz="6" w:space="0" w:color="auto"/>
            </w:tcBorders>
            <w:shd w:val="clear" w:color="auto" w:fill="8DB3E2" w:themeFill="text2" w:themeFillTint="66"/>
            <w:vAlign w:val="center"/>
          </w:tcPr>
          <w:p w:rsidR="001861FC" w:rsidRPr="000B521F" w:rsidRDefault="001861FC" w:rsidP="0059011D">
            <w:pPr>
              <w:spacing w:after="120" w:line="240" w:lineRule="auto"/>
              <w:jc w:val="both"/>
              <w:rPr>
                <w:rFonts w:ascii="Times New Roman" w:hAnsi="Times New Roman" w:cs="Times New Roman"/>
                <w:b/>
                <w:sz w:val="20"/>
                <w:szCs w:val="20"/>
              </w:rPr>
            </w:pPr>
            <w:r w:rsidRPr="000B521F">
              <w:rPr>
                <w:rFonts w:ascii="Times New Roman" w:hAnsi="Times New Roman" w:cs="Times New Roman"/>
                <w:b/>
                <w:sz w:val="20"/>
                <w:szCs w:val="20"/>
              </w:rPr>
              <w:t>Cíl ČR k 2020</w:t>
            </w:r>
          </w:p>
        </w:tc>
        <w:tc>
          <w:tcPr>
            <w:tcW w:w="1083" w:type="dxa"/>
            <w:tcBorders>
              <w:right w:val="single" w:sz="6" w:space="0" w:color="auto"/>
            </w:tcBorders>
            <w:shd w:val="clear" w:color="auto" w:fill="8DB3E2" w:themeFill="text2" w:themeFillTint="66"/>
            <w:vAlign w:val="center"/>
          </w:tcPr>
          <w:p w:rsidR="001861FC" w:rsidRPr="000B521F" w:rsidRDefault="001861FC" w:rsidP="0059011D">
            <w:pPr>
              <w:spacing w:after="120" w:line="240" w:lineRule="auto"/>
              <w:jc w:val="both"/>
              <w:rPr>
                <w:rFonts w:ascii="Times New Roman" w:hAnsi="Times New Roman" w:cs="Times New Roman"/>
                <w:b/>
                <w:sz w:val="20"/>
                <w:szCs w:val="20"/>
              </w:rPr>
            </w:pPr>
            <w:r w:rsidRPr="000B521F">
              <w:rPr>
                <w:rFonts w:ascii="Times New Roman" w:hAnsi="Times New Roman" w:cs="Times New Roman"/>
                <w:b/>
                <w:sz w:val="20"/>
                <w:szCs w:val="20"/>
              </w:rPr>
              <w:t>Stav ČR k 2010</w:t>
            </w:r>
          </w:p>
        </w:tc>
        <w:tc>
          <w:tcPr>
            <w:tcW w:w="1043" w:type="dxa"/>
            <w:tcBorders>
              <w:left w:val="single" w:sz="6" w:space="0" w:color="auto"/>
            </w:tcBorders>
            <w:shd w:val="clear" w:color="auto" w:fill="8DB3E2" w:themeFill="text2" w:themeFillTint="66"/>
            <w:vAlign w:val="center"/>
          </w:tcPr>
          <w:p w:rsidR="001861FC" w:rsidRPr="000B521F" w:rsidRDefault="001861FC" w:rsidP="0059011D">
            <w:pPr>
              <w:spacing w:after="120" w:line="240" w:lineRule="auto"/>
              <w:jc w:val="both"/>
              <w:rPr>
                <w:rFonts w:ascii="Times New Roman" w:hAnsi="Times New Roman" w:cs="Times New Roman"/>
                <w:b/>
                <w:sz w:val="20"/>
                <w:szCs w:val="20"/>
              </w:rPr>
            </w:pPr>
            <w:r w:rsidRPr="000B521F">
              <w:rPr>
                <w:rFonts w:ascii="Times New Roman" w:hAnsi="Times New Roman" w:cs="Times New Roman"/>
                <w:b/>
                <w:sz w:val="20"/>
                <w:szCs w:val="20"/>
              </w:rPr>
              <w:t>Stav ČR k 2011</w:t>
            </w:r>
          </w:p>
        </w:tc>
      </w:tr>
      <w:tr w:rsidR="001861FC" w:rsidRPr="000B521F" w:rsidTr="00761093">
        <w:trPr>
          <w:trHeight w:val="395"/>
        </w:trPr>
        <w:tc>
          <w:tcPr>
            <w:tcW w:w="2835" w:type="dxa"/>
            <w:shd w:val="clear" w:color="auto" w:fill="C6D9F1" w:themeFill="text2" w:themeFillTint="33"/>
            <w:vAlign w:val="center"/>
          </w:tcPr>
          <w:p w:rsidR="001861FC" w:rsidRPr="000B521F" w:rsidRDefault="001861FC" w:rsidP="0059011D">
            <w:pPr>
              <w:spacing w:after="120" w:line="240" w:lineRule="auto"/>
              <w:jc w:val="both"/>
              <w:rPr>
                <w:rFonts w:ascii="Times New Roman" w:hAnsi="Times New Roman" w:cs="Times New Roman"/>
                <w:sz w:val="20"/>
                <w:szCs w:val="20"/>
              </w:rPr>
            </w:pPr>
            <w:r w:rsidRPr="000B521F">
              <w:rPr>
                <w:rFonts w:ascii="Times New Roman" w:hAnsi="Times New Roman" w:cs="Times New Roman"/>
                <w:sz w:val="20"/>
                <w:szCs w:val="20"/>
              </w:rPr>
              <w:t>Počet osob ohrožených chudobou (1000 obyvatel / v %)</w:t>
            </w:r>
          </w:p>
        </w:tc>
        <w:tc>
          <w:tcPr>
            <w:tcW w:w="993" w:type="dxa"/>
            <w:tcBorders>
              <w:right w:val="single" w:sz="6" w:space="0" w:color="auto"/>
            </w:tcBorders>
            <w:shd w:val="clear" w:color="auto" w:fill="FFFFFF"/>
            <w:vAlign w:val="center"/>
          </w:tcPr>
          <w:p w:rsidR="001861FC" w:rsidRPr="000B521F" w:rsidRDefault="001861FC" w:rsidP="0059011D">
            <w:pPr>
              <w:spacing w:after="120" w:line="240" w:lineRule="auto"/>
              <w:jc w:val="both"/>
              <w:rPr>
                <w:rFonts w:ascii="Times New Roman" w:hAnsi="Times New Roman" w:cs="Times New Roman"/>
                <w:sz w:val="20"/>
                <w:szCs w:val="20"/>
              </w:rPr>
            </w:pPr>
            <w:r w:rsidRPr="000B521F">
              <w:rPr>
                <w:rFonts w:ascii="Times New Roman" w:hAnsi="Times New Roman" w:cs="Times New Roman"/>
                <w:sz w:val="20"/>
                <w:szCs w:val="20"/>
              </w:rPr>
              <w:t xml:space="preserve">Min. o 20 mil. </w:t>
            </w:r>
          </w:p>
        </w:tc>
        <w:tc>
          <w:tcPr>
            <w:tcW w:w="992" w:type="dxa"/>
            <w:tcBorders>
              <w:left w:val="single" w:sz="6" w:space="0" w:color="auto"/>
            </w:tcBorders>
            <w:shd w:val="clear" w:color="auto" w:fill="FFFFFF"/>
            <w:vAlign w:val="center"/>
          </w:tcPr>
          <w:p w:rsidR="001861FC" w:rsidRPr="000B521F" w:rsidRDefault="001861FC" w:rsidP="0059011D">
            <w:pPr>
              <w:spacing w:after="120" w:line="240" w:lineRule="auto"/>
              <w:jc w:val="both"/>
              <w:rPr>
                <w:rFonts w:ascii="Times New Roman" w:hAnsi="Times New Roman" w:cs="Times New Roman"/>
                <w:sz w:val="20"/>
                <w:szCs w:val="20"/>
              </w:rPr>
            </w:pPr>
            <w:r w:rsidRPr="000B521F">
              <w:rPr>
                <w:rFonts w:ascii="Times New Roman" w:hAnsi="Times New Roman" w:cs="Times New Roman"/>
                <w:sz w:val="20"/>
                <w:szCs w:val="20"/>
              </w:rPr>
              <w:t>116 206/ 23,6%</w:t>
            </w:r>
          </w:p>
        </w:tc>
        <w:tc>
          <w:tcPr>
            <w:tcW w:w="1026" w:type="dxa"/>
            <w:tcBorders>
              <w:right w:val="single" w:sz="6" w:space="0" w:color="auto"/>
            </w:tcBorders>
            <w:shd w:val="clear" w:color="auto" w:fill="FFFFFF"/>
            <w:vAlign w:val="center"/>
          </w:tcPr>
          <w:p w:rsidR="001861FC" w:rsidRPr="000B521F" w:rsidRDefault="001861FC" w:rsidP="0059011D">
            <w:pPr>
              <w:spacing w:after="120" w:line="240" w:lineRule="auto"/>
              <w:jc w:val="both"/>
              <w:rPr>
                <w:rFonts w:ascii="Times New Roman" w:hAnsi="Times New Roman" w:cs="Times New Roman"/>
                <w:sz w:val="20"/>
                <w:szCs w:val="20"/>
              </w:rPr>
            </w:pPr>
            <w:r w:rsidRPr="000B521F">
              <w:rPr>
                <w:rFonts w:ascii="Times New Roman" w:hAnsi="Times New Roman" w:cs="Times New Roman"/>
                <w:sz w:val="20"/>
                <w:szCs w:val="20"/>
              </w:rPr>
              <w:t>119 758/ 24,2%</w:t>
            </w:r>
          </w:p>
        </w:tc>
        <w:tc>
          <w:tcPr>
            <w:tcW w:w="1100" w:type="dxa"/>
            <w:tcBorders>
              <w:right w:val="single" w:sz="6" w:space="0" w:color="auto"/>
            </w:tcBorders>
            <w:shd w:val="clear" w:color="auto" w:fill="FFFFFF"/>
            <w:vAlign w:val="center"/>
          </w:tcPr>
          <w:p w:rsidR="001861FC" w:rsidRPr="000B521F" w:rsidRDefault="001861FC" w:rsidP="0059011D">
            <w:pPr>
              <w:spacing w:after="120" w:line="240" w:lineRule="auto"/>
              <w:jc w:val="both"/>
              <w:rPr>
                <w:rFonts w:ascii="Times New Roman" w:hAnsi="Times New Roman" w:cs="Times New Roman"/>
                <w:sz w:val="20"/>
                <w:szCs w:val="20"/>
              </w:rPr>
            </w:pPr>
            <w:r w:rsidRPr="000B521F">
              <w:rPr>
                <w:rFonts w:ascii="Times New Roman" w:hAnsi="Times New Roman" w:cs="Times New Roman"/>
                <w:sz w:val="20"/>
                <w:szCs w:val="20"/>
              </w:rPr>
              <w:t>1 566 (a snížení o 30 tis.)</w:t>
            </w:r>
          </w:p>
        </w:tc>
        <w:tc>
          <w:tcPr>
            <w:tcW w:w="1083" w:type="dxa"/>
            <w:tcBorders>
              <w:right w:val="single" w:sz="6" w:space="0" w:color="auto"/>
            </w:tcBorders>
            <w:shd w:val="clear" w:color="auto" w:fill="FFFFFF"/>
            <w:vAlign w:val="center"/>
          </w:tcPr>
          <w:p w:rsidR="001861FC" w:rsidRPr="000B521F" w:rsidRDefault="001861FC" w:rsidP="0059011D">
            <w:pPr>
              <w:spacing w:after="120" w:line="240" w:lineRule="auto"/>
              <w:jc w:val="both"/>
              <w:rPr>
                <w:rFonts w:ascii="Times New Roman" w:hAnsi="Times New Roman" w:cs="Times New Roman"/>
                <w:sz w:val="20"/>
                <w:szCs w:val="20"/>
              </w:rPr>
            </w:pPr>
            <w:r w:rsidRPr="000B521F">
              <w:rPr>
                <w:rFonts w:ascii="Times New Roman" w:hAnsi="Times New Roman" w:cs="Times New Roman"/>
                <w:sz w:val="20"/>
                <w:szCs w:val="20"/>
              </w:rPr>
              <w:t>1 495/ 14,4%</w:t>
            </w:r>
          </w:p>
        </w:tc>
        <w:tc>
          <w:tcPr>
            <w:tcW w:w="1043" w:type="dxa"/>
            <w:tcBorders>
              <w:left w:val="single" w:sz="6" w:space="0" w:color="auto"/>
            </w:tcBorders>
            <w:shd w:val="clear" w:color="auto" w:fill="FFFFFF"/>
            <w:vAlign w:val="center"/>
          </w:tcPr>
          <w:p w:rsidR="001861FC" w:rsidRPr="000B521F" w:rsidRDefault="001861FC" w:rsidP="0059011D">
            <w:pPr>
              <w:spacing w:after="120" w:line="240" w:lineRule="auto"/>
              <w:jc w:val="both"/>
              <w:rPr>
                <w:rFonts w:ascii="Times New Roman" w:hAnsi="Times New Roman" w:cs="Times New Roman"/>
                <w:sz w:val="20"/>
                <w:szCs w:val="20"/>
              </w:rPr>
            </w:pPr>
            <w:r w:rsidRPr="000B521F">
              <w:rPr>
                <w:rFonts w:ascii="Times New Roman" w:hAnsi="Times New Roman" w:cs="Times New Roman"/>
                <w:sz w:val="20"/>
                <w:szCs w:val="20"/>
              </w:rPr>
              <w:t>1 598/ 15,3%</w:t>
            </w:r>
          </w:p>
        </w:tc>
      </w:tr>
    </w:tbl>
    <w:p w:rsidR="001861FC" w:rsidRPr="0059011D" w:rsidRDefault="001861FC" w:rsidP="0059011D">
      <w:pPr>
        <w:spacing w:after="120" w:line="240" w:lineRule="auto"/>
        <w:jc w:val="both"/>
        <w:rPr>
          <w:rFonts w:ascii="Times New Roman" w:hAnsi="Times New Roman" w:cs="Times New Roman"/>
          <w:sz w:val="16"/>
          <w:szCs w:val="16"/>
        </w:rPr>
      </w:pPr>
      <w:r w:rsidRPr="0059011D">
        <w:rPr>
          <w:rFonts w:ascii="Times New Roman" w:hAnsi="Times New Roman" w:cs="Times New Roman"/>
          <w:sz w:val="16"/>
          <w:szCs w:val="16"/>
        </w:rPr>
        <w:t>Zdroj: http://epp.eurostat.ec.europa.eu/tgm/table.do?tab=table&amp;init=1&amp;plugin=0&amp;language=en&amp;pcode=t2020_50&amp;tableSelection=1</w:t>
      </w:r>
    </w:p>
    <w:p w:rsidR="008206A4" w:rsidRPr="000B521F" w:rsidRDefault="00226C1D" w:rsidP="0059011D">
      <w:pPr>
        <w:pStyle w:val="Nadpis3"/>
        <w:numPr>
          <w:ilvl w:val="2"/>
          <w:numId w:val="14"/>
        </w:numPr>
        <w:spacing w:after="120"/>
        <w:rPr>
          <w:rFonts w:ascii="Times New Roman" w:hAnsi="Times New Roman" w:cs="Times New Roman"/>
        </w:rPr>
      </w:pPr>
      <w:bookmarkStart w:id="40" w:name="_Toc374702866"/>
      <w:r w:rsidRPr="000B521F">
        <w:rPr>
          <w:rFonts w:ascii="Times New Roman" w:hAnsi="Times New Roman" w:cs="Times New Roman"/>
        </w:rPr>
        <w:t>Životní prostředí</w:t>
      </w:r>
      <w:bookmarkEnd w:id="40"/>
    </w:p>
    <w:p w:rsidR="008206A4" w:rsidRPr="000B521F" w:rsidRDefault="00226C1D" w:rsidP="0059011D">
      <w:pPr>
        <w:pStyle w:val="Nadpis4"/>
        <w:numPr>
          <w:ilvl w:val="3"/>
          <w:numId w:val="14"/>
        </w:numPr>
        <w:spacing w:before="120" w:after="120"/>
        <w:rPr>
          <w:rFonts w:ascii="Times New Roman" w:hAnsi="Times New Roman" w:cs="Times New Roman"/>
          <w:sz w:val="24"/>
          <w:szCs w:val="24"/>
        </w:rPr>
      </w:pPr>
      <w:bookmarkStart w:id="41" w:name="_Toc374702867"/>
      <w:r w:rsidRPr="000B521F">
        <w:rPr>
          <w:rFonts w:ascii="Times New Roman" w:hAnsi="Times New Roman" w:cs="Times New Roman"/>
          <w:sz w:val="24"/>
          <w:szCs w:val="24"/>
        </w:rPr>
        <w:t>Ochrana životního prostředí</w:t>
      </w:r>
      <w:bookmarkEnd w:id="41"/>
    </w:p>
    <w:p w:rsidR="00226C1D" w:rsidRPr="000B521F" w:rsidRDefault="00226C1D" w:rsidP="0059011D">
      <w:pPr>
        <w:spacing w:after="120" w:line="240" w:lineRule="auto"/>
        <w:rPr>
          <w:rFonts w:ascii="Times New Roman" w:hAnsi="Times New Roman" w:cs="Times New Roman"/>
          <w:b/>
          <w:sz w:val="24"/>
          <w:szCs w:val="24"/>
        </w:rPr>
      </w:pPr>
      <w:r w:rsidRPr="000B521F">
        <w:rPr>
          <w:rFonts w:ascii="Times New Roman" w:hAnsi="Times New Roman" w:cs="Times New Roman"/>
          <w:b/>
          <w:sz w:val="24"/>
          <w:szCs w:val="24"/>
        </w:rPr>
        <w:t>Východiska a charakteristika</w:t>
      </w:r>
    </w:p>
    <w:p w:rsidR="00226C1D" w:rsidRPr="000B521F" w:rsidRDefault="00226C1D"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Po roce 1989 je pro Českou republiku charakteristické výrazné snížení zátěže životního prostředí, které bylo způsobeno jednak strukturálními změnami hospodářství, jednak implementací nové legislativy. Díky tomu ČR vykázala v rámci EU jeden z nejvýznamnějších poklesů produkce látek znečišťujících ovzduší, a vodní toky. Od roku 2000 jsou změny v ČR pozvolné, v případě některých látek dochází spíše ke zvyšování produkce znečištění.</w:t>
      </w:r>
    </w:p>
    <w:p w:rsidR="00226C1D" w:rsidRPr="000B521F" w:rsidRDefault="00226C1D"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Dopady znečištění životního prostředí  na lidské zdraví a ekosystémy se kumulují v městských a průmyslových regionech (znečištění ovzduší a vod, hluk, ekologické zátěže), kde žije značná část obyvatelstva. Naopak pro venkovské území, zejména periferní oblasti a malé obce, je typické spíše zaostávání ve vybavení infrastrukturou životního prostředí.</w:t>
      </w:r>
    </w:p>
    <w:p w:rsidR="00226C1D" w:rsidRPr="000B521F" w:rsidRDefault="00226C1D" w:rsidP="0059011D">
      <w:p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sz w:val="24"/>
          <w:szCs w:val="24"/>
        </w:rPr>
        <w:t>Kvalita ovzduší patří k nejzávažnějším problémům životního prostředí v ČR, i přesto, že se emise všech znečišťujících látek v 90. letech 20. století výrazně snížily především v důsledku omezení a restrukturalizace výroby a legislativně-technických opatření. Po roce 2000 však emise hlavních znečišťujících látek klesají jen pozvolna a kvalita ovzduší se nezlepšuje, u nejvíce rizikových znečišťujících látek se projevuje negativní trend. Na kvalitě ovzduší se s poklesem emisí z průmyslových zdrojů stále větší měrou projevuje vytápění domácností pevnými palivy a silniční doprava. Významným problémem jsou především nadlimitní koncentrace PM</w:t>
      </w:r>
      <w:r w:rsidRPr="000B521F">
        <w:rPr>
          <w:rFonts w:ascii="Times New Roman" w:hAnsi="Times New Roman" w:cs="Times New Roman"/>
          <w:sz w:val="24"/>
          <w:szCs w:val="24"/>
          <w:vertAlign w:val="subscript"/>
        </w:rPr>
        <w:t>10</w:t>
      </w:r>
      <w:r w:rsidR="00D446F4">
        <w:rPr>
          <w:rFonts w:ascii="Times New Roman" w:hAnsi="Times New Roman" w:cs="Times New Roman"/>
          <w:sz w:val="24"/>
          <w:szCs w:val="24"/>
          <w:vertAlign w:val="subscript"/>
        </w:rPr>
        <w:t xml:space="preserve"> </w:t>
      </w:r>
      <w:r w:rsidRPr="000B521F">
        <w:rPr>
          <w:rFonts w:ascii="Times New Roman" w:hAnsi="Times New Roman" w:cs="Times New Roman"/>
          <w:sz w:val="24"/>
          <w:szCs w:val="24"/>
        </w:rPr>
        <w:t>(prachové částice) a benzo(a)pyrenu, kterým je vystaven vysoký podíl obyvatelstva. V důsledku znečištění ovzduší suspendovanými částicemi dochází  k nárůstu výskytu alergických, respiračních a kardiovaskulárních onemocnění což vede k předčasným úmrtím zejména u starších a chronicky nemocných lidí. Podle odhadu Státního zdravotního ústavu došlo v roce 2012 k cca 5500 předčasným úmrtím, přičítaným špatné kvalitě ovzduší.</w:t>
      </w:r>
    </w:p>
    <w:p w:rsidR="00226C1D" w:rsidRPr="000B521F" w:rsidRDefault="00226C1D" w:rsidP="0059011D">
      <w:p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 xml:space="preserve">Jakost vody ve vodních tocích ČR se postupně zlepšuje především díky snižování množství vypouštěného znečištění z bodových zdrojů. Významným faktorem je rostoucí podíl obyvatel napojených na vodovody a kanalizace zakončenými čistírnou odpadních vod. Díky tomu tak většina vodních toků spadá do třídy jakosti mírně znečištěná – znečištěná voda. V roce 2012 bylo zařazeno do IV. (silně znečištěná voda) a V. třídy jakosti cca 12 % délky vodních toků ve správě Povodí, s.p. Jedná se většinou o méně vodné a krátké toky, do kterých je však vypouštěno relativně vyšší znečištění a je tak omezena jejich samočistící schopnost. Významným problémem i nadále zůstává plošné znečištění vodních toků, pocházející ve většině případů ze zemědělské činnosti, jejímž vlivem se do vodních toků dostává velké množství nutrientů (P, N), které jsou pak příčinou eutrofizace vodních toků a nádrží. Od roku 1990 došlo k významnému snížení spotřeby vody, a to jak z důvodu strukturálních změn </w:t>
      </w:r>
      <w:r w:rsidRPr="000B521F">
        <w:rPr>
          <w:rFonts w:ascii="Times New Roman" w:hAnsi="Times New Roman" w:cs="Times New Roman"/>
          <w:color w:val="000000"/>
          <w:sz w:val="24"/>
          <w:szCs w:val="24"/>
        </w:rPr>
        <w:lastRenderedPageBreak/>
        <w:t>v průmyslu, tak i zvýšením efektivity procesů při výrobě, případně i díky nižší spotřebě vody obyvatelstvem dané především rostoucími cenami za vodné a stočné.</w:t>
      </w:r>
    </w:p>
    <w:p w:rsidR="00226C1D" w:rsidRPr="000B521F" w:rsidRDefault="00226C1D" w:rsidP="0059011D">
      <w:p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 xml:space="preserve">Nakládání s odpady se v ČR řídí rámcovou směrnicí o odpadech, která definuje hierarchii nakládání s odpady, ve které se na prvním místě nachází předcházení vzniku odpadů, následuje opětovné použití, materiálové a energetické využití a na posledním místě odstraňování odpadů, což koresponduje i s doporučeními stanovenými Plánem odpadového hospodářství. </w:t>
      </w:r>
      <w:r w:rsidR="00B61005">
        <w:rPr>
          <w:rFonts w:ascii="Times New Roman" w:hAnsi="Times New Roman" w:cs="Times New Roman"/>
          <w:color w:val="000000"/>
          <w:sz w:val="24"/>
          <w:szCs w:val="24"/>
        </w:rPr>
        <w:t xml:space="preserve">Prioritou rozvoje odpadového hospodářství České republiky je dodržení cílů stanovených </w:t>
      </w:r>
      <w:r w:rsidR="00DA1CE2">
        <w:rPr>
          <w:rFonts w:ascii="Times New Roman" w:hAnsi="Times New Roman" w:cs="Times New Roman"/>
          <w:color w:val="000000"/>
          <w:sz w:val="24"/>
          <w:szCs w:val="24"/>
        </w:rPr>
        <w:t xml:space="preserve">evropskou legislativou za účelem zajištění ochrany životního prostředí a lidského zdraví. </w:t>
      </w:r>
      <w:r w:rsidRPr="000B521F">
        <w:rPr>
          <w:rFonts w:ascii="Times New Roman" w:hAnsi="Times New Roman" w:cs="Times New Roman"/>
          <w:color w:val="000000"/>
          <w:sz w:val="24"/>
          <w:szCs w:val="24"/>
        </w:rPr>
        <w:t xml:space="preserve">Celková produkce odpadů v ČR má od roku 2003 klesající trend, daný především změnami ve struktuře průmyslu. V poslední době je důraz kladen na využití druhotných surovin, především odpadů, a to návazně na vlajkovou iniciativu Strategie Evropa 2020 – Evropa efektivně využívající zdroje. </w:t>
      </w:r>
    </w:p>
    <w:p w:rsidR="004F244F" w:rsidRPr="00226C1D" w:rsidRDefault="00226C1D" w:rsidP="004F244F">
      <w:pPr>
        <w:spacing w:line="240" w:lineRule="auto"/>
        <w:jc w:val="both"/>
        <w:rPr>
          <w:rFonts w:ascii="Times New Roman" w:hAnsi="Times New Roman" w:cs="Times New Roman"/>
          <w:sz w:val="24"/>
          <w:szCs w:val="24"/>
        </w:rPr>
      </w:pPr>
      <w:r w:rsidRPr="000B521F">
        <w:rPr>
          <w:rFonts w:ascii="Times New Roman" w:hAnsi="Times New Roman" w:cs="Times New Roman"/>
          <w:color w:val="000000"/>
          <w:sz w:val="24"/>
          <w:szCs w:val="24"/>
        </w:rPr>
        <w:t>Důsledkem změn ve využívání krajiny je snížení odolnosti ekosystémů, resp. snížení funkce ekosystémových služeb, což se projevuje především nepříznivým stavem řady planě rostoucích rostlin a volně žijících živočichů. Vlivem působení změny klimatu rozšiřuje počet invazních cizorodých druhů. Důvodem těchto změn jsou i změny ve způsobu obhospodařování zemědělské</w:t>
      </w:r>
      <w:r w:rsidR="001F3723" w:rsidRPr="000B521F">
        <w:rPr>
          <w:rFonts w:ascii="Times New Roman" w:hAnsi="Times New Roman" w:cs="Times New Roman"/>
          <w:color w:val="000000"/>
          <w:sz w:val="24"/>
          <w:szCs w:val="24"/>
        </w:rPr>
        <w:t xml:space="preserve"> půdy (53,6 % území státu) a lesů (33,73 % území státu) </w:t>
      </w:r>
      <w:r w:rsidRPr="000B521F">
        <w:rPr>
          <w:rFonts w:ascii="Times New Roman" w:hAnsi="Times New Roman" w:cs="Times New Roman"/>
          <w:color w:val="000000"/>
          <w:sz w:val="24"/>
          <w:szCs w:val="24"/>
        </w:rPr>
        <w:t>ve 2. polovině 20. století. Toto období se vyznačuje především intenzifikací procesů, změnou struktury hospodaření a unifikací skladby pěstovaných plodin, což vede ke zvyšování eroze půdy</w:t>
      </w:r>
      <w:r w:rsidR="0047577A" w:rsidRPr="000B521F">
        <w:rPr>
          <w:rFonts w:ascii="Times New Roman" w:hAnsi="Times New Roman" w:cs="Times New Roman"/>
          <w:color w:val="000000"/>
          <w:sz w:val="24"/>
          <w:szCs w:val="24"/>
        </w:rPr>
        <w:t xml:space="preserve"> (především vodní, ale i větrné)</w:t>
      </w:r>
      <w:r w:rsidRPr="000B521F">
        <w:rPr>
          <w:rFonts w:ascii="Times New Roman" w:hAnsi="Times New Roman" w:cs="Times New Roman"/>
          <w:color w:val="000000"/>
          <w:sz w:val="24"/>
          <w:szCs w:val="24"/>
        </w:rPr>
        <w:t xml:space="preserve">, </w:t>
      </w:r>
      <w:r w:rsidR="004261BE" w:rsidRPr="000B521F">
        <w:rPr>
          <w:rFonts w:ascii="Times New Roman" w:hAnsi="Times New Roman" w:cs="Times New Roman"/>
          <w:color w:val="000000"/>
          <w:sz w:val="24"/>
          <w:szCs w:val="24"/>
        </w:rPr>
        <w:t xml:space="preserve">zvyšováním neprostupnosti </w:t>
      </w:r>
      <w:r w:rsidRPr="000B521F">
        <w:rPr>
          <w:rFonts w:ascii="Times New Roman" w:hAnsi="Times New Roman" w:cs="Times New Roman"/>
          <w:color w:val="000000"/>
          <w:sz w:val="24"/>
          <w:szCs w:val="24"/>
        </w:rPr>
        <w:t>krajiny či snížení její retenční schopnosti</w:t>
      </w:r>
      <w:r w:rsidR="001F3723" w:rsidRPr="000B521F">
        <w:rPr>
          <w:rFonts w:ascii="Times New Roman" w:hAnsi="Times New Roman" w:cs="Times New Roman"/>
          <w:color w:val="000000"/>
          <w:sz w:val="24"/>
          <w:szCs w:val="24"/>
        </w:rPr>
        <w:t>, případně až k přímé likvidaci řady stanovišť nebo jejich degradaci. Některé způsoby hospodaření představují riziko i dnes</w:t>
      </w:r>
      <w:r w:rsidRPr="000B521F">
        <w:rPr>
          <w:rFonts w:ascii="Times New Roman" w:hAnsi="Times New Roman" w:cs="Times New Roman"/>
          <w:color w:val="000000"/>
          <w:sz w:val="24"/>
          <w:szCs w:val="24"/>
        </w:rPr>
        <w:t xml:space="preserve">.  </w:t>
      </w:r>
      <w:r w:rsidRPr="000B521F">
        <w:rPr>
          <w:rFonts w:ascii="Times New Roman" w:hAnsi="Times New Roman" w:cs="Times New Roman"/>
          <w:sz w:val="24"/>
          <w:szCs w:val="24"/>
        </w:rPr>
        <w:t>Důležitým aspektem udržitelného využívání půdy je efektivní aplikace standardů Dobrého zemědělského a environmentálního stavu, která umožní co nejlépe zohlednit možnosti hospodařících subjektů, ale zároveň povede k zajištění využívání zemědělské půdy v souladu s požadavky na zachování přírodních zdrojů a biodiverzity.</w:t>
      </w:r>
      <w:r w:rsidR="001F3723" w:rsidRPr="000B521F">
        <w:rPr>
          <w:rFonts w:ascii="Times New Roman" w:hAnsi="Times New Roman" w:cs="Times New Roman"/>
          <w:sz w:val="24"/>
          <w:szCs w:val="24"/>
        </w:rPr>
        <w:t xml:space="preserve"> </w:t>
      </w:r>
      <w:r w:rsidRPr="000B521F">
        <w:rPr>
          <w:rFonts w:ascii="Times New Roman" w:hAnsi="Times New Roman" w:cs="Times New Roman"/>
          <w:color w:val="000000"/>
          <w:sz w:val="24"/>
          <w:szCs w:val="24"/>
        </w:rPr>
        <w:t xml:space="preserve">Pozitivní skutečností je </w:t>
      </w:r>
      <w:r w:rsidRPr="000B521F">
        <w:rPr>
          <w:rFonts w:ascii="Times New Roman" w:hAnsi="Times New Roman" w:cs="Times New Roman"/>
          <w:sz w:val="24"/>
          <w:szCs w:val="24"/>
        </w:rPr>
        <w:t xml:space="preserve">zvyšování výměry ekologicky obdělávané půdy a extenzivně obhospodařovaných travních porostů. </w:t>
      </w:r>
      <w:r w:rsidR="005D6CA1" w:rsidRPr="000B521F">
        <w:rPr>
          <w:rFonts w:ascii="Times New Roman" w:hAnsi="Times New Roman" w:cs="Times New Roman"/>
          <w:sz w:val="24"/>
          <w:szCs w:val="24"/>
        </w:rPr>
        <w:t xml:space="preserve">Oblasti s některým z typů přírodního znevýhodnění tvoří cca 50 % rozlohy zemědělsky využité půdy ČR. Zemědělské podniky zde hospodařící dosahují nižší produkce než zemědělci hospodařící v příznivých podmínkách a existuje reálné riziko zanechání hospodaření zejména na travních porostech (tvořících 90 % všech travních porostů ČR). </w:t>
      </w:r>
      <w:r w:rsidR="00B11B5B" w:rsidRPr="000B521F">
        <w:rPr>
          <w:rFonts w:ascii="Times New Roman" w:hAnsi="Times New Roman" w:cs="Times New Roman"/>
          <w:sz w:val="24"/>
          <w:szCs w:val="24"/>
        </w:rPr>
        <w:t>N</w:t>
      </w:r>
      <w:r w:rsidR="005D6CA1" w:rsidRPr="000B521F">
        <w:rPr>
          <w:rFonts w:ascii="Times New Roman" w:hAnsi="Times New Roman" w:cs="Times New Roman"/>
          <w:sz w:val="24"/>
          <w:szCs w:val="24"/>
        </w:rPr>
        <w:t>a pozemcích jsou realizována agroekologická opatření zaměřená na zachování biodiverzity, zlepšení hospodaření s vodou, půdou, předcházení klimatické změny a zmírňování jejích dopadů. Z</w:t>
      </w:r>
      <w:r w:rsidR="00B11B5B" w:rsidRPr="000B521F">
        <w:rPr>
          <w:rFonts w:ascii="Times New Roman" w:hAnsi="Times New Roman" w:cs="Times New Roman"/>
          <w:sz w:val="24"/>
          <w:szCs w:val="24"/>
        </w:rPr>
        <w:t> těchto důvodů se z</w:t>
      </w:r>
      <w:r w:rsidR="005D6CA1" w:rsidRPr="000B521F">
        <w:rPr>
          <w:rFonts w:ascii="Times New Roman" w:hAnsi="Times New Roman" w:cs="Times New Roman"/>
          <w:sz w:val="24"/>
          <w:szCs w:val="24"/>
        </w:rPr>
        <w:t xml:space="preserve">achování podpor </w:t>
      </w:r>
      <w:r w:rsidR="00B11B5B" w:rsidRPr="000B521F">
        <w:rPr>
          <w:rFonts w:ascii="Times New Roman" w:hAnsi="Times New Roman" w:cs="Times New Roman"/>
          <w:sz w:val="24"/>
          <w:szCs w:val="24"/>
        </w:rPr>
        <w:t xml:space="preserve">v rámci Společné zemědělské politiky EU </w:t>
      </w:r>
      <w:r w:rsidR="005D6CA1" w:rsidRPr="000B521F">
        <w:rPr>
          <w:rFonts w:ascii="Times New Roman" w:hAnsi="Times New Roman" w:cs="Times New Roman"/>
          <w:sz w:val="24"/>
          <w:szCs w:val="24"/>
        </w:rPr>
        <w:t>pro udržení tohoto stavu jeví jako klíčové.</w:t>
      </w:r>
      <w:r w:rsidR="00B11B5B" w:rsidRPr="000B521F">
        <w:rPr>
          <w:rFonts w:ascii="Times New Roman" w:hAnsi="Times New Roman" w:cs="Times New Roman"/>
          <w:sz w:val="24"/>
          <w:szCs w:val="24"/>
        </w:rPr>
        <w:t xml:space="preserve"> </w:t>
      </w:r>
      <w:r w:rsidRPr="000B521F">
        <w:rPr>
          <w:rFonts w:ascii="Times New Roman" w:hAnsi="Times New Roman" w:cs="Times New Roman"/>
          <w:sz w:val="24"/>
          <w:szCs w:val="24"/>
        </w:rPr>
        <w:t>Pozitivem je i rozloha lesní půdy, která dosahuje zhruba třetiny rozlohy ČR, nicméně především díky antropogenním vlivům a kombinaci nevhodné druhové</w:t>
      </w:r>
      <w:r w:rsidR="00B11B5B" w:rsidRPr="000B521F">
        <w:rPr>
          <w:rFonts w:ascii="Times New Roman" w:hAnsi="Times New Roman" w:cs="Times New Roman"/>
          <w:sz w:val="24"/>
          <w:szCs w:val="24"/>
        </w:rPr>
        <w:t xml:space="preserve"> (preference smrku,</w:t>
      </w:r>
      <w:r w:rsidR="009C266D" w:rsidRPr="000B521F">
        <w:rPr>
          <w:rFonts w:ascii="Times New Roman" w:hAnsi="Times New Roman" w:cs="Times New Roman"/>
          <w:sz w:val="24"/>
          <w:szCs w:val="24"/>
        </w:rPr>
        <w:t xml:space="preserve"> c</w:t>
      </w:r>
      <w:r w:rsidR="005D6CA1" w:rsidRPr="000B521F">
        <w:rPr>
          <w:rFonts w:ascii="Times New Roman" w:hAnsi="Times New Roman" w:cs="Times New Roman"/>
          <w:sz w:val="24"/>
          <w:szCs w:val="24"/>
        </w:rPr>
        <w:t xml:space="preserve">elkové zastoupení jehličnatých porostů je 73,6 % rozlohy lesů, zatímco přirozená skladby </w:t>
      </w:r>
      <w:r w:rsidR="004261BE" w:rsidRPr="000B521F">
        <w:rPr>
          <w:rFonts w:ascii="Times New Roman" w:hAnsi="Times New Roman" w:cs="Times New Roman"/>
          <w:sz w:val="24"/>
          <w:szCs w:val="24"/>
        </w:rPr>
        <w:t>činí pouze</w:t>
      </w:r>
      <w:r w:rsidR="005D6CA1" w:rsidRPr="000B521F">
        <w:rPr>
          <w:rFonts w:ascii="Times New Roman" w:hAnsi="Times New Roman" w:cs="Times New Roman"/>
          <w:sz w:val="24"/>
          <w:szCs w:val="24"/>
        </w:rPr>
        <w:t xml:space="preserve"> 34,7 % rozlohy a doporučená 64,4, % rozlohy lesních porostů</w:t>
      </w:r>
      <w:r w:rsidR="009C266D" w:rsidRPr="000B521F">
        <w:rPr>
          <w:rFonts w:ascii="Times New Roman" w:hAnsi="Times New Roman" w:cs="Times New Roman"/>
          <w:sz w:val="24"/>
          <w:szCs w:val="24"/>
        </w:rPr>
        <w:t>)</w:t>
      </w:r>
      <w:r w:rsidRPr="000B521F">
        <w:rPr>
          <w:rFonts w:ascii="Times New Roman" w:hAnsi="Times New Roman" w:cs="Times New Roman"/>
          <w:sz w:val="24"/>
          <w:szCs w:val="24"/>
        </w:rPr>
        <w:t>, prostorové a věkové skladby jsou lesní porosty náchylné k poškození a jejich schopnost plnit zejména mimoprodukční funkce je omezena.</w:t>
      </w:r>
      <w:r w:rsidR="009C266D" w:rsidRPr="000B521F">
        <w:rPr>
          <w:rFonts w:ascii="Times New Roman" w:hAnsi="Times New Roman" w:cs="Times New Roman"/>
          <w:sz w:val="24"/>
          <w:szCs w:val="24"/>
        </w:rPr>
        <w:t xml:space="preserve"> </w:t>
      </w:r>
      <w:r w:rsidR="004F244F">
        <w:rPr>
          <w:rFonts w:ascii="Times New Roman" w:hAnsi="Times New Roman" w:cs="Times New Roman"/>
          <w:sz w:val="24"/>
          <w:szCs w:val="24"/>
        </w:rPr>
        <w:t>Nešetrnými</w:t>
      </w:r>
      <w:r w:rsidR="004F244F" w:rsidRPr="008F5CA8">
        <w:rPr>
          <w:rFonts w:ascii="Times New Roman" w:hAnsi="Times New Roman" w:cs="Times New Roman"/>
          <w:sz w:val="24"/>
          <w:szCs w:val="24"/>
        </w:rPr>
        <w:t xml:space="preserve"> principy hospodaření v lesích </w:t>
      </w:r>
      <w:r w:rsidR="004F244F">
        <w:rPr>
          <w:rFonts w:ascii="Times New Roman" w:hAnsi="Times New Roman" w:cs="Times New Roman"/>
          <w:sz w:val="24"/>
          <w:szCs w:val="24"/>
        </w:rPr>
        <w:t>došlo k úbyt</w:t>
      </w:r>
      <w:r w:rsidR="004F244F" w:rsidRPr="008F5CA8">
        <w:rPr>
          <w:rFonts w:ascii="Times New Roman" w:hAnsi="Times New Roman" w:cs="Times New Roman"/>
          <w:sz w:val="24"/>
          <w:szCs w:val="24"/>
        </w:rPr>
        <w:t>k</w:t>
      </w:r>
      <w:r w:rsidR="004F244F">
        <w:rPr>
          <w:rFonts w:ascii="Times New Roman" w:hAnsi="Times New Roman" w:cs="Times New Roman"/>
          <w:sz w:val="24"/>
          <w:szCs w:val="24"/>
        </w:rPr>
        <w:t>u</w:t>
      </w:r>
      <w:r w:rsidR="004F244F" w:rsidRPr="008F5CA8">
        <w:rPr>
          <w:rFonts w:ascii="Times New Roman" w:hAnsi="Times New Roman" w:cs="Times New Roman"/>
          <w:sz w:val="24"/>
          <w:szCs w:val="24"/>
        </w:rPr>
        <w:t xml:space="preserve"> melioračních a zpevňujících dřevin, </w:t>
      </w:r>
      <w:r w:rsidR="004F244F">
        <w:rPr>
          <w:rFonts w:ascii="Times New Roman" w:hAnsi="Times New Roman" w:cs="Times New Roman"/>
          <w:sz w:val="24"/>
          <w:szCs w:val="24"/>
        </w:rPr>
        <w:t xml:space="preserve">včetně </w:t>
      </w:r>
      <w:r w:rsidR="004F244F" w:rsidRPr="008F5CA8">
        <w:rPr>
          <w:rFonts w:ascii="Times New Roman" w:hAnsi="Times New Roman" w:cs="Times New Roman"/>
          <w:sz w:val="24"/>
          <w:szCs w:val="24"/>
        </w:rPr>
        <w:t>sn</w:t>
      </w:r>
      <w:r w:rsidR="004F244F">
        <w:rPr>
          <w:rFonts w:ascii="Times New Roman" w:hAnsi="Times New Roman" w:cs="Times New Roman"/>
          <w:sz w:val="24"/>
          <w:szCs w:val="24"/>
        </w:rPr>
        <w:t>í</w:t>
      </w:r>
      <w:r w:rsidR="004F244F" w:rsidRPr="008F5CA8">
        <w:rPr>
          <w:rFonts w:ascii="Times New Roman" w:hAnsi="Times New Roman" w:cs="Times New Roman"/>
          <w:sz w:val="24"/>
          <w:szCs w:val="24"/>
        </w:rPr>
        <w:t>ž</w:t>
      </w:r>
      <w:r w:rsidR="004F244F">
        <w:rPr>
          <w:rFonts w:ascii="Times New Roman" w:hAnsi="Times New Roman" w:cs="Times New Roman"/>
          <w:sz w:val="24"/>
          <w:szCs w:val="24"/>
        </w:rPr>
        <w:t>ení</w:t>
      </w:r>
      <w:r w:rsidR="004F244F" w:rsidRPr="008F5CA8">
        <w:rPr>
          <w:rFonts w:ascii="Times New Roman" w:hAnsi="Times New Roman" w:cs="Times New Roman"/>
          <w:sz w:val="24"/>
          <w:szCs w:val="24"/>
        </w:rPr>
        <w:t xml:space="preserve"> ekologické i genové hodnoty porostů</w:t>
      </w:r>
      <w:r w:rsidR="004F244F">
        <w:rPr>
          <w:rFonts w:ascii="Times New Roman" w:hAnsi="Times New Roman" w:cs="Times New Roman"/>
          <w:sz w:val="24"/>
          <w:szCs w:val="24"/>
        </w:rPr>
        <w:t xml:space="preserve">. </w:t>
      </w:r>
      <w:r w:rsidR="005D6CA1" w:rsidRPr="000B521F">
        <w:rPr>
          <w:rFonts w:ascii="Times New Roman" w:hAnsi="Times New Roman" w:cs="Times New Roman"/>
          <w:sz w:val="24"/>
          <w:szCs w:val="24"/>
        </w:rPr>
        <w:t>Neúměrné imisní zatížení, srážkové a teplotní extrémy a gradační vlny určitých druhů hmyzu završily na četných místech proces destabilizace lesních ekosystémů plošným rozpadem porostů. Alespoň částečná náprava nevhodného druhového složení přeměněných lesních porostů bude v závislosti na relativní dlouhověkosti dřevin problémem následujících desetiletí.</w:t>
      </w:r>
      <w:r w:rsidR="004F244F">
        <w:rPr>
          <w:rFonts w:ascii="Times New Roman" w:hAnsi="Times New Roman" w:cs="Times New Roman"/>
          <w:sz w:val="24"/>
          <w:szCs w:val="24"/>
        </w:rPr>
        <w:t xml:space="preserve"> </w:t>
      </w:r>
      <w:r w:rsidR="004F244F">
        <w:rPr>
          <w:rFonts w:ascii="Times New Roman" w:hAnsi="Times New Roman"/>
          <w:sz w:val="24"/>
          <w:szCs w:val="24"/>
        </w:rPr>
        <w:t>Kromě ekosystémových a produkčních funkcí lesa je i vzhledem k poměrně vysoké návštěvnosti potřebné usměrňovat a rozvíjet i jeho rekreační funkci.</w:t>
      </w:r>
    </w:p>
    <w:p w:rsidR="00226C1D" w:rsidRPr="000B521F" w:rsidRDefault="00226C1D"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Ochrana stanovišť je zajištěna prostřednictvím nástrojů druhové a územní ochrany a částečně evropskou soustavou Natura 2000. Zvláště chráněná území jsou lokality s unikátní nebo </w:t>
      </w:r>
      <w:r w:rsidRPr="000B521F">
        <w:rPr>
          <w:rFonts w:ascii="Times New Roman" w:hAnsi="Times New Roman" w:cs="Times New Roman"/>
          <w:sz w:val="24"/>
          <w:szCs w:val="24"/>
        </w:rPr>
        <w:lastRenderedPageBreak/>
        <w:t>reprezentativní biologickou rozmanitostí a to na úrovni druhů, populací i společenstev, dále území s jedinečnou geologickou stavbou, území reprezentující charakteristické prvky krajinného rázu kulturní krajiny a území významná z hlediska vědeckého výzkumu.</w:t>
      </w:r>
    </w:p>
    <w:p w:rsidR="00226C1D" w:rsidRPr="000B521F" w:rsidRDefault="00226C1D"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color w:val="000000"/>
          <w:sz w:val="24"/>
          <w:szCs w:val="24"/>
        </w:rPr>
        <w:t xml:space="preserve">Další problémovou oblastí jsou staré ekologické zátěže - plochy kontaminované předchozí činností, které představují riziko pro kvalitu podzemních i povrchových vod. </w:t>
      </w:r>
      <w:r w:rsidRPr="000B521F">
        <w:rPr>
          <w:rFonts w:ascii="Times New Roman" w:hAnsi="Times New Roman" w:cs="Times New Roman"/>
          <w:sz w:val="24"/>
          <w:szCs w:val="24"/>
        </w:rPr>
        <w:t>V zastavěném území sídel i v krajině existuje řada tzv. brownfields, tzn. území, jejichž intenzivní využívání (průmyslové, výrobní, těžební), již zaniklo, jejich původce již neexistuje nebo není znám, ale z hlediska ochrany dosud nezastavěných ploch představují významný potenciál, jehož je možné po odstranění ekologických zátěží a vhodné revitalizaci smysluplně využít. Přestože v ČR probíhají sanační zásahy k odstranění starých ekologických zátěží kontinuálně po několik desetiletí, stále je velké množství lokalit, u nichž přetrvává znečištění, které představuje rizika pro lidské zdraví nebo životní prostředí.  Pro efektivní nakládání s prostředky je nezbytné, aby tyto lokality byly podrobeny detailnímu průzkumu  znečištění a hodnocení rizik.</w:t>
      </w:r>
    </w:p>
    <w:p w:rsidR="00226C1D" w:rsidRPr="000B521F" w:rsidRDefault="00226C1D"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ČR vykazuje vysokou energetickou náročnost ve srovnání s ostatními členskými státy EU. Jednou z hlavních příčin je vyšší energetická náročnost budov a veřejného osvětlení a obecně pomalejší rozvoj energeticky úsporných technologií (viz kap. 1.1 část Makroekonomická analýza ČR a kap. 1.1.1.4 Konkurenceschopné podniky, problémový okruh č. 4).</w:t>
      </w:r>
    </w:p>
    <w:p w:rsidR="00465F61" w:rsidRPr="000B521F" w:rsidRDefault="00465F61" w:rsidP="0059011D">
      <w:p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Č</w:t>
      </w:r>
      <w:r w:rsidR="00D97195" w:rsidRPr="000B521F">
        <w:rPr>
          <w:rFonts w:ascii="Times New Roman" w:hAnsi="Times New Roman" w:cs="Times New Roman"/>
          <w:color w:val="000000"/>
          <w:sz w:val="24"/>
          <w:szCs w:val="24"/>
        </w:rPr>
        <w:t>R</w:t>
      </w:r>
      <w:r w:rsidRPr="000B521F">
        <w:rPr>
          <w:rFonts w:ascii="Times New Roman" w:hAnsi="Times New Roman" w:cs="Times New Roman"/>
          <w:color w:val="000000"/>
          <w:sz w:val="24"/>
          <w:szCs w:val="24"/>
        </w:rPr>
        <w:t xml:space="preserve"> disponuje výraznými přírodními a kulturními hodnotami a dědictvím, které představují </w:t>
      </w:r>
      <w:r w:rsidR="00D97195" w:rsidRPr="000B521F">
        <w:rPr>
          <w:rFonts w:ascii="Times New Roman" w:hAnsi="Times New Roman" w:cs="Times New Roman"/>
          <w:color w:val="000000"/>
          <w:sz w:val="24"/>
          <w:szCs w:val="24"/>
        </w:rPr>
        <w:t>výchozí</w:t>
      </w:r>
      <w:r w:rsidRPr="000B521F">
        <w:rPr>
          <w:rFonts w:ascii="Times New Roman" w:hAnsi="Times New Roman" w:cs="Times New Roman"/>
          <w:color w:val="000000"/>
          <w:sz w:val="24"/>
          <w:szCs w:val="24"/>
        </w:rPr>
        <w:t xml:space="preserve"> potenciál pro </w:t>
      </w:r>
      <w:r w:rsidR="00D97195" w:rsidRPr="000B521F">
        <w:rPr>
          <w:rFonts w:ascii="Times New Roman" w:hAnsi="Times New Roman" w:cs="Times New Roman"/>
          <w:color w:val="000000"/>
          <w:sz w:val="24"/>
          <w:szCs w:val="24"/>
        </w:rPr>
        <w:t xml:space="preserve">vyvážený </w:t>
      </w:r>
      <w:r w:rsidRPr="000B521F">
        <w:rPr>
          <w:rFonts w:ascii="Times New Roman" w:hAnsi="Times New Roman" w:cs="Times New Roman"/>
          <w:color w:val="000000"/>
          <w:sz w:val="24"/>
          <w:szCs w:val="24"/>
        </w:rPr>
        <w:t>rozvoj cestovního ruchu</w:t>
      </w:r>
      <w:r w:rsidR="00D97195" w:rsidRPr="000B521F">
        <w:rPr>
          <w:rFonts w:ascii="Times New Roman" w:hAnsi="Times New Roman" w:cs="Times New Roman"/>
          <w:color w:val="000000"/>
          <w:sz w:val="24"/>
          <w:szCs w:val="24"/>
        </w:rPr>
        <w:t xml:space="preserve"> v regionech</w:t>
      </w:r>
      <w:r w:rsidRPr="000B521F">
        <w:rPr>
          <w:rFonts w:ascii="Times New Roman" w:hAnsi="Times New Roman" w:cs="Times New Roman"/>
          <w:color w:val="000000"/>
          <w:sz w:val="24"/>
          <w:szCs w:val="24"/>
        </w:rPr>
        <w:t xml:space="preserve">. </w:t>
      </w:r>
      <w:r w:rsidR="00D97195" w:rsidRPr="000B521F">
        <w:rPr>
          <w:rFonts w:ascii="Times New Roman" w:hAnsi="Times New Roman" w:cs="Times New Roman"/>
          <w:color w:val="000000"/>
          <w:sz w:val="24"/>
          <w:szCs w:val="24"/>
        </w:rPr>
        <w:t>Cestovní ruch</w:t>
      </w:r>
      <w:r w:rsidRPr="000B521F">
        <w:rPr>
          <w:rFonts w:ascii="Times New Roman" w:hAnsi="Times New Roman" w:cs="Times New Roman"/>
          <w:color w:val="000000"/>
          <w:sz w:val="24"/>
          <w:szCs w:val="24"/>
        </w:rPr>
        <w:t xml:space="preserve"> tvoří významné odvětví služeb s podílem 2,7% na HDP a 4,5% na celkové zaměstnanosti. Jeho význam stoupá na lokální úrovni, kde v některých oblastech ČR představuje pilíř ekonomické výkonnosti.  </w:t>
      </w:r>
    </w:p>
    <w:p w:rsidR="00465F61" w:rsidRPr="000B521F" w:rsidRDefault="00465F61" w:rsidP="0059011D">
      <w:pPr>
        <w:spacing w:after="120" w:line="240" w:lineRule="auto"/>
        <w:rPr>
          <w:rFonts w:ascii="Times New Roman" w:hAnsi="Times New Roman" w:cs="Times New Roman"/>
          <w:b/>
          <w:sz w:val="24"/>
          <w:szCs w:val="24"/>
        </w:rPr>
      </w:pPr>
    </w:p>
    <w:p w:rsidR="00226C1D" w:rsidRPr="000B521F" w:rsidRDefault="00226C1D" w:rsidP="0059011D">
      <w:pPr>
        <w:spacing w:after="120" w:line="240" w:lineRule="auto"/>
        <w:rPr>
          <w:rFonts w:ascii="Times New Roman" w:hAnsi="Times New Roman" w:cs="Times New Roman"/>
          <w:b/>
          <w:sz w:val="24"/>
          <w:szCs w:val="24"/>
        </w:rPr>
      </w:pPr>
      <w:r w:rsidRPr="000B521F">
        <w:rPr>
          <w:rFonts w:ascii="Times New Roman" w:hAnsi="Times New Roman" w:cs="Times New Roman"/>
          <w:b/>
          <w:sz w:val="24"/>
          <w:szCs w:val="24"/>
        </w:rPr>
        <w:t>Územní rozdíly</w:t>
      </w:r>
    </w:p>
    <w:p w:rsidR="00226C1D" w:rsidRPr="000B521F" w:rsidRDefault="00226C1D"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Regionální rozdíly a dynamika vývoje jednotlivých složek životního prostředí jsou ovlivněny především ekonomickým vývojem, charakterem osídlení a přírodními podmínkami daného území</w:t>
      </w:r>
      <w:r w:rsidR="00365E54" w:rsidRPr="000B521F">
        <w:rPr>
          <w:rFonts w:ascii="Times New Roman" w:hAnsi="Times New Roman" w:cs="Times New Roman"/>
          <w:sz w:val="24"/>
          <w:szCs w:val="24"/>
        </w:rPr>
        <w:t xml:space="preserve">. </w:t>
      </w:r>
    </w:p>
    <w:p w:rsidR="00226C1D" w:rsidRPr="000B521F" w:rsidRDefault="00226C1D"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Oblasti, kde dochází k překročení imisních limitů, nemají plošný, ale územně ohraničený charakter. Jedná se o průmyslově zatížené regiony, oblasti s dominancí silniční dopravy</w:t>
      </w:r>
      <w:r w:rsidR="00A032DD" w:rsidRPr="000B521F">
        <w:rPr>
          <w:rFonts w:ascii="Times New Roman" w:hAnsi="Times New Roman" w:cs="Times New Roman"/>
          <w:sz w:val="24"/>
          <w:szCs w:val="24"/>
        </w:rPr>
        <w:t xml:space="preserve"> </w:t>
      </w:r>
      <w:r w:rsidRPr="000B521F">
        <w:rPr>
          <w:rFonts w:ascii="Times New Roman" w:hAnsi="Times New Roman" w:cs="Times New Roman"/>
          <w:sz w:val="24"/>
          <w:szCs w:val="24"/>
        </w:rPr>
        <w:t>či regiony s převahou malých sídel, kde znečištění ovzduší pochází především z vytápění domácností. V těchto hustě osídlených regionech, mezi které patří zejména Moravskoslezský kraj a dále, Ústecký a Středočeský kraj, byla v roce 2010 vyprodukována zhruba polovina emisí všech znečišťujících látek. Naopak nejnižším podílem oblastí se sníženou kvalitou ovzduší se vyznačují Jihočeský kraj a Kraj Vysočina. Ve většině krajů je nejvýznamnějším zdrojem emisí oxidů dusíku doprava, nicméně ve 4 krajích mají zásadní vliv velké stacionární zdroje znečišťování (Ústecký, Moravskoslezský, Pardubický a Karlovarský kraj). V posledních sledovaných letech hrají stále významnější roli lokální topeniště, která emitují téměř 40 % celkových emisí suspendovaných částic PM a téměř 80 % celkových emisí benzo(a)pyrenu.</w:t>
      </w:r>
      <w:r w:rsidR="007C744B">
        <w:rPr>
          <w:rFonts w:ascii="Times New Roman" w:hAnsi="Times New Roman" w:cs="Times New Roman"/>
          <w:sz w:val="24"/>
          <w:szCs w:val="24"/>
        </w:rPr>
        <w:t xml:space="preserve"> </w:t>
      </w:r>
      <w:r w:rsidR="007C744B" w:rsidRPr="007C744B">
        <w:rPr>
          <w:rFonts w:ascii="Times New Roman" w:hAnsi="Times New Roman" w:cs="Times New Roman"/>
          <w:sz w:val="24"/>
          <w:szCs w:val="24"/>
        </w:rPr>
        <w:t>Kromě oxidu dusíku lze významné územní rozdíly najít u emisí oxidu siřičitého – zdrojem jsou především hnědouhelné elektrárny a loká</w:t>
      </w:r>
      <w:r w:rsidR="007C744B">
        <w:rPr>
          <w:rFonts w:ascii="Times New Roman" w:hAnsi="Times New Roman" w:cs="Times New Roman"/>
          <w:sz w:val="24"/>
          <w:szCs w:val="24"/>
        </w:rPr>
        <w:t>lní topeniště (týká se zejména Ústecký kraj</w:t>
      </w:r>
      <w:r w:rsidR="007C744B" w:rsidRPr="007C744B">
        <w:rPr>
          <w:rFonts w:ascii="Times New Roman" w:hAnsi="Times New Roman" w:cs="Times New Roman"/>
          <w:sz w:val="24"/>
          <w:szCs w:val="24"/>
        </w:rPr>
        <w:t xml:space="preserve">, s velkým odstupem </w:t>
      </w:r>
      <w:r w:rsidR="007C744B">
        <w:rPr>
          <w:rFonts w:ascii="Times New Roman" w:hAnsi="Times New Roman" w:cs="Times New Roman"/>
          <w:sz w:val="24"/>
          <w:szCs w:val="24"/>
        </w:rPr>
        <w:t>Moravskoslezský kraj</w:t>
      </w:r>
      <w:r w:rsidR="007C744B" w:rsidRPr="007C744B">
        <w:rPr>
          <w:rFonts w:ascii="Times New Roman" w:hAnsi="Times New Roman" w:cs="Times New Roman"/>
          <w:sz w:val="24"/>
          <w:szCs w:val="24"/>
        </w:rPr>
        <w:t xml:space="preserve"> a </w:t>
      </w:r>
      <w:r w:rsidR="007C744B">
        <w:rPr>
          <w:rFonts w:ascii="Times New Roman" w:hAnsi="Times New Roman" w:cs="Times New Roman"/>
          <w:sz w:val="24"/>
          <w:szCs w:val="24"/>
        </w:rPr>
        <w:t>hl. m. Praha</w:t>
      </w:r>
      <w:r w:rsidR="007C744B" w:rsidRPr="007C744B">
        <w:rPr>
          <w:rFonts w:ascii="Times New Roman" w:hAnsi="Times New Roman" w:cs="Times New Roman"/>
          <w:sz w:val="24"/>
          <w:szCs w:val="24"/>
        </w:rPr>
        <w:t xml:space="preserve">). V případě oxidu uhelnatého se v mezikrajském srovnání vymyká </w:t>
      </w:r>
      <w:r w:rsidR="007C744B">
        <w:rPr>
          <w:rFonts w:ascii="Times New Roman" w:hAnsi="Times New Roman" w:cs="Times New Roman"/>
          <w:sz w:val="24"/>
          <w:szCs w:val="24"/>
        </w:rPr>
        <w:t>hl.</w:t>
      </w:r>
      <w:r w:rsidR="00BA3E45">
        <w:rPr>
          <w:rFonts w:ascii="Times New Roman" w:hAnsi="Times New Roman" w:cs="Times New Roman"/>
          <w:sz w:val="24"/>
          <w:szCs w:val="24"/>
        </w:rPr>
        <w:t xml:space="preserve"> </w:t>
      </w:r>
      <w:r w:rsidR="007C744B">
        <w:rPr>
          <w:rFonts w:ascii="Times New Roman" w:hAnsi="Times New Roman" w:cs="Times New Roman"/>
          <w:sz w:val="24"/>
          <w:szCs w:val="24"/>
        </w:rPr>
        <w:t>m. Praha</w:t>
      </w:r>
      <w:r w:rsidR="007C744B" w:rsidRPr="007C744B">
        <w:rPr>
          <w:rFonts w:ascii="Times New Roman" w:hAnsi="Times New Roman" w:cs="Times New Roman"/>
          <w:sz w:val="24"/>
          <w:szCs w:val="24"/>
        </w:rPr>
        <w:t xml:space="preserve"> a s odstupem M</w:t>
      </w:r>
      <w:r w:rsidR="007C744B">
        <w:rPr>
          <w:rFonts w:ascii="Times New Roman" w:hAnsi="Times New Roman" w:cs="Times New Roman"/>
          <w:sz w:val="24"/>
          <w:szCs w:val="24"/>
        </w:rPr>
        <w:t>oravskoslezský kraj</w:t>
      </w:r>
      <w:r w:rsidR="007C744B" w:rsidRPr="007C744B">
        <w:rPr>
          <w:rFonts w:ascii="Times New Roman" w:hAnsi="Times New Roman" w:cs="Times New Roman"/>
          <w:sz w:val="24"/>
          <w:szCs w:val="24"/>
        </w:rPr>
        <w:t>. Tuhé znečišťující látky – významně vyšší hodnoty jsou v</w:t>
      </w:r>
      <w:r w:rsidR="007C744B">
        <w:rPr>
          <w:rFonts w:ascii="Times New Roman" w:hAnsi="Times New Roman" w:cs="Times New Roman"/>
          <w:sz w:val="24"/>
          <w:szCs w:val="24"/>
        </w:rPr>
        <w:t> hl. m. Praze</w:t>
      </w:r>
      <w:r w:rsidR="007C744B" w:rsidRPr="007C744B">
        <w:rPr>
          <w:rFonts w:ascii="Times New Roman" w:hAnsi="Times New Roman" w:cs="Times New Roman"/>
          <w:sz w:val="24"/>
          <w:szCs w:val="24"/>
        </w:rPr>
        <w:t>.</w:t>
      </w:r>
    </w:p>
    <w:p w:rsidR="00226C1D" w:rsidRPr="000B521F" w:rsidRDefault="00226C1D"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Ačkoliv roste podíl obyvatelstva napojeného na kanalizaci zakončenou čistírnou odpadních vod, v případě především menších toků zůstává tato skutečnost významným problémem. Problémem  jakosti vodních toků je i zvýšení podílů plošných a difuzních zdrojů znečištění, původcem je zejména zemědělská výroba. Z tohoto důvodu je zhoršená jakost především </w:t>
      </w:r>
      <w:r w:rsidRPr="000B521F">
        <w:rPr>
          <w:rFonts w:ascii="Times New Roman" w:hAnsi="Times New Roman" w:cs="Times New Roman"/>
          <w:sz w:val="24"/>
          <w:szCs w:val="24"/>
        </w:rPr>
        <w:lastRenderedPageBreak/>
        <w:t>malých vodních toků zaznamenána zejména v typických zemědělských regionech, např. Kraj Vysočina a Jihočeský kraj, naopak v Ústeckém kraji dominuje znečištění z průmyslové výroby.</w:t>
      </w:r>
    </w:p>
    <w:p w:rsidR="00226C1D" w:rsidRPr="000B521F" w:rsidRDefault="00226C1D"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V nakládání s odpady existují velké rozdíly v rámci krajů především u  sítě pro nakládání s odpady, v řadě krajů chybí dostatečné vybavení k energetickému nebo materiálovému využívání odpadů. V rámci krajů neexistují významné rozdíly u celkové produkce odpadů, nebo produkce komunálních odpadů, velké rozdíly jsou však evidovány u produkce nebezpečných odpadů, což je způsobeno především specifickým charakterem průmyslové činnosti, generující významné množství nebezpečných odpadů. Specifická situace je také v případě Hl. m. Prahy, kde je nejvyšší produkce stavebních odpadů, a to díky budování silniční infrastruktury (tunel Blanka). </w:t>
      </w:r>
    </w:p>
    <w:p w:rsidR="00226C1D" w:rsidRPr="000B521F" w:rsidRDefault="00226C1D"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Nejvýraznějším rysem po roce 1989 je zatravňování a zalesňování pozemků nevhodných pro zornění, a to především v horských a podhorských lokalitách. Pozitivním trendem je také růst podílu ploch s ekologickým zemědělstvím, které jsou rozšířeny spíše v oblastech méně vhodných pro intenzivní zemědělské hospodaření. </w:t>
      </w:r>
    </w:p>
    <w:p w:rsidR="00147E55" w:rsidRPr="000B521F" w:rsidRDefault="00147E55" w:rsidP="0059011D">
      <w:pPr>
        <w:spacing w:after="120" w:line="240" w:lineRule="auto"/>
        <w:rPr>
          <w:rFonts w:ascii="Times New Roman" w:hAnsi="Times New Roman" w:cs="Times New Roman"/>
          <w:b/>
          <w:sz w:val="24"/>
          <w:szCs w:val="24"/>
        </w:rPr>
      </w:pPr>
    </w:p>
    <w:p w:rsidR="00226C1D" w:rsidRPr="000B521F" w:rsidRDefault="00226C1D" w:rsidP="0059011D">
      <w:pPr>
        <w:spacing w:after="120" w:line="240" w:lineRule="auto"/>
        <w:rPr>
          <w:rFonts w:ascii="Times New Roman" w:hAnsi="Times New Roman" w:cs="Times New Roman"/>
          <w:b/>
          <w:sz w:val="24"/>
          <w:szCs w:val="24"/>
        </w:rPr>
      </w:pPr>
      <w:r w:rsidRPr="000B521F">
        <w:rPr>
          <w:rFonts w:ascii="Times New Roman" w:hAnsi="Times New Roman" w:cs="Times New Roman"/>
          <w:b/>
          <w:sz w:val="24"/>
          <w:szCs w:val="24"/>
        </w:rPr>
        <w:t>Zkušenosti z programových období 2007</w:t>
      </w:r>
      <w:r w:rsidR="00D446F4">
        <w:rPr>
          <w:rFonts w:ascii="Times New Roman" w:hAnsi="Times New Roman" w:cs="Times New Roman"/>
          <w:b/>
          <w:sz w:val="24"/>
          <w:szCs w:val="24"/>
        </w:rPr>
        <w:t>–</w:t>
      </w:r>
      <w:r w:rsidRPr="000B521F">
        <w:rPr>
          <w:rFonts w:ascii="Times New Roman" w:hAnsi="Times New Roman" w:cs="Times New Roman"/>
          <w:b/>
          <w:sz w:val="24"/>
          <w:szCs w:val="24"/>
        </w:rPr>
        <w:t>2013 a stav dosažení současných cílů</w:t>
      </w:r>
    </w:p>
    <w:p w:rsidR="00226C1D" w:rsidRPr="000B521F" w:rsidRDefault="00226C1D" w:rsidP="0059011D">
      <w:p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V oblasti životního prostředí byla po</w:t>
      </w:r>
      <w:r w:rsidR="00D446F4">
        <w:rPr>
          <w:rFonts w:ascii="Times New Roman" w:hAnsi="Times New Roman" w:cs="Times New Roman"/>
          <w:color w:val="000000"/>
          <w:sz w:val="24"/>
          <w:szCs w:val="24"/>
        </w:rPr>
        <w:t>dpora v programovém období 2004–</w:t>
      </w:r>
      <w:r w:rsidRPr="000B521F">
        <w:rPr>
          <w:rFonts w:ascii="Times New Roman" w:hAnsi="Times New Roman" w:cs="Times New Roman"/>
          <w:color w:val="000000"/>
          <w:sz w:val="24"/>
          <w:szCs w:val="24"/>
        </w:rPr>
        <w:t>2006 zaměřena především na problematiku zlepšování stavu vodohospodářské infrastruktury a nakládání s odpady. Jednalo se o prioritní oblasti z pohledu závazků vyplývajících z národní a evropské legislativy. V rámci Fondu soudržnosti 2004</w:t>
      </w:r>
      <w:r w:rsidR="00D446F4">
        <w:rPr>
          <w:rFonts w:ascii="Times New Roman" w:hAnsi="Times New Roman" w:cs="Times New Roman"/>
          <w:color w:val="000000"/>
          <w:sz w:val="24"/>
          <w:szCs w:val="24"/>
        </w:rPr>
        <w:t>–</w:t>
      </w:r>
      <w:r w:rsidRPr="000B521F">
        <w:rPr>
          <w:rFonts w:ascii="Times New Roman" w:hAnsi="Times New Roman" w:cs="Times New Roman"/>
          <w:color w:val="000000"/>
          <w:sz w:val="24"/>
          <w:szCs w:val="24"/>
        </w:rPr>
        <w:t>2006 byly cíleně podpořeny infrastrukturní projekty především ve větších aglomeracích, naopak Operační program Infrastruktura se zaměřoval na investičně méně náročné projekty.</w:t>
      </w:r>
    </w:p>
    <w:p w:rsidR="00226C1D" w:rsidRPr="000B521F" w:rsidRDefault="00226C1D" w:rsidP="0059011D">
      <w:p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V rámci programového období 2007</w:t>
      </w:r>
      <w:r w:rsidR="00D446F4">
        <w:rPr>
          <w:rFonts w:ascii="Times New Roman" w:hAnsi="Times New Roman" w:cs="Times New Roman"/>
          <w:color w:val="000000"/>
          <w:sz w:val="24"/>
          <w:szCs w:val="24"/>
        </w:rPr>
        <w:t>–</w:t>
      </w:r>
      <w:r w:rsidRPr="000B521F">
        <w:rPr>
          <w:rFonts w:ascii="Times New Roman" w:hAnsi="Times New Roman" w:cs="Times New Roman"/>
          <w:color w:val="000000"/>
          <w:sz w:val="24"/>
          <w:szCs w:val="24"/>
        </w:rPr>
        <w:t>2013 byla v rámci strategického cíle, kterým je ochrana a zlepšování kvality životního prostředí jako jednoho ze základních principů udržitelného rozvoje, zachována prioritní podpora opatření v oblasti vodohospodářské infrastruktury a protipovodňových opatření, dále byla věnována pozornost ochraně ovzduší, využívání obnovitelných zdrojů energie, nakládání s odpady, podpoře opatření na zlepšování stavu přírody a krajiny a také environmentálnímu vzdělávání.</w:t>
      </w:r>
    </w:p>
    <w:p w:rsidR="004261BE" w:rsidRPr="000B521F" w:rsidRDefault="004261BE" w:rsidP="0059011D">
      <w:p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Nedílnou součástí podpor směřujících k ochraně jednotlivých složek životního prostředí a krajiny byly i intervence Programu rozvoje venkova. Vzhledem k ploše zemědělské a lesní půdy a potřeby dlouhodobých intervencí k dosažení cílů v oblasti životního prostředí je třeba i v budoucnu podporovat zemědělské a lesní hospodaření šetrné k životnímu prostředí, předcházet degradaci cenných pozemků, zachovat hospodaření v přírodně znevýhodněných oblastech a eliminovat příčiny erozního ohrožení půd.</w:t>
      </w:r>
    </w:p>
    <w:p w:rsidR="00226C1D" w:rsidRPr="000B521F" w:rsidRDefault="00226C1D" w:rsidP="0059011D">
      <w:p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Stanovené cíle jsou průběžně plněny, významný posun je v oblasti požadavků směrnice Rady č. 91/271/EHS o čištění městských odpadních vod, pozitivní přínos je patrný i v dalších oblastech. Nadále je indikována potřeba (i z důvodu plnění legislativních požadavků) a zároveň poptávka na straně potenciálních žadatelů po investicích do ochrany a zlepšování stavu životního prostředí. Je proto nutné investice v této oblasti nadále zachovat a zaměřit se na cílenou podporu prioritních opatření s maximálním přínosem pro životní prostředí.</w:t>
      </w:r>
    </w:p>
    <w:p w:rsidR="00226C1D" w:rsidRPr="000B521F" w:rsidRDefault="00226C1D" w:rsidP="0059011D">
      <w:p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V tomto smyslu jsou také stanoveny priority budoucího programového období. Mezi ně patří zejména pokračování v podpoře investic do vodohospodářské infrastruktury a snižování rizika povodní se zaměřením primárně na menší obce. Dále se předpokládá podpora snížení znečištění ovzduší, zlepšení nakládání s odpady a odstraňování ekologických zátěží, ochrana krajiny a cílená podpora opatření zaměřených na energetické úspory.</w:t>
      </w:r>
    </w:p>
    <w:p w:rsidR="00147E55" w:rsidRPr="000B521F" w:rsidRDefault="00147E55" w:rsidP="0059011D">
      <w:pPr>
        <w:spacing w:after="120" w:line="240" w:lineRule="auto"/>
        <w:rPr>
          <w:rFonts w:ascii="Times New Roman" w:hAnsi="Times New Roman" w:cs="Times New Roman"/>
          <w:b/>
          <w:sz w:val="24"/>
          <w:szCs w:val="24"/>
        </w:rPr>
      </w:pPr>
    </w:p>
    <w:p w:rsidR="00226C1D" w:rsidRPr="000B521F" w:rsidRDefault="00226C1D" w:rsidP="0059011D">
      <w:pPr>
        <w:spacing w:after="120" w:line="240" w:lineRule="auto"/>
        <w:rPr>
          <w:rFonts w:ascii="Times New Roman" w:hAnsi="Times New Roman" w:cs="Times New Roman"/>
          <w:b/>
          <w:sz w:val="24"/>
          <w:szCs w:val="24"/>
        </w:rPr>
      </w:pPr>
      <w:r w:rsidRPr="000B521F">
        <w:rPr>
          <w:rFonts w:ascii="Times New Roman" w:hAnsi="Times New Roman" w:cs="Times New Roman"/>
          <w:b/>
          <w:sz w:val="24"/>
          <w:szCs w:val="24"/>
        </w:rPr>
        <w:t>Hlavní identifikované problémy a potřeby rozvoje:</w:t>
      </w:r>
    </w:p>
    <w:p w:rsidR="00226C1D" w:rsidRPr="000B521F" w:rsidRDefault="00226C1D" w:rsidP="0059011D">
      <w:pPr>
        <w:spacing w:after="120" w:line="240" w:lineRule="auto"/>
        <w:rPr>
          <w:rFonts w:ascii="Times New Roman" w:hAnsi="Times New Roman" w:cs="Times New Roman"/>
          <w:b/>
          <w:i/>
          <w:sz w:val="24"/>
          <w:szCs w:val="24"/>
        </w:rPr>
      </w:pPr>
      <w:r w:rsidRPr="000B521F">
        <w:rPr>
          <w:rFonts w:ascii="Times New Roman" w:hAnsi="Times New Roman" w:cs="Times New Roman"/>
          <w:b/>
          <w:i/>
          <w:sz w:val="24"/>
          <w:szCs w:val="24"/>
        </w:rPr>
        <w:t>1. Znečištění ovzduší</w:t>
      </w:r>
    </w:p>
    <w:p w:rsidR="00226C1D" w:rsidRPr="000B521F" w:rsidRDefault="00226C1D"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Mezi nejvýznamnější látky znečišťující ovzduší patří suspendované částice velikostních frakcí PM</w:t>
      </w:r>
      <w:r w:rsidRPr="000B521F">
        <w:rPr>
          <w:rFonts w:ascii="Times New Roman" w:hAnsi="Times New Roman" w:cs="Times New Roman"/>
          <w:sz w:val="24"/>
          <w:szCs w:val="24"/>
          <w:vertAlign w:val="subscript"/>
        </w:rPr>
        <w:t>10</w:t>
      </w:r>
      <w:r w:rsidRPr="000B521F">
        <w:rPr>
          <w:rFonts w:ascii="Times New Roman" w:hAnsi="Times New Roman" w:cs="Times New Roman"/>
          <w:sz w:val="24"/>
          <w:szCs w:val="24"/>
        </w:rPr>
        <w:t xml:space="preserve"> a PM</w:t>
      </w:r>
      <w:r w:rsidRPr="000B521F">
        <w:rPr>
          <w:rFonts w:ascii="Times New Roman" w:hAnsi="Times New Roman" w:cs="Times New Roman"/>
          <w:sz w:val="24"/>
          <w:szCs w:val="24"/>
          <w:vertAlign w:val="subscript"/>
        </w:rPr>
        <w:t>2.5</w:t>
      </w:r>
      <w:r w:rsidRPr="000B521F">
        <w:rPr>
          <w:rFonts w:ascii="Times New Roman" w:hAnsi="Times New Roman" w:cs="Times New Roman"/>
          <w:sz w:val="24"/>
          <w:szCs w:val="24"/>
        </w:rPr>
        <w:t>, polycyklické aromatické uhlovodíky (sledované jako benzo(a)pyren),  okyselující látky a prekurzory sekundárních částic (SO</w:t>
      </w:r>
      <w:r w:rsidRPr="000B521F">
        <w:rPr>
          <w:rFonts w:ascii="Times New Roman" w:hAnsi="Times New Roman" w:cs="Times New Roman"/>
          <w:sz w:val="24"/>
          <w:szCs w:val="24"/>
          <w:vertAlign w:val="subscript"/>
        </w:rPr>
        <w:t>2</w:t>
      </w:r>
      <w:r w:rsidRPr="000B521F">
        <w:rPr>
          <w:rFonts w:ascii="Times New Roman" w:hAnsi="Times New Roman" w:cs="Times New Roman"/>
          <w:sz w:val="24"/>
          <w:szCs w:val="24"/>
        </w:rPr>
        <w:t>, NO</w:t>
      </w:r>
      <w:r w:rsidRPr="000B521F">
        <w:rPr>
          <w:rFonts w:ascii="Times New Roman" w:hAnsi="Times New Roman" w:cs="Times New Roman"/>
          <w:sz w:val="24"/>
          <w:szCs w:val="24"/>
          <w:vertAlign w:val="subscript"/>
        </w:rPr>
        <w:t>x</w:t>
      </w:r>
      <w:r w:rsidRPr="000B521F">
        <w:rPr>
          <w:rFonts w:ascii="Times New Roman" w:hAnsi="Times New Roman" w:cs="Times New Roman"/>
          <w:sz w:val="24"/>
          <w:szCs w:val="24"/>
        </w:rPr>
        <w:t xml:space="preserve"> a NH</w:t>
      </w:r>
      <w:r w:rsidRPr="000B521F">
        <w:rPr>
          <w:rFonts w:ascii="Times New Roman" w:hAnsi="Times New Roman" w:cs="Times New Roman"/>
          <w:sz w:val="24"/>
          <w:szCs w:val="24"/>
          <w:vertAlign w:val="subscript"/>
        </w:rPr>
        <w:t>3</w:t>
      </w:r>
      <w:r w:rsidRPr="000B521F">
        <w:rPr>
          <w:rFonts w:ascii="Times New Roman" w:hAnsi="Times New Roman" w:cs="Times New Roman"/>
          <w:sz w:val="24"/>
          <w:szCs w:val="24"/>
        </w:rPr>
        <w:t>) a prekurzory přízemního ozonu (VOC, CH</w:t>
      </w:r>
      <w:r w:rsidRPr="000B521F">
        <w:rPr>
          <w:rFonts w:ascii="Times New Roman" w:hAnsi="Times New Roman" w:cs="Times New Roman"/>
          <w:sz w:val="24"/>
          <w:szCs w:val="24"/>
          <w:vertAlign w:val="subscript"/>
        </w:rPr>
        <w:t>4</w:t>
      </w:r>
      <w:r w:rsidRPr="000B521F">
        <w:rPr>
          <w:rFonts w:ascii="Times New Roman" w:hAnsi="Times New Roman" w:cs="Times New Roman"/>
          <w:sz w:val="24"/>
          <w:szCs w:val="24"/>
        </w:rPr>
        <w:t>, CO). U všech znečišťujících látek došlo k významnému poklesu emisí, nicméně od roku 2000 je zaznamenána spíše stagnace. Meziročně se jedná pouze o výkyvy v řádu jednotek procent, tato skutečnost je více než díky legislativně-technologickým změnám dána spíše kolísáním průmyslové výroby související s vývojem ekonomiky. Naopak velmi problematický je v současnosti nárůst intenzity dopravy, s čímž souvisí nárůst především NO</w:t>
      </w:r>
      <w:r w:rsidRPr="000B521F">
        <w:rPr>
          <w:rFonts w:ascii="Times New Roman" w:hAnsi="Times New Roman" w:cs="Times New Roman"/>
          <w:sz w:val="24"/>
          <w:szCs w:val="24"/>
          <w:vertAlign w:val="subscript"/>
        </w:rPr>
        <w:t>x</w:t>
      </w:r>
      <w:r w:rsidRPr="000B521F">
        <w:rPr>
          <w:rFonts w:ascii="Times New Roman" w:hAnsi="Times New Roman" w:cs="Times New Roman"/>
          <w:sz w:val="24"/>
          <w:szCs w:val="24"/>
        </w:rPr>
        <w:t>. Významným problémem je zejména rozsáhlé nedodržování imisních limitů pro ochranu zdraví pro suspendované částice PM</w:t>
      </w:r>
      <w:r w:rsidRPr="000B521F">
        <w:rPr>
          <w:rFonts w:ascii="Times New Roman" w:hAnsi="Times New Roman" w:cs="Times New Roman"/>
          <w:sz w:val="24"/>
          <w:szCs w:val="24"/>
          <w:vertAlign w:val="subscript"/>
        </w:rPr>
        <w:t>10</w:t>
      </w:r>
      <w:r w:rsidRPr="000B521F">
        <w:rPr>
          <w:rFonts w:ascii="Times New Roman" w:hAnsi="Times New Roman" w:cs="Times New Roman"/>
          <w:sz w:val="24"/>
          <w:szCs w:val="24"/>
        </w:rPr>
        <w:t xml:space="preserve"> a PM</w:t>
      </w:r>
      <w:r w:rsidRPr="000B521F">
        <w:rPr>
          <w:rFonts w:ascii="Times New Roman" w:hAnsi="Times New Roman" w:cs="Times New Roman"/>
          <w:sz w:val="24"/>
          <w:szCs w:val="24"/>
          <w:vertAlign w:val="subscript"/>
        </w:rPr>
        <w:t xml:space="preserve">2,5 </w:t>
      </w:r>
      <w:r w:rsidRPr="000B521F">
        <w:rPr>
          <w:rFonts w:ascii="Times New Roman" w:hAnsi="Times New Roman" w:cs="Times New Roman"/>
          <w:sz w:val="24"/>
          <w:szCs w:val="24"/>
        </w:rPr>
        <w:t xml:space="preserve"> a  benzo(a)pyren, kde je od roku 2005 zaznamenán spíše negativní vývoj. V roce 2012 </w:t>
      </w:r>
      <w:r w:rsidR="000144E0" w:rsidRPr="000B521F">
        <w:rPr>
          <w:rFonts w:ascii="Times New Roman" w:hAnsi="Times New Roman" w:cs="Times New Roman"/>
          <w:sz w:val="24"/>
          <w:szCs w:val="24"/>
        </w:rPr>
        <w:t xml:space="preserve">došlo k překročení imisních limitů </w:t>
      </w:r>
      <w:r w:rsidRPr="000B521F">
        <w:rPr>
          <w:rFonts w:ascii="Times New Roman" w:hAnsi="Times New Roman" w:cs="Times New Roman"/>
          <w:sz w:val="24"/>
          <w:szCs w:val="24"/>
        </w:rPr>
        <w:t xml:space="preserve">těchto látek </w:t>
      </w:r>
      <w:r w:rsidR="000144E0" w:rsidRPr="000B521F">
        <w:rPr>
          <w:rFonts w:ascii="Times New Roman" w:hAnsi="Times New Roman" w:cs="Times New Roman"/>
          <w:sz w:val="24"/>
          <w:szCs w:val="24"/>
        </w:rPr>
        <w:t>na přibližně 27</w:t>
      </w:r>
      <w:r w:rsidRPr="000B521F">
        <w:rPr>
          <w:rFonts w:ascii="Times New Roman" w:hAnsi="Times New Roman" w:cs="Times New Roman"/>
          <w:sz w:val="24"/>
          <w:szCs w:val="24"/>
        </w:rPr>
        <w:t xml:space="preserve"> % </w:t>
      </w:r>
      <w:r w:rsidR="000144E0" w:rsidRPr="000B521F">
        <w:rPr>
          <w:rFonts w:ascii="Times New Roman" w:hAnsi="Times New Roman" w:cs="Times New Roman"/>
          <w:sz w:val="24"/>
          <w:szCs w:val="24"/>
        </w:rPr>
        <w:t>území ČR, na kterém žije přibližně 67 % obyvatel</w:t>
      </w:r>
      <w:r w:rsidRPr="000B521F">
        <w:rPr>
          <w:rFonts w:ascii="Times New Roman" w:hAnsi="Times New Roman" w:cs="Times New Roman"/>
          <w:sz w:val="24"/>
          <w:szCs w:val="24"/>
        </w:rPr>
        <w:t>.</w:t>
      </w:r>
    </w:p>
    <w:p w:rsidR="00226C1D" w:rsidRPr="000B521F" w:rsidRDefault="00226C1D" w:rsidP="005A5077">
      <w:pPr>
        <w:pStyle w:val="Bezmezer"/>
        <w:jc w:val="both"/>
        <w:rPr>
          <w:rFonts w:ascii="Times New Roman" w:hAnsi="Times New Roman" w:cs="Times New Roman"/>
          <w:i/>
          <w:sz w:val="24"/>
          <w:szCs w:val="24"/>
        </w:rPr>
      </w:pPr>
      <w:r w:rsidRPr="000B521F">
        <w:rPr>
          <w:rFonts w:ascii="Times New Roman" w:hAnsi="Times New Roman" w:cs="Times New Roman"/>
          <w:i/>
          <w:sz w:val="24"/>
          <w:szCs w:val="24"/>
        </w:rPr>
        <w:t>Potřeby rozvoje:</w:t>
      </w:r>
    </w:p>
    <w:p w:rsidR="008206A4" w:rsidRPr="000B521F" w:rsidRDefault="00226C1D" w:rsidP="005A5077">
      <w:pPr>
        <w:pStyle w:val="Bezmezer"/>
        <w:numPr>
          <w:ilvl w:val="0"/>
          <w:numId w:val="66"/>
        </w:numPr>
        <w:jc w:val="both"/>
        <w:rPr>
          <w:rFonts w:ascii="Times New Roman" w:hAnsi="Times New Roman" w:cs="Times New Roman"/>
          <w:sz w:val="24"/>
          <w:szCs w:val="24"/>
        </w:rPr>
      </w:pPr>
      <w:r w:rsidRPr="000B521F">
        <w:rPr>
          <w:rFonts w:ascii="Times New Roman" w:hAnsi="Times New Roman" w:cs="Times New Roman"/>
          <w:sz w:val="24"/>
          <w:szCs w:val="24"/>
        </w:rPr>
        <w:t>Snížení emisí z lokálních topenišť</w:t>
      </w:r>
      <w:r w:rsidR="00D446F4">
        <w:rPr>
          <w:rFonts w:ascii="Times New Roman" w:hAnsi="Times New Roman" w:cs="Times New Roman"/>
          <w:sz w:val="24"/>
          <w:szCs w:val="24"/>
        </w:rPr>
        <w:t>.</w:t>
      </w:r>
    </w:p>
    <w:p w:rsidR="008206A4" w:rsidRPr="000B521F" w:rsidRDefault="00226C1D" w:rsidP="005A5077">
      <w:pPr>
        <w:pStyle w:val="Bezmezer"/>
        <w:numPr>
          <w:ilvl w:val="0"/>
          <w:numId w:val="66"/>
        </w:numPr>
        <w:jc w:val="both"/>
        <w:rPr>
          <w:rFonts w:ascii="Times New Roman" w:hAnsi="Times New Roman" w:cs="Times New Roman"/>
          <w:sz w:val="24"/>
          <w:szCs w:val="24"/>
        </w:rPr>
      </w:pPr>
      <w:r w:rsidRPr="000B521F">
        <w:rPr>
          <w:rFonts w:ascii="Times New Roman" w:hAnsi="Times New Roman" w:cs="Times New Roman"/>
          <w:sz w:val="24"/>
          <w:szCs w:val="24"/>
        </w:rPr>
        <w:t>Snížení emisí z energetických a průmyslových zdrojů</w:t>
      </w:r>
      <w:r w:rsidR="00D446F4">
        <w:rPr>
          <w:rFonts w:ascii="Times New Roman" w:hAnsi="Times New Roman" w:cs="Times New Roman"/>
          <w:sz w:val="24"/>
          <w:szCs w:val="24"/>
        </w:rPr>
        <w:t>.</w:t>
      </w:r>
    </w:p>
    <w:p w:rsidR="008206A4" w:rsidRPr="000B521F" w:rsidRDefault="00226C1D" w:rsidP="005A5077">
      <w:pPr>
        <w:pStyle w:val="Bezmezer"/>
        <w:numPr>
          <w:ilvl w:val="0"/>
          <w:numId w:val="66"/>
        </w:numPr>
        <w:jc w:val="both"/>
        <w:rPr>
          <w:rFonts w:ascii="Times New Roman" w:hAnsi="Times New Roman" w:cs="Times New Roman"/>
          <w:sz w:val="24"/>
          <w:szCs w:val="24"/>
        </w:rPr>
      </w:pPr>
      <w:r w:rsidRPr="000B521F">
        <w:rPr>
          <w:rFonts w:ascii="Times New Roman" w:hAnsi="Times New Roman" w:cs="Times New Roman"/>
          <w:sz w:val="24"/>
          <w:szCs w:val="24"/>
        </w:rPr>
        <w:t>Snížení emisí z dopravy a podpora alternativních typů dopravy</w:t>
      </w:r>
      <w:r w:rsidR="00290AD8" w:rsidRPr="000B521F">
        <w:rPr>
          <w:rFonts w:ascii="Times New Roman" w:hAnsi="Times New Roman" w:cs="Times New Roman"/>
          <w:sz w:val="24"/>
          <w:szCs w:val="24"/>
        </w:rPr>
        <w:t>, včetně pěší a cyklistické</w:t>
      </w:r>
      <w:r w:rsidR="00D446F4">
        <w:rPr>
          <w:rFonts w:ascii="Times New Roman" w:hAnsi="Times New Roman" w:cs="Times New Roman"/>
          <w:sz w:val="24"/>
          <w:szCs w:val="24"/>
        </w:rPr>
        <w:t>.</w:t>
      </w:r>
    </w:p>
    <w:p w:rsidR="008206A4" w:rsidRPr="000B521F" w:rsidRDefault="00290AD8" w:rsidP="005A5077">
      <w:pPr>
        <w:pStyle w:val="Bezmezer"/>
        <w:numPr>
          <w:ilvl w:val="0"/>
          <w:numId w:val="66"/>
        </w:numPr>
        <w:jc w:val="both"/>
        <w:rPr>
          <w:rFonts w:ascii="Times New Roman" w:hAnsi="Times New Roman" w:cs="Times New Roman"/>
          <w:sz w:val="24"/>
          <w:szCs w:val="24"/>
        </w:rPr>
      </w:pPr>
      <w:r w:rsidRPr="000B521F">
        <w:rPr>
          <w:rFonts w:ascii="Times New Roman" w:hAnsi="Times New Roman" w:cs="Times New Roman"/>
          <w:sz w:val="24"/>
          <w:szCs w:val="24"/>
        </w:rPr>
        <w:t>Podpora zklidňování dopravy, zavádění systémů inteligentního řízení</w:t>
      </w:r>
      <w:r w:rsidR="00D446F4">
        <w:rPr>
          <w:rFonts w:ascii="Times New Roman" w:hAnsi="Times New Roman" w:cs="Times New Roman"/>
          <w:sz w:val="24"/>
          <w:szCs w:val="24"/>
        </w:rPr>
        <w:t>.</w:t>
      </w:r>
    </w:p>
    <w:p w:rsidR="008206A4" w:rsidRPr="000B521F" w:rsidRDefault="00226C1D" w:rsidP="005A5077">
      <w:pPr>
        <w:pStyle w:val="Bezmezer"/>
        <w:numPr>
          <w:ilvl w:val="0"/>
          <w:numId w:val="66"/>
        </w:numPr>
        <w:jc w:val="both"/>
        <w:rPr>
          <w:rFonts w:ascii="Times New Roman" w:hAnsi="Times New Roman" w:cs="Times New Roman"/>
          <w:sz w:val="24"/>
          <w:szCs w:val="24"/>
        </w:rPr>
      </w:pPr>
      <w:r w:rsidRPr="000B521F">
        <w:rPr>
          <w:rFonts w:ascii="Times New Roman" w:hAnsi="Times New Roman" w:cs="Times New Roman"/>
          <w:sz w:val="24"/>
          <w:szCs w:val="24"/>
        </w:rPr>
        <w:t>Podpora systémů zeleně v sídlech jako nástroje pro zlepšování kvality ovzduší a prostředek k adaptaci městského prostředí na změnu klimatu</w:t>
      </w:r>
      <w:r w:rsidR="00D446F4">
        <w:rPr>
          <w:rFonts w:ascii="Times New Roman" w:hAnsi="Times New Roman" w:cs="Times New Roman"/>
          <w:sz w:val="24"/>
          <w:szCs w:val="24"/>
        </w:rPr>
        <w:t>.</w:t>
      </w:r>
    </w:p>
    <w:p w:rsidR="008206A4" w:rsidRPr="000B521F" w:rsidRDefault="00226C1D" w:rsidP="005A5077">
      <w:pPr>
        <w:pStyle w:val="Bezmezer"/>
        <w:numPr>
          <w:ilvl w:val="0"/>
          <w:numId w:val="66"/>
        </w:numPr>
        <w:jc w:val="both"/>
        <w:rPr>
          <w:rFonts w:ascii="Times New Roman" w:hAnsi="Times New Roman" w:cs="Times New Roman"/>
          <w:i/>
          <w:sz w:val="24"/>
          <w:szCs w:val="24"/>
        </w:rPr>
      </w:pPr>
      <w:r w:rsidRPr="000B521F">
        <w:rPr>
          <w:rFonts w:ascii="Times New Roman" w:hAnsi="Times New Roman" w:cs="Times New Roman"/>
          <w:sz w:val="24"/>
          <w:szCs w:val="24"/>
        </w:rPr>
        <w:t>Zkvalitnění monitoringu kvality ovzduší</w:t>
      </w:r>
      <w:r w:rsidR="00D446F4">
        <w:rPr>
          <w:rFonts w:ascii="Times New Roman" w:hAnsi="Times New Roman" w:cs="Times New Roman"/>
          <w:sz w:val="24"/>
          <w:szCs w:val="24"/>
        </w:rPr>
        <w:t>.</w:t>
      </w:r>
    </w:p>
    <w:p w:rsidR="00226C1D" w:rsidRPr="000B521F" w:rsidRDefault="00226C1D" w:rsidP="0059011D">
      <w:pPr>
        <w:pStyle w:val="Bezmezer"/>
        <w:rPr>
          <w:rFonts w:ascii="Times New Roman" w:hAnsi="Times New Roman" w:cs="Times New Roman"/>
          <w:sz w:val="24"/>
          <w:szCs w:val="24"/>
        </w:rPr>
      </w:pPr>
    </w:p>
    <w:p w:rsidR="00226C1D" w:rsidRPr="000B521F" w:rsidRDefault="00226C1D" w:rsidP="0059011D">
      <w:pPr>
        <w:spacing w:after="120" w:line="240" w:lineRule="auto"/>
        <w:rPr>
          <w:rFonts w:ascii="Times New Roman" w:hAnsi="Times New Roman" w:cs="Times New Roman"/>
          <w:b/>
          <w:i/>
          <w:sz w:val="24"/>
          <w:szCs w:val="24"/>
        </w:rPr>
      </w:pPr>
      <w:r w:rsidRPr="000B521F">
        <w:rPr>
          <w:rFonts w:ascii="Times New Roman" w:hAnsi="Times New Roman" w:cs="Times New Roman"/>
          <w:b/>
          <w:i/>
          <w:sz w:val="24"/>
          <w:szCs w:val="24"/>
        </w:rPr>
        <w:t>2. Jakost vod</w:t>
      </w:r>
    </w:p>
    <w:p w:rsidR="00226C1D" w:rsidRPr="000B521F" w:rsidRDefault="00226C1D"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V případě jakosti vod je významným problémem vypouštění znečištění do vodních toků, jedná se jak o průmyslové znečištění, tak zejména o znečištění pocházející z kanalizace pro veřejnou potřebu. Většina aglomerací má již díky plnění požadavků daných příslušnou evropskou legislativou napojení na kanalizaci zakončenou čistírnou odpadních vod, kritické je však napojení menších sídel,  přetrvává problém v Hl. m. Praha.. Problematické je nadále plošné znečištění vodních toků a nádrží pocházející ze zemědělské činnosti</w:t>
      </w:r>
      <w:r w:rsidR="004F244F">
        <w:rPr>
          <w:rFonts w:ascii="Times New Roman" w:hAnsi="Times New Roman" w:cs="Times New Roman"/>
          <w:sz w:val="24"/>
          <w:szCs w:val="24"/>
        </w:rPr>
        <w:t>, zanášení vodních nádrží smyvem ornice a zatížení podzemních vod dusičnany, amonnými ionty a pesticidy</w:t>
      </w:r>
      <w:r w:rsidR="004F244F" w:rsidRPr="00226C1D">
        <w:rPr>
          <w:rFonts w:ascii="Times New Roman" w:hAnsi="Times New Roman" w:cs="Times New Roman"/>
          <w:sz w:val="24"/>
          <w:szCs w:val="24"/>
        </w:rPr>
        <w:t>.</w:t>
      </w:r>
    </w:p>
    <w:p w:rsidR="00226C1D" w:rsidRPr="000B521F" w:rsidRDefault="00226C1D" w:rsidP="005A5077">
      <w:pPr>
        <w:pStyle w:val="Bezmezer"/>
        <w:jc w:val="both"/>
        <w:rPr>
          <w:rFonts w:ascii="Times New Roman" w:hAnsi="Times New Roman" w:cs="Times New Roman"/>
          <w:sz w:val="24"/>
          <w:szCs w:val="24"/>
        </w:rPr>
      </w:pPr>
      <w:r w:rsidRPr="000B521F">
        <w:rPr>
          <w:rFonts w:ascii="Times New Roman" w:hAnsi="Times New Roman" w:cs="Times New Roman"/>
          <w:i/>
          <w:sz w:val="24"/>
          <w:szCs w:val="24"/>
        </w:rPr>
        <w:t>Potřeby rozvoje</w:t>
      </w:r>
      <w:r w:rsidRPr="000B521F">
        <w:rPr>
          <w:rFonts w:ascii="Times New Roman" w:hAnsi="Times New Roman" w:cs="Times New Roman"/>
          <w:sz w:val="24"/>
          <w:szCs w:val="24"/>
        </w:rPr>
        <w:t>:</w:t>
      </w:r>
    </w:p>
    <w:p w:rsidR="008206A4" w:rsidRPr="000B521F" w:rsidRDefault="00226C1D" w:rsidP="005A5077">
      <w:pPr>
        <w:pStyle w:val="Bezmezer"/>
        <w:numPr>
          <w:ilvl w:val="0"/>
          <w:numId w:val="67"/>
        </w:numPr>
        <w:jc w:val="both"/>
        <w:rPr>
          <w:rFonts w:ascii="Times New Roman" w:hAnsi="Times New Roman" w:cs="Times New Roman"/>
          <w:sz w:val="24"/>
          <w:szCs w:val="24"/>
        </w:rPr>
      </w:pPr>
      <w:r w:rsidRPr="000B521F">
        <w:rPr>
          <w:rFonts w:ascii="Times New Roman" w:hAnsi="Times New Roman" w:cs="Times New Roman"/>
          <w:sz w:val="24"/>
          <w:szCs w:val="24"/>
        </w:rPr>
        <w:t>Zlepšení kvality a dostupnosti pitné vody</w:t>
      </w:r>
      <w:r w:rsidR="00D446F4">
        <w:rPr>
          <w:rFonts w:ascii="Times New Roman" w:hAnsi="Times New Roman" w:cs="Times New Roman"/>
          <w:sz w:val="24"/>
          <w:szCs w:val="24"/>
        </w:rPr>
        <w:t>.</w:t>
      </w:r>
    </w:p>
    <w:p w:rsidR="008206A4" w:rsidRPr="000B521F" w:rsidRDefault="00226C1D" w:rsidP="005A5077">
      <w:pPr>
        <w:pStyle w:val="Bezmezer"/>
        <w:numPr>
          <w:ilvl w:val="0"/>
          <w:numId w:val="67"/>
        </w:numPr>
        <w:jc w:val="both"/>
        <w:rPr>
          <w:rFonts w:ascii="Times New Roman" w:hAnsi="Times New Roman" w:cs="Times New Roman"/>
          <w:sz w:val="24"/>
          <w:szCs w:val="24"/>
        </w:rPr>
      </w:pPr>
      <w:r w:rsidRPr="000B521F">
        <w:rPr>
          <w:rFonts w:ascii="Times New Roman" w:hAnsi="Times New Roman" w:cs="Times New Roman"/>
          <w:sz w:val="24"/>
          <w:szCs w:val="24"/>
        </w:rPr>
        <w:t>Snížení spotřeby vody pomocí omeze</w:t>
      </w:r>
      <w:r w:rsidR="00D446F4">
        <w:rPr>
          <w:rFonts w:ascii="Times New Roman" w:hAnsi="Times New Roman" w:cs="Times New Roman"/>
          <w:sz w:val="24"/>
          <w:szCs w:val="24"/>
        </w:rPr>
        <w:t>ní úniku vody z vodárenské sítě.</w:t>
      </w:r>
    </w:p>
    <w:p w:rsidR="008206A4" w:rsidRPr="000B521F" w:rsidRDefault="00226C1D" w:rsidP="005A5077">
      <w:pPr>
        <w:pStyle w:val="Bezmezer"/>
        <w:numPr>
          <w:ilvl w:val="0"/>
          <w:numId w:val="67"/>
        </w:numPr>
        <w:jc w:val="both"/>
        <w:rPr>
          <w:rFonts w:ascii="Times New Roman" w:hAnsi="Times New Roman" w:cs="Times New Roman"/>
          <w:sz w:val="24"/>
          <w:szCs w:val="24"/>
        </w:rPr>
      </w:pPr>
      <w:r w:rsidRPr="000B521F">
        <w:rPr>
          <w:rFonts w:ascii="Times New Roman" w:hAnsi="Times New Roman" w:cs="Times New Roman"/>
          <w:sz w:val="24"/>
          <w:szCs w:val="24"/>
        </w:rPr>
        <w:t>Snížení p</w:t>
      </w:r>
      <w:r w:rsidR="00D446F4">
        <w:rPr>
          <w:rFonts w:ascii="Times New Roman" w:hAnsi="Times New Roman" w:cs="Times New Roman"/>
          <w:sz w:val="24"/>
          <w:szCs w:val="24"/>
        </w:rPr>
        <w:t>lošného znečištění vodních toků.</w:t>
      </w:r>
    </w:p>
    <w:p w:rsidR="008206A4" w:rsidRPr="000B521F" w:rsidRDefault="00226C1D" w:rsidP="005A5077">
      <w:pPr>
        <w:pStyle w:val="Bezmezer"/>
        <w:numPr>
          <w:ilvl w:val="0"/>
          <w:numId w:val="67"/>
        </w:numPr>
        <w:jc w:val="both"/>
        <w:rPr>
          <w:rFonts w:ascii="Times New Roman" w:hAnsi="Times New Roman" w:cs="Times New Roman"/>
          <w:sz w:val="24"/>
          <w:szCs w:val="24"/>
        </w:rPr>
      </w:pPr>
      <w:r w:rsidRPr="000B521F">
        <w:rPr>
          <w:rFonts w:ascii="Times New Roman" w:hAnsi="Times New Roman" w:cs="Times New Roman"/>
          <w:sz w:val="24"/>
          <w:szCs w:val="24"/>
        </w:rPr>
        <w:t>Zefektivnění nakládání s odpadními vodami</w:t>
      </w:r>
      <w:r w:rsidR="00D446F4">
        <w:rPr>
          <w:rFonts w:ascii="Times New Roman" w:hAnsi="Times New Roman" w:cs="Times New Roman"/>
          <w:sz w:val="24"/>
          <w:szCs w:val="24"/>
        </w:rPr>
        <w:t>.</w:t>
      </w:r>
    </w:p>
    <w:p w:rsidR="00226C1D" w:rsidRPr="000B521F" w:rsidRDefault="00226C1D" w:rsidP="0059011D">
      <w:pPr>
        <w:pStyle w:val="Bezmezer"/>
        <w:rPr>
          <w:rFonts w:ascii="Times New Roman" w:hAnsi="Times New Roman" w:cs="Times New Roman"/>
          <w:sz w:val="24"/>
          <w:szCs w:val="24"/>
        </w:rPr>
      </w:pPr>
    </w:p>
    <w:p w:rsidR="00226C1D" w:rsidRPr="000B521F" w:rsidRDefault="00226C1D" w:rsidP="0059011D">
      <w:pPr>
        <w:spacing w:after="120" w:line="240" w:lineRule="auto"/>
        <w:rPr>
          <w:rFonts w:ascii="Times New Roman" w:hAnsi="Times New Roman" w:cs="Times New Roman"/>
          <w:b/>
          <w:i/>
          <w:sz w:val="24"/>
          <w:szCs w:val="24"/>
        </w:rPr>
      </w:pPr>
      <w:r w:rsidRPr="000B521F">
        <w:rPr>
          <w:rFonts w:ascii="Times New Roman" w:hAnsi="Times New Roman" w:cs="Times New Roman"/>
          <w:b/>
          <w:i/>
          <w:sz w:val="24"/>
          <w:szCs w:val="24"/>
        </w:rPr>
        <w:t>3. Nakládání s odpady</w:t>
      </w:r>
    </w:p>
    <w:p w:rsidR="00226C1D" w:rsidRPr="000B521F" w:rsidRDefault="00226C1D"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Vývoj celkové produkce odpadů velmi úzce souvisí s ekonomickou aktivitou a strukturou průmyslové činnosti. V posledních letech je problematická především produkce nebezpečných odpadů, kde je nutno vybudovat dostatečnou základnu pro nakládání. V porovnání s EU má ČR poměrně nízkou produkci komunálních odpadů na obyvatele ( </w:t>
      </w:r>
      <w:r w:rsidR="00DA1CE2">
        <w:rPr>
          <w:rFonts w:ascii="Times New Roman" w:hAnsi="Times New Roman" w:cs="Times New Roman"/>
          <w:sz w:val="24"/>
          <w:szCs w:val="24"/>
        </w:rPr>
        <w:t>493,7</w:t>
      </w:r>
      <w:r w:rsidRPr="000B521F">
        <w:rPr>
          <w:rFonts w:ascii="Times New Roman" w:hAnsi="Times New Roman" w:cs="Times New Roman"/>
          <w:sz w:val="24"/>
          <w:szCs w:val="24"/>
        </w:rPr>
        <w:t xml:space="preserve"> kg)</w:t>
      </w:r>
      <w:r w:rsidR="00DA1CE2">
        <w:rPr>
          <w:rStyle w:val="Znakapoznpodarou"/>
          <w:rFonts w:cs="Times New Roman"/>
          <w:sz w:val="24"/>
          <w:szCs w:val="24"/>
        </w:rPr>
        <w:footnoteReference w:id="73"/>
      </w:r>
      <w:r w:rsidRPr="000B521F">
        <w:rPr>
          <w:rFonts w:ascii="Times New Roman" w:hAnsi="Times New Roman" w:cs="Times New Roman"/>
          <w:sz w:val="24"/>
          <w:szCs w:val="24"/>
        </w:rPr>
        <w:t>, z hlediska jejich odstraňování však převažuje skládkování (</w:t>
      </w:r>
      <w:r w:rsidR="00DA1CE2">
        <w:rPr>
          <w:rFonts w:ascii="Times New Roman" w:hAnsi="Times New Roman" w:cs="Times New Roman"/>
          <w:sz w:val="24"/>
          <w:szCs w:val="24"/>
        </w:rPr>
        <w:t>53,7</w:t>
      </w:r>
      <w:r w:rsidRPr="000B521F">
        <w:rPr>
          <w:rFonts w:ascii="Times New Roman" w:hAnsi="Times New Roman" w:cs="Times New Roman"/>
          <w:sz w:val="24"/>
          <w:szCs w:val="24"/>
        </w:rPr>
        <w:t xml:space="preserve"> % v roce 2012)</w:t>
      </w:r>
      <w:r w:rsidR="00DA1CE2">
        <w:rPr>
          <w:rStyle w:val="Znakapoznpodarou"/>
          <w:rFonts w:cs="Times New Roman"/>
          <w:sz w:val="24"/>
          <w:szCs w:val="24"/>
        </w:rPr>
        <w:footnoteReference w:id="74"/>
      </w:r>
      <w:r w:rsidRPr="000B521F">
        <w:rPr>
          <w:rFonts w:ascii="Times New Roman" w:hAnsi="Times New Roman" w:cs="Times New Roman"/>
          <w:sz w:val="24"/>
          <w:szCs w:val="24"/>
        </w:rPr>
        <w:t xml:space="preserve">, které </w:t>
      </w:r>
      <w:r w:rsidRPr="000B521F">
        <w:rPr>
          <w:rFonts w:ascii="Times New Roman" w:hAnsi="Times New Roman" w:cs="Times New Roman"/>
          <w:sz w:val="24"/>
          <w:szCs w:val="24"/>
        </w:rPr>
        <w:lastRenderedPageBreak/>
        <w:t>vede k produkcí skleníkových plynů,  vzhledem k obsahu biologické složky v ukládaném odpadu. Pro dodržování hierarchie nakládání s odpady je nutno primárně zajistit prevenci vzniku odpadů a dále vybudovat dostatečnou síť zařízení  pro  materiálové a energetické využití. ČR sice patří mezi země s nadprůměrnou mírou vytříděných složek komunálních odpadů a s odpovědným nakládáním s obaly, pro další zlepšení, především v oblasti specifických druhů odpadů je potřeba pokračovat ve vytváření  stabilní sítě  sběrných dvorů a na ně navazujících zpracovatelských kapacit.</w:t>
      </w:r>
    </w:p>
    <w:p w:rsidR="00226C1D" w:rsidRPr="000B521F" w:rsidRDefault="00226C1D" w:rsidP="005A5077">
      <w:pPr>
        <w:pStyle w:val="Bezmezer"/>
        <w:jc w:val="both"/>
        <w:rPr>
          <w:rFonts w:ascii="Times New Roman" w:hAnsi="Times New Roman" w:cs="Times New Roman"/>
          <w:sz w:val="24"/>
          <w:szCs w:val="24"/>
        </w:rPr>
      </w:pPr>
      <w:r w:rsidRPr="000B521F">
        <w:rPr>
          <w:rFonts w:ascii="Times New Roman" w:hAnsi="Times New Roman" w:cs="Times New Roman"/>
          <w:i/>
          <w:sz w:val="24"/>
          <w:szCs w:val="24"/>
        </w:rPr>
        <w:t>Potřeby rozvoje:</w:t>
      </w:r>
    </w:p>
    <w:p w:rsidR="008206A4" w:rsidRPr="000B521F" w:rsidRDefault="00226C1D" w:rsidP="005A5077">
      <w:pPr>
        <w:pStyle w:val="Bezmezer"/>
        <w:numPr>
          <w:ilvl w:val="0"/>
          <w:numId w:val="68"/>
        </w:numPr>
        <w:jc w:val="both"/>
        <w:rPr>
          <w:rFonts w:ascii="Times New Roman" w:hAnsi="Times New Roman" w:cs="Times New Roman"/>
          <w:sz w:val="24"/>
          <w:szCs w:val="24"/>
        </w:rPr>
      </w:pPr>
      <w:r w:rsidRPr="000B521F">
        <w:rPr>
          <w:rFonts w:ascii="Times New Roman" w:hAnsi="Times New Roman" w:cs="Times New Roman"/>
          <w:sz w:val="24"/>
          <w:szCs w:val="24"/>
        </w:rPr>
        <w:t>Snížení produkce (prevence vzniku) odpadů se zaměřením na komunální a nebezpečný odpad</w:t>
      </w:r>
      <w:r w:rsidR="00D446F4">
        <w:rPr>
          <w:rFonts w:ascii="Times New Roman" w:hAnsi="Times New Roman" w:cs="Times New Roman"/>
          <w:sz w:val="24"/>
          <w:szCs w:val="24"/>
        </w:rPr>
        <w:t>.</w:t>
      </w:r>
    </w:p>
    <w:p w:rsidR="008206A4" w:rsidRPr="000B521F" w:rsidRDefault="00226C1D" w:rsidP="005A5077">
      <w:pPr>
        <w:pStyle w:val="Bezmezer"/>
        <w:numPr>
          <w:ilvl w:val="0"/>
          <w:numId w:val="68"/>
        </w:numPr>
        <w:jc w:val="both"/>
        <w:rPr>
          <w:rFonts w:ascii="Times New Roman" w:hAnsi="Times New Roman" w:cs="Times New Roman"/>
          <w:sz w:val="24"/>
          <w:szCs w:val="24"/>
        </w:rPr>
      </w:pPr>
      <w:r w:rsidRPr="000B521F">
        <w:rPr>
          <w:rFonts w:ascii="Times New Roman" w:hAnsi="Times New Roman" w:cs="Times New Roman"/>
          <w:sz w:val="24"/>
          <w:szCs w:val="24"/>
        </w:rPr>
        <w:t>Zvyšování podílu opětovného využití odpadů, recyklace a podpora náhrad prvotních zdrojů za druhotné suroviny</w:t>
      </w:r>
      <w:r w:rsidR="00D446F4">
        <w:rPr>
          <w:rFonts w:ascii="Times New Roman" w:hAnsi="Times New Roman" w:cs="Times New Roman"/>
          <w:sz w:val="24"/>
          <w:szCs w:val="24"/>
        </w:rPr>
        <w:t>.</w:t>
      </w:r>
    </w:p>
    <w:p w:rsidR="008206A4" w:rsidRPr="000B521F" w:rsidRDefault="00226C1D" w:rsidP="005A5077">
      <w:pPr>
        <w:pStyle w:val="Bezmezer"/>
        <w:numPr>
          <w:ilvl w:val="0"/>
          <w:numId w:val="68"/>
        </w:numPr>
        <w:jc w:val="both"/>
        <w:rPr>
          <w:rFonts w:ascii="Times New Roman" w:hAnsi="Times New Roman" w:cs="Times New Roman"/>
          <w:sz w:val="24"/>
          <w:szCs w:val="24"/>
        </w:rPr>
      </w:pPr>
      <w:r w:rsidRPr="000B521F">
        <w:rPr>
          <w:rFonts w:ascii="Times New Roman" w:hAnsi="Times New Roman" w:cs="Times New Roman"/>
          <w:sz w:val="24"/>
          <w:szCs w:val="24"/>
        </w:rPr>
        <w:t>Podpora  systému třídění bioodpadu a využití kompostáren</w:t>
      </w:r>
      <w:r w:rsidR="00D446F4">
        <w:rPr>
          <w:rFonts w:ascii="Times New Roman" w:hAnsi="Times New Roman" w:cs="Times New Roman"/>
          <w:sz w:val="24"/>
          <w:szCs w:val="24"/>
        </w:rPr>
        <w:t>.</w:t>
      </w:r>
    </w:p>
    <w:p w:rsidR="008206A4" w:rsidRPr="000B521F" w:rsidRDefault="00226C1D" w:rsidP="005A5077">
      <w:pPr>
        <w:pStyle w:val="Bezmezer"/>
        <w:numPr>
          <w:ilvl w:val="0"/>
          <w:numId w:val="68"/>
        </w:numPr>
        <w:jc w:val="both"/>
        <w:rPr>
          <w:rFonts w:ascii="Times New Roman" w:hAnsi="Times New Roman" w:cs="Times New Roman"/>
          <w:sz w:val="24"/>
          <w:szCs w:val="24"/>
        </w:rPr>
      </w:pPr>
      <w:r w:rsidRPr="000B521F">
        <w:rPr>
          <w:rFonts w:ascii="Times New Roman" w:hAnsi="Times New Roman" w:cs="Times New Roman"/>
          <w:sz w:val="24"/>
          <w:szCs w:val="24"/>
        </w:rPr>
        <w:t>Podpora energetického využití odpadů  (resp. spalování)</w:t>
      </w:r>
      <w:r w:rsidR="00D446F4">
        <w:rPr>
          <w:rFonts w:ascii="Times New Roman" w:hAnsi="Times New Roman" w:cs="Times New Roman"/>
          <w:sz w:val="24"/>
          <w:szCs w:val="24"/>
        </w:rPr>
        <w:t>.</w:t>
      </w:r>
    </w:p>
    <w:p w:rsidR="008206A4" w:rsidRPr="000B521F" w:rsidRDefault="000144E0" w:rsidP="005A5077">
      <w:pPr>
        <w:pStyle w:val="Bezmezer"/>
        <w:numPr>
          <w:ilvl w:val="0"/>
          <w:numId w:val="68"/>
        </w:numPr>
        <w:jc w:val="both"/>
        <w:rPr>
          <w:rFonts w:ascii="Times New Roman" w:hAnsi="Times New Roman" w:cs="Times New Roman"/>
          <w:sz w:val="24"/>
          <w:szCs w:val="24"/>
        </w:rPr>
      </w:pPr>
      <w:r w:rsidRPr="000B521F">
        <w:rPr>
          <w:rFonts w:ascii="Times New Roman" w:hAnsi="Times New Roman" w:cs="Times New Roman"/>
          <w:sz w:val="24"/>
          <w:szCs w:val="24"/>
        </w:rPr>
        <w:t>Řešení problematiky ukončování provozu skládek v souladu s požadavky EK, tj. řešení problematiky zbytkov</w:t>
      </w:r>
      <w:r w:rsidR="00D446F4">
        <w:rPr>
          <w:rFonts w:ascii="Times New Roman" w:hAnsi="Times New Roman" w:cs="Times New Roman"/>
          <w:sz w:val="24"/>
          <w:szCs w:val="24"/>
        </w:rPr>
        <w:t>ého směsného komunálního odpadu.</w:t>
      </w:r>
    </w:p>
    <w:p w:rsidR="00226C1D" w:rsidRPr="000B521F" w:rsidRDefault="00226C1D" w:rsidP="0059011D">
      <w:pPr>
        <w:pStyle w:val="Bezmezer"/>
        <w:rPr>
          <w:rFonts w:ascii="Times New Roman" w:hAnsi="Times New Roman" w:cs="Times New Roman"/>
          <w:sz w:val="24"/>
          <w:szCs w:val="24"/>
        </w:rPr>
      </w:pPr>
    </w:p>
    <w:p w:rsidR="00226C1D" w:rsidRPr="000B521F" w:rsidRDefault="00226C1D" w:rsidP="0059011D">
      <w:pPr>
        <w:spacing w:after="120" w:line="240" w:lineRule="auto"/>
        <w:rPr>
          <w:rFonts w:ascii="Times New Roman" w:hAnsi="Times New Roman" w:cs="Times New Roman"/>
          <w:b/>
          <w:i/>
          <w:sz w:val="24"/>
          <w:szCs w:val="24"/>
        </w:rPr>
      </w:pPr>
      <w:r w:rsidRPr="000B521F">
        <w:rPr>
          <w:rFonts w:ascii="Times New Roman" w:hAnsi="Times New Roman" w:cs="Times New Roman"/>
          <w:b/>
          <w:i/>
          <w:sz w:val="24"/>
          <w:szCs w:val="24"/>
        </w:rPr>
        <w:t>4. Energetická náročnost – koncept Smart City</w:t>
      </w:r>
    </w:p>
    <w:p w:rsidR="00226C1D" w:rsidRPr="000B521F" w:rsidRDefault="00226C1D"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ČR  patří k zemím s nadprůměrnou  energetickou náročnost</w:t>
      </w:r>
      <w:r w:rsidR="001637C5" w:rsidRPr="000B521F">
        <w:rPr>
          <w:rFonts w:ascii="Times New Roman" w:hAnsi="Times New Roman" w:cs="Times New Roman"/>
          <w:sz w:val="24"/>
          <w:szCs w:val="24"/>
        </w:rPr>
        <w:t>í</w:t>
      </w:r>
      <w:r w:rsidRPr="000B521F">
        <w:rPr>
          <w:rFonts w:ascii="Times New Roman" w:hAnsi="Times New Roman" w:cs="Times New Roman"/>
          <w:sz w:val="24"/>
          <w:szCs w:val="24"/>
        </w:rPr>
        <w:t xml:space="preserve"> ekonomiky v rámci EU27</w:t>
      </w:r>
      <w:r w:rsidR="001637C5" w:rsidRPr="000B521F">
        <w:rPr>
          <w:rStyle w:val="Znakapoznpodarou"/>
          <w:rFonts w:ascii="Times New Roman" w:hAnsi="Times New Roman" w:cs="Times New Roman"/>
          <w:sz w:val="24"/>
          <w:szCs w:val="24"/>
        </w:rPr>
        <w:footnoteReference w:id="75"/>
      </w:r>
      <w:r w:rsidRPr="000B521F">
        <w:rPr>
          <w:rFonts w:ascii="Times New Roman" w:hAnsi="Times New Roman" w:cs="Times New Roman"/>
          <w:sz w:val="24"/>
          <w:szCs w:val="24"/>
        </w:rPr>
        <w:t>. Na straně spotřeby energie a doprovodného znečištění je proto přínosné koncepční řešení této problematiky prostřednictvím konceptu „smartcity“ (viz SET plán EK), provázaných opatření k úspoře energie na municipální úrovni. Míra urbanizace v ČR je 73 %, proto je negativním působením ovlivněna většina obyvatel.</w:t>
      </w:r>
    </w:p>
    <w:p w:rsidR="00226C1D" w:rsidRPr="000B521F" w:rsidRDefault="00226C1D" w:rsidP="005A5077">
      <w:pPr>
        <w:pStyle w:val="Bezmezer"/>
        <w:jc w:val="both"/>
        <w:rPr>
          <w:rFonts w:ascii="Times New Roman" w:hAnsi="Times New Roman" w:cs="Times New Roman"/>
          <w:sz w:val="24"/>
          <w:szCs w:val="24"/>
        </w:rPr>
      </w:pPr>
      <w:r w:rsidRPr="000B521F">
        <w:rPr>
          <w:rFonts w:ascii="Times New Roman" w:hAnsi="Times New Roman" w:cs="Times New Roman"/>
          <w:i/>
          <w:sz w:val="24"/>
          <w:szCs w:val="24"/>
        </w:rPr>
        <w:t>Potřeby rozvoje:</w:t>
      </w:r>
    </w:p>
    <w:p w:rsidR="008206A4" w:rsidRPr="000B521F" w:rsidRDefault="00226C1D" w:rsidP="005A5077">
      <w:pPr>
        <w:pStyle w:val="Bezmezer"/>
        <w:numPr>
          <w:ilvl w:val="0"/>
          <w:numId w:val="69"/>
        </w:numPr>
        <w:jc w:val="both"/>
        <w:rPr>
          <w:rFonts w:ascii="Times New Roman" w:hAnsi="Times New Roman" w:cs="Times New Roman"/>
          <w:sz w:val="24"/>
          <w:szCs w:val="24"/>
        </w:rPr>
      </w:pPr>
      <w:r w:rsidRPr="000B521F">
        <w:rPr>
          <w:rFonts w:ascii="Times New Roman" w:hAnsi="Times New Roman" w:cs="Times New Roman"/>
          <w:sz w:val="24"/>
          <w:szCs w:val="24"/>
        </w:rPr>
        <w:t xml:space="preserve">Podpora opatření vedoucích k energetickým úsporám </w:t>
      </w:r>
      <w:r w:rsidR="000144E0" w:rsidRPr="000B521F">
        <w:rPr>
          <w:rFonts w:ascii="Times New Roman" w:hAnsi="Times New Roman" w:cs="Times New Roman"/>
          <w:sz w:val="24"/>
          <w:szCs w:val="24"/>
        </w:rPr>
        <w:t xml:space="preserve">a využití OZE </w:t>
      </w:r>
      <w:r w:rsidRPr="000B521F">
        <w:rPr>
          <w:rFonts w:ascii="Times New Roman" w:hAnsi="Times New Roman" w:cs="Times New Roman"/>
          <w:sz w:val="24"/>
          <w:szCs w:val="24"/>
        </w:rPr>
        <w:t xml:space="preserve">v budovách </w:t>
      </w:r>
      <w:r w:rsidR="001637C5" w:rsidRPr="000B521F">
        <w:rPr>
          <w:rFonts w:ascii="Times New Roman" w:hAnsi="Times New Roman" w:cs="Times New Roman"/>
          <w:sz w:val="24"/>
          <w:szCs w:val="24"/>
        </w:rPr>
        <w:t>(soukromých, veřejných i komerčních)</w:t>
      </w:r>
      <w:r w:rsidR="00D446F4">
        <w:rPr>
          <w:rFonts w:ascii="Times New Roman" w:hAnsi="Times New Roman" w:cs="Times New Roman"/>
          <w:sz w:val="24"/>
          <w:szCs w:val="24"/>
        </w:rPr>
        <w:t>.</w:t>
      </w:r>
    </w:p>
    <w:p w:rsidR="008206A4" w:rsidRPr="000B521F" w:rsidRDefault="00226C1D" w:rsidP="005A5077">
      <w:pPr>
        <w:pStyle w:val="Bezmezer"/>
        <w:numPr>
          <w:ilvl w:val="0"/>
          <w:numId w:val="69"/>
        </w:numPr>
        <w:jc w:val="both"/>
        <w:rPr>
          <w:rFonts w:ascii="Times New Roman" w:hAnsi="Times New Roman" w:cs="Times New Roman"/>
          <w:sz w:val="24"/>
          <w:szCs w:val="24"/>
        </w:rPr>
      </w:pPr>
      <w:r w:rsidRPr="000B521F">
        <w:rPr>
          <w:rFonts w:ascii="Times New Roman" w:hAnsi="Times New Roman" w:cs="Times New Roman"/>
          <w:sz w:val="24"/>
          <w:szCs w:val="24"/>
        </w:rPr>
        <w:t xml:space="preserve">Podpora energeticky úsporné a environmentálně příznivé infrastruktury ve správě,resp. vlastnictví municipalit, např. modernizace veřejného osvětlení, energetické úspory a využití odpadního tepla </w:t>
      </w:r>
      <w:r w:rsidR="000144E0" w:rsidRPr="000B521F">
        <w:rPr>
          <w:rFonts w:ascii="Times New Roman" w:hAnsi="Times New Roman" w:cs="Times New Roman"/>
          <w:sz w:val="24"/>
          <w:szCs w:val="24"/>
        </w:rPr>
        <w:t xml:space="preserve">a bioplynu </w:t>
      </w:r>
      <w:r w:rsidRPr="000B521F">
        <w:rPr>
          <w:rFonts w:ascii="Times New Roman" w:hAnsi="Times New Roman" w:cs="Times New Roman"/>
          <w:sz w:val="24"/>
          <w:szCs w:val="24"/>
        </w:rPr>
        <w:t>ze všech municipálních provozů (např. čištění odpadních vod a nakládání s odpady)</w:t>
      </w:r>
      <w:r w:rsidR="000144E0" w:rsidRPr="000B521F">
        <w:rPr>
          <w:rFonts w:ascii="Times New Roman" w:hAnsi="Times New Roman" w:cs="Times New Roman"/>
          <w:sz w:val="24"/>
          <w:szCs w:val="24"/>
        </w:rPr>
        <w:t>, budování OZE</w:t>
      </w:r>
      <w:r w:rsidRPr="000B521F">
        <w:rPr>
          <w:rFonts w:ascii="Times New Roman" w:hAnsi="Times New Roman" w:cs="Times New Roman"/>
          <w:sz w:val="24"/>
          <w:szCs w:val="24"/>
        </w:rPr>
        <w:t xml:space="preserve"> a podpora alternativních typů dopravy v souvislosti se snižováním emisí </w:t>
      </w:r>
      <w:r w:rsidR="00D446F4">
        <w:rPr>
          <w:rFonts w:ascii="Times New Roman" w:hAnsi="Times New Roman" w:cs="Times New Roman"/>
          <w:sz w:val="24"/>
          <w:szCs w:val="24"/>
        </w:rPr>
        <w:t>v extrémně znečištěných územích.</w:t>
      </w:r>
    </w:p>
    <w:p w:rsidR="00226C1D" w:rsidRPr="000B521F" w:rsidRDefault="00226C1D" w:rsidP="0059011D">
      <w:pPr>
        <w:pStyle w:val="Bezmezer"/>
        <w:rPr>
          <w:rFonts w:ascii="Times New Roman" w:hAnsi="Times New Roman" w:cs="Times New Roman"/>
          <w:sz w:val="24"/>
          <w:szCs w:val="24"/>
        </w:rPr>
      </w:pPr>
    </w:p>
    <w:p w:rsidR="00226C1D" w:rsidRPr="000B521F" w:rsidRDefault="00226C1D" w:rsidP="0059011D">
      <w:pPr>
        <w:spacing w:after="120" w:line="240" w:lineRule="auto"/>
        <w:rPr>
          <w:rFonts w:ascii="Times New Roman" w:hAnsi="Times New Roman" w:cs="Times New Roman"/>
          <w:b/>
          <w:i/>
          <w:sz w:val="24"/>
          <w:szCs w:val="24"/>
        </w:rPr>
      </w:pPr>
      <w:r w:rsidRPr="000B521F">
        <w:rPr>
          <w:rFonts w:ascii="Times New Roman" w:hAnsi="Times New Roman" w:cs="Times New Roman"/>
          <w:b/>
          <w:i/>
          <w:sz w:val="24"/>
          <w:szCs w:val="24"/>
        </w:rPr>
        <w:t>5. Biodiverzita, krajina a ekosystémové služby</w:t>
      </w:r>
    </w:p>
    <w:p w:rsidR="004F244F" w:rsidRDefault="004F244F" w:rsidP="004F244F">
      <w:pPr>
        <w:spacing w:line="240" w:lineRule="auto"/>
        <w:jc w:val="both"/>
        <w:rPr>
          <w:rFonts w:ascii="Times New Roman" w:hAnsi="Times New Roman" w:cs="Times New Roman"/>
          <w:sz w:val="24"/>
          <w:szCs w:val="24"/>
        </w:rPr>
      </w:pPr>
      <w:r w:rsidRPr="00226C1D">
        <w:rPr>
          <w:rFonts w:ascii="Times New Roman" w:hAnsi="Times New Roman" w:cs="Times New Roman"/>
          <w:sz w:val="24"/>
          <w:szCs w:val="24"/>
        </w:rPr>
        <w:t>Intenzifikace zemědělského hospodaření vedla k přímé likvidaci řady stanovišť nebo k jejich degradaci. Druhová různorodost vykazuje v mnoha ukazatelích postupný pokles. Přibližně 45</w:t>
      </w:r>
      <w:r>
        <w:rPr>
          <w:rFonts w:ascii="Times New Roman" w:hAnsi="Times New Roman" w:cs="Times New Roman"/>
          <w:sz w:val="24"/>
          <w:szCs w:val="24"/>
        </w:rPr>
        <w:t> </w:t>
      </w:r>
      <w:r w:rsidRPr="00226C1D">
        <w:rPr>
          <w:rFonts w:ascii="Times New Roman" w:hAnsi="Times New Roman" w:cs="Times New Roman"/>
          <w:sz w:val="24"/>
          <w:szCs w:val="24"/>
        </w:rPr>
        <w:t xml:space="preserve">% druhů vyšších rostlin a 26 % mechorostů se nachází v nějakém stupni ohrožení. Zhruba 30 % ze sledovaných druhů živočichů se nachází v nepříznivém stavu, většinou se jedná o zástupce bezobratlých. Významným problémem je také postupné narušení ekosystémů, kdy významně narůstá </w:t>
      </w:r>
      <w:r>
        <w:rPr>
          <w:rFonts w:ascii="Times New Roman" w:hAnsi="Times New Roman" w:cs="Times New Roman"/>
          <w:sz w:val="24"/>
          <w:szCs w:val="24"/>
        </w:rPr>
        <w:t>neprostupnost</w:t>
      </w:r>
      <w:r w:rsidRPr="00226C1D">
        <w:rPr>
          <w:rFonts w:ascii="Times New Roman" w:hAnsi="Times New Roman" w:cs="Times New Roman"/>
          <w:sz w:val="24"/>
          <w:szCs w:val="24"/>
        </w:rPr>
        <w:t xml:space="preserve"> krajiny. V roce 2010 poklesla rozloha ne</w:t>
      </w:r>
      <w:r>
        <w:rPr>
          <w:rFonts w:ascii="Times New Roman" w:hAnsi="Times New Roman" w:cs="Times New Roman"/>
          <w:sz w:val="24"/>
          <w:szCs w:val="24"/>
        </w:rPr>
        <w:t>prostupné</w:t>
      </w:r>
      <w:r w:rsidRPr="00226C1D">
        <w:rPr>
          <w:rFonts w:ascii="Times New Roman" w:hAnsi="Times New Roman" w:cs="Times New Roman"/>
          <w:sz w:val="24"/>
          <w:szCs w:val="24"/>
        </w:rPr>
        <w:t xml:space="preserve"> krajiny na hodnotu 63 %, zároveň je na vodních tocích evidováno až 6 tisíc příčných překážek, které mohou nepříznivě ovlivňovat vodní ekosystémy. </w:t>
      </w:r>
      <w:r>
        <w:rPr>
          <w:rFonts w:ascii="Times New Roman" w:hAnsi="Times New Roman" w:cs="Times New Roman"/>
          <w:sz w:val="24"/>
          <w:szCs w:val="24"/>
        </w:rPr>
        <w:t xml:space="preserve">Polovina území ČR se nachází </w:t>
      </w:r>
      <w:r w:rsidRPr="007D25EE">
        <w:rPr>
          <w:rFonts w:ascii="Times New Roman" w:hAnsi="Times New Roman" w:cs="Times New Roman"/>
          <w:sz w:val="24"/>
          <w:szCs w:val="24"/>
        </w:rPr>
        <w:t>v přírodně znevýhodněných oblastech</w:t>
      </w:r>
      <w:r>
        <w:rPr>
          <w:rFonts w:ascii="Times New Roman" w:hAnsi="Times New Roman" w:cs="Times New Roman"/>
          <w:sz w:val="24"/>
          <w:szCs w:val="24"/>
        </w:rPr>
        <w:t xml:space="preserve">, kde leží </w:t>
      </w:r>
      <w:r w:rsidRPr="007D25EE">
        <w:rPr>
          <w:rFonts w:ascii="Times New Roman" w:hAnsi="Times New Roman" w:cs="Times New Roman"/>
          <w:sz w:val="24"/>
          <w:szCs w:val="24"/>
        </w:rPr>
        <w:t>90</w:t>
      </w:r>
      <w:r>
        <w:rPr>
          <w:rFonts w:ascii="Times New Roman" w:hAnsi="Times New Roman" w:cs="Times New Roman"/>
          <w:sz w:val="24"/>
          <w:szCs w:val="24"/>
        </w:rPr>
        <w:t xml:space="preserve"> </w:t>
      </w:r>
      <w:r w:rsidRPr="007D25EE">
        <w:rPr>
          <w:rFonts w:ascii="Times New Roman" w:hAnsi="Times New Roman" w:cs="Times New Roman"/>
          <w:sz w:val="24"/>
          <w:szCs w:val="24"/>
        </w:rPr>
        <w:t xml:space="preserve">% plochy trvalých travních porostů. Je nezbytné zajistit pokračování zemědělského hospodaření v těchto oblastech, neboť přírodní a polopřírodní stanoviště na </w:t>
      </w:r>
      <w:r>
        <w:rPr>
          <w:rFonts w:ascii="Times New Roman" w:hAnsi="Times New Roman" w:cs="Times New Roman"/>
          <w:sz w:val="24"/>
          <w:szCs w:val="24"/>
        </w:rPr>
        <w:t>zemědělské půdě</w:t>
      </w:r>
      <w:r w:rsidRPr="007D25EE">
        <w:rPr>
          <w:rFonts w:ascii="Times New Roman" w:hAnsi="Times New Roman" w:cs="Times New Roman"/>
          <w:sz w:val="24"/>
          <w:szCs w:val="24"/>
        </w:rPr>
        <w:t xml:space="preserve"> jsou ohrožena absencí hospodaření a následnou sukcesí.</w:t>
      </w:r>
      <w:r>
        <w:rPr>
          <w:rFonts w:ascii="Times New Roman" w:hAnsi="Times New Roman" w:cs="Times New Roman"/>
          <w:sz w:val="24"/>
          <w:szCs w:val="24"/>
        </w:rPr>
        <w:t xml:space="preserve"> Dalšímu poklesu </w:t>
      </w:r>
      <w:r w:rsidRPr="00B700D7">
        <w:rPr>
          <w:rFonts w:ascii="Times New Roman" w:hAnsi="Times New Roman" w:cs="Times New Roman"/>
          <w:sz w:val="24"/>
          <w:szCs w:val="24"/>
        </w:rPr>
        <w:t xml:space="preserve">druhové početnosti </w:t>
      </w:r>
      <w:r>
        <w:rPr>
          <w:rFonts w:ascii="Times New Roman" w:hAnsi="Times New Roman" w:cs="Times New Roman"/>
          <w:sz w:val="24"/>
          <w:szCs w:val="24"/>
        </w:rPr>
        <w:t>je</w:t>
      </w:r>
      <w:r w:rsidRPr="00B700D7">
        <w:rPr>
          <w:rFonts w:ascii="Times New Roman" w:hAnsi="Times New Roman" w:cs="Times New Roman"/>
          <w:sz w:val="24"/>
          <w:szCs w:val="24"/>
        </w:rPr>
        <w:t xml:space="preserve"> potřeba bránit prostřednictvím zvýšení ekologické stability a pestrosti krajiny a zavádění postupů hospodaření šetrných k životnímu prostředí.</w:t>
      </w:r>
    </w:p>
    <w:p w:rsidR="004F244F" w:rsidRPr="007D25EE" w:rsidRDefault="004F244F" w:rsidP="004F244F">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Neuspokojivý je také stav odolnosti a ochrana lesních porostů. V</w:t>
      </w:r>
      <w:r w:rsidRPr="00930052">
        <w:rPr>
          <w:rFonts w:ascii="Times New Roman" w:hAnsi="Times New Roman" w:cs="Times New Roman"/>
          <w:sz w:val="24"/>
          <w:szCs w:val="24"/>
        </w:rPr>
        <w:t> minulosti provedená přeměna listnatých či smíšených porostů na čistě jehličnaté snížila nejen biodiverzitu lesních ekosystémů</w:t>
      </w:r>
      <w:r>
        <w:rPr>
          <w:rFonts w:ascii="Times New Roman" w:hAnsi="Times New Roman" w:cs="Times New Roman"/>
          <w:sz w:val="24"/>
          <w:szCs w:val="24"/>
        </w:rPr>
        <w:t xml:space="preserve"> (včetně nedostatečného podílu regionálních populací lesních dřevin a nedostatku osiva)</w:t>
      </w:r>
      <w:r w:rsidRPr="00930052">
        <w:rPr>
          <w:rFonts w:ascii="Times New Roman" w:hAnsi="Times New Roman" w:cs="Times New Roman"/>
          <w:sz w:val="24"/>
          <w:szCs w:val="24"/>
        </w:rPr>
        <w:t>, ale také jejich o</w:t>
      </w:r>
      <w:r>
        <w:rPr>
          <w:rFonts w:ascii="Times New Roman" w:hAnsi="Times New Roman" w:cs="Times New Roman"/>
          <w:sz w:val="24"/>
          <w:szCs w:val="24"/>
        </w:rPr>
        <w:t>dolnost vůči extrémním klimatickým situacím.</w:t>
      </w:r>
    </w:p>
    <w:p w:rsidR="00226C1D" w:rsidRPr="000B521F" w:rsidRDefault="00226C1D" w:rsidP="005A5077">
      <w:pPr>
        <w:pStyle w:val="Bezmezer"/>
        <w:jc w:val="both"/>
        <w:rPr>
          <w:rFonts w:ascii="Times New Roman" w:hAnsi="Times New Roman" w:cs="Times New Roman"/>
          <w:sz w:val="24"/>
          <w:szCs w:val="24"/>
        </w:rPr>
      </w:pPr>
      <w:r w:rsidRPr="000B521F">
        <w:rPr>
          <w:rFonts w:ascii="Times New Roman" w:hAnsi="Times New Roman" w:cs="Times New Roman"/>
          <w:i/>
          <w:sz w:val="24"/>
          <w:szCs w:val="24"/>
        </w:rPr>
        <w:t>Potřeby rozvoje:</w:t>
      </w:r>
    </w:p>
    <w:p w:rsidR="008206A4" w:rsidRPr="000B521F" w:rsidRDefault="00226C1D" w:rsidP="005A5077">
      <w:pPr>
        <w:pStyle w:val="Bezmezer"/>
        <w:numPr>
          <w:ilvl w:val="0"/>
          <w:numId w:val="70"/>
        </w:numPr>
        <w:jc w:val="both"/>
        <w:rPr>
          <w:rFonts w:ascii="Times New Roman" w:hAnsi="Times New Roman" w:cs="Times New Roman"/>
          <w:sz w:val="24"/>
          <w:szCs w:val="24"/>
        </w:rPr>
      </w:pPr>
      <w:r w:rsidRPr="000B521F">
        <w:rPr>
          <w:rFonts w:ascii="Times New Roman" w:hAnsi="Times New Roman" w:cs="Times New Roman"/>
          <w:sz w:val="24"/>
          <w:szCs w:val="24"/>
        </w:rPr>
        <w:t>Zachování a obnovení propojenosti a pros</w:t>
      </w:r>
      <w:r w:rsidR="00D446F4">
        <w:rPr>
          <w:rFonts w:ascii="Times New Roman" w:hAnsi="Times New Roman" w:cs="Times New Roman"/>
          <w:sz w:val="24"/>
          <w:szCs w:val="24"/>
        </w:rPr>
        <w:t>tupnosti krajiny a vodních toků.</w:t>
      </w:r>
    </w:p>
    <w:p w:rsidR="008206A4" w:rsidRPr="000B521F" w:rsidRDefault="00226C1D" w:rsidP="005A5077">
      <w:pPr>
        <w:pStyle w:val="Bezmezer"/>
        <w:numPr>
          <w:ilvl w:val="0"/>
          <w:numId w:val="70"/>
        </w:numPr>
        <w:jc w:val="both"/>
        <w:rPr>
          <w:rFonts w:ascii="Times New Roman" w:hAnsi="Times New Roman" w:cs="Times New Roman"/>
          <w:sz w:val="24"/>
          <w:szCs w:val="24"/>
        </w:rPr>
      </w:pPr>
      <w:r w:rsidRPr="000B521F">
        <w:rPr>
          <w:rFonts w:ascii="Times New Roman" w:hAnsi="Times New Roman" w:cs="Times New Roman"/>
          <w:sz w:val="24"/>
          <w:szCs w:val="24"/>
        </w:rPr>
        <w:t>Zvýšení kapacity ekosystémů</w:t>
      </w:r>
      <w:r w:rsidR="00D446F4">
        <w:rPr>
          <w:rFonts w:ascii="Times New Roman" w:hAnsi="Times New Roman" w:cs="Times New Roman"/>
          <w:sz w:val="24"/>
          <w:szCs w:val="24"/>
        </w:rPr>
        <w:t xml:space="preserve"> pro zajištění klíčových služeb.</w:t>
      </w:r>
    </w:p>
    <w:p w:rsidR="008206A4" w:rsidRPr="000B521F" w:rsidRDefault="00226C1D" w:rsidP="005A5077">
      <w:pPr>
        <w:pStyle w:val="Bezmezer"/>
        <w:numPr>
          <w:ilvl w:val="0"/>
          <w:numId w:val="70"/>
        </w:numPr>
        <w:jc w:val="both"/>
        <w:rPr>
          <w:rFonts w:ascii="Times New Roman" w:hAnsi="Times New Roman" w:cs="Times New Roman"/>
          <w:sz w:val="24"/>
          <w:szCs w:val="24"/>
        </w:rPr>
      </w:pPr>
      <w:r w:rsidRPr="000B521F">
        <w:rPr>
          <w:rFonts w:ascii="Times New Roman" w:hAnsi="Times New Roman" w:cs="Times New Roman"/>
          <w:sz w:val="24"/>
          <w:szCs w:val="24"/>
        </w:rPr>
        <w:t>Obnovení zelené infrastruktury včetně ÚSES</w:t>
      </w:r>
      <w:r w:rsidR="00D446F4">
        <w:rPr>
          <w:rFonts w:ascii="Times New Roman" w:hAnsi="Times New Roman" w:cs="Times New Roman"/>
          <w:sz w:val="24"/>
          <w:szCs w:val="24"/>
        </w:rPr>
        <w:t>.</w:t>
      </w:r>
    </w:p>
    <w:p w:rsidR="008206A4" w:rsidRPr="000B521F" w:rsidRDefault="00226C1D" w:rsidP="005A5077">
      <w:pPr>
        <w:pStyle w:val="Bezmezer"/>
        <w:numPr>
          <w:ilvl w:val="0"/>
          <w:numId w:val="70"/>
        </w:numPr>
        <w:jc w:val="both"/>
        <w:rPr>
          <w:rFonts w:ascii="Times New Roman" w:hAnsi="Times New Roman" w:cs="Times New Roman"/>
          <w:sz w:val="24"/>
          <w:szCs w:val="24"/>
        </w:rPr>
      </w:pPr>
      <w:r w:rsidRPr="000B521F">
        <w:rPr>
          <w:rFonts w:ascii="Times New Roman" w:hAnsi="Times New Roman" w:cs="Times New Roman"/>
          <w:sz w:val="24"/>
          <w:szCs w:val="24"/>
        </w:rPr>
        <w:t>Udržení a zvýšení estetické hodnoty krajiny</w:t>
      </w:r>
      <w:r w:rsidR="00D446F4">
        <w:rPr>
          <w:rFonts w:ascii="Times New Roman" w:hAnsi="Times New Roman" w:cs="Times New Roman"/>
          <w:sz w:val="24"/>
          <w:szCs w:val="24"/>
        </w:rPr>
        <w:t>.</w:t>
      </w:r>
    </w:p>
    <w:p w:rsidR="008206A4" w:rsidRPr="000B521F" w:rsidRDefault="00226C1D" w:rsidP="005A5077">
      <w:pPr>
        <w:pStyle w:val="Bezmezer"/>
        <w:numPr>
          <w:ilvl w:val="0"/>
          <w:numId w:val="70"/>
        </w:numPr>
        <w:jc w:val="both"/>
        <w:rPr>
          <w:rFonts w:ascii="Times New Roman" w:hAnsi="Times New Roman" w:cs="Times New Roman"/>
          <w:sz w:val="24"/>
          <w:szCs w:val="24"/>
        </w:rPr>
      </w:pPr>
      <w:r w:rsidRPr="000B521F">
        <w:rPr>
          <w:rFonts w:ascii="Times New Roman" w:hAnsi="Times New Roman" w:cs="Times New Roman"/>
          <w:sz w:val="24"/>
          <w:szCs w:val="24"/>
        </w:rPr>
        <w:t>Posílení zdravotního stavu a odolnosti lesních porostů vůči b</w:t>
      </w:r>
      <w:r w:rsidR="00D446F4">
        <w:rPr>
          <w:rFonts w:ascii="Times New Roman" w:hAnsi="Times New Roman" w:cs="Times New Roman"/>
          <w:sz w:val="24"/>
          <w:szCs w:val="24"/>
        </w:rPr>
        <w:t>iotickým a abiotickým činitelům.</w:t>
      </w:r>
    </w:p>
    <w:p w:rsidR="008206A4" w:rsidRPr="000B521F" w:rsidRDefault="00226C1D" w:rsidP="005A5077">
      <w:pPr>
        <w:pStyle w:val="Bezmezer"/>
        <w:numPr>
          <w:ilvl w:val="0"/>
          <w:numId w:val="70"/>
        </w:numPr>
        <w:jc w:val="both"/>
        <w:rPr>
          <w:rStyle w:val="FontStyle202"/>
          <w:sz w:val="24"/>
          <w:szCs w:val="24"/>
        </w:rPr>
      </w:pPr>
      <w:r w:rsidRPr="000B521F">
        <w:rPr>
          <w:rStyle w:val="FontStyle202"/>
          <w:sz w:val="24"/>
          <w:szCs w:val="24"/>
        </w:rPr>
        <w:t>Zachování, případně zlepšení stavu populací vzácných a ohrožených druhů rostlin a živočichů</w:t>
      </w:r>
      <w:r w:rsidR="00D446F4">
        <w:rPr>
          <w:rStyle w:val="FontStyle202"/>
          <w:sz w:val="24"/>
          <w:szCs w:val="24"/>
        </w:rPr>
        <w:t>.</w:t>
      </w:r>
    </w:p>
    <w:p w:rsidR="008206A4" w:rsidRPr="000B521F" w:rsidRDefault="00226C1D" w:rsidP="005A5077">
      <w:pPr>
        <w:pStyle w:val="Bezmezer"/>
        <w:numPr>
          <w:ilvl w:val="0"/>
          <w:numId w:val="70"/>
        </w:numPr>
        <w:jc w:val="both"/>
        <w:rPr>
          <w:rStyle w:val="FontStyle202"/>
          <w:sz w:val="24"/>
          <w:szCs w:val="24"/>
        </w:rPr>
      </w:pPr>
      <w:r w:rsidRPr="000B521F">
        <w:rPr>
          <w:rStyle w:val="FontStyle202"/>
          <w:sz w:val="24"/>
          <w:szCs w:val="24"/>
        </w:rPr>
        <w:t>Zajištění managementu specifických typů stanovišť rostlin a živočichů</w:t>
      </w:r>
      <w:r w:rsidR="00D446F4">
        <w:rPr>
          <w:rStyle w:val="FontStyle202"/>
          <w:sz w:val="24"/>
          <w:szCs w:val="24"/>
        </w:rPr>
        <w:t>.</w:t>
      </w:r>
    </w:p>
    <w:p w:rsidR="008206A4" w:rsidRDefault="00226C1D" w:rsidP="005A5077">
      <w:pPr>
        <w:pStyle w:val="Bezmezer"/>
        <w:numPr>
          <w:ilvl w:val="0"/>
          <w:numId w:val="70"/>
        </w:numPr>
        <w:jc w:val="both"/>
        <w:rPr>
          <w:rStyle w:val="FontStyle202"/>
          <w:sz w:val="24"/>
          <w:szCs w:val="24"/>
        </w:rPr>
      </w:pPr>
      <w:r w:rsidRPr="000B521F">
        <w:rPr>
          <w:rStyle w:val="FontStyle202"/>
          <w:sz w:val="24"/>
          <w:szCs w:val="24"/>
        </w:rPr>
        <w:t>Zkvalitnění péče o zvláště chráněná území včetně území NATURA 2000</w:t>
      </w:r>
      <w:r w:rsidR="00D446F4">
        <w:rPr>
          <w:rStyle w:val="FontStyle202"/>
          <w:sz w:val="24"/>
          <w:szCs w:val="24"/>
        </w:rPr>
        <w:t>.</w:t>
      </w:r>
    </w:p>
    <w:p w:rsidR="004F244F" w:rsidRDefault="004F244F" w:rsidP="004F244F">
      <w:pPr>
        <w:pStyle w:val="Bezmezer"/>
        <w:numPr>
          <w:ilvl w:val="0"/>
          <w:numId w:val="70"/>
        </w:numPr>
        <w:rPr>
          <w:rStyle w:val="FontStyle202"/>
          <w:sz w:val="24"/>
          <w:szCs w:val="24"/>
        </w:rPr>
      </w:pPr>
      <w:r>
        <w:rPr>
          <w:rStyle w:val="FontStyle202"/>
          <w:sz w:val="24"/>
          <w:szCs w:val="24"/>
        </w:rPr>
        <w:t>Předcházení opouštění zemědělského hospodaření v oblastech s přírodním znevýhodněním</w:t>
      </w:r>
    </w:p>
    <w:p w:rsidR="008206A4" w:rsidRPr="000B521F" w:rsidRDefault="00226C1D" w:rsidP="005A5077">
      <w:pPr>
        <w:pStyle w:val="Bezmezer"/>
        <w:numPr>
          <w:ilvl w:val="0"/>
          <w:numId w:val="70"/>
        </w:numPr>
        <w:jc w:val="both"/>
        <w:rPr>
          <w:rStyle w:val="FontStyle202"/>
          <w:sz w:val="24"/>
          <w:szCs w:val="24"/>
        </w:rPr>
      </w:pPr>
      <w:r w:rsidRPr="000B521F">
        <w:rPr>
          <w:rStyle w:val="FontStyle202"/>
          <w:sz w:val="24"/>
          <w:szCs w:val="24"/>
        </w:rPr>
        <w:t xml:space="preserve">Omezení rozsahu invaze nejvíce problematických druhů </w:t>
      </w:r>
      <w:r w:rsidR="00D446F4">
        <w:rPr>
          <w:rStyle w:val="FontStyle202"/>
          <w:sz w:val="24"/>
          <w:szCs w:val="24"/>
        </w:rPr>
        <w:t>.</w:t>
      </w:r>
    </w:p>
    <w:p w:rsidR="008206A4" w:rsidRPr="000B521F" w:rsidRDefault="00226C1D" w:rsidP="005A5077">
      <w:pPr>
        <w:pStyle w:val="Bezmezer"/>
        <w:numPr>
          <w:ilvl w:val="0"/>
          <w:numId w:val="70"/>
        </w:numPr>
        <w:jc w:val="both"/>
        <w:rPr>
          <w:rFonts w:ascii="Times New Roman" w:hAnsi="Times New Roman" w:cs="Times New Roman"/>
          <w:sz w:val="24"/>
          <w:szCs w:val="24"/>
        </w:rPr>
      </w:pPr>
      <w:r w:rsidRPr="000B521F">
        <w:rPr>
          <w:rFonts w:ascii="Times New Roman" w:hAnsi="Times New Roman" w:cs="Times New Roman"/>
          <w:sz w:val="24"/>
          <w:szCs w:val="24"/>
        </w:rPr>
        <w:t>Vytváření přírodě blízkých vodních prvků</w:t>
      </w:r>
      <w:r w:rsidR="00D446F4">
        <w:rPr>
          <w:rFonts w:ascii="Times New Roman" w:hAnsi="Times New Roman" w:cs="Times New Roman"/>
          <w:sz w:val="24"/>
          <w:szCs w:val="24"/>
        </w:rPr>
        <w:t>.</w:t>
      </w:r>
    </w:p>
    <w:p w:rsidR="008206A4" w:rsidRPr="000B521F" w:rsidRDefault="008206A4" w:rsidP="0059011D">
      <w:pPr>
        <w:spacing w:after="120" w:line="240" w:lineRule="auto"/>
        <w:rPr>
          <w:rStyle w:val="FontStyle202"/>
          <w:sz w:val="24"/>
          <w:szCs w:val="24"/>
        </w:rPr>
      </w:pPr>
    </w:p>
    <w:p w:rsidR="00226C1D" w:rsidRPr="000B521F" w:rsidRDefault="00226C1D" w:rsidP="0059011D">
      <w:pPr>
        <w:spacing w:after="120" w:line="240" w:lineRule="auto"/>
        <w:rPr>
          <w:rFonts w:ascii="Times New Roman" w:hAnsi="Times New Roman" w:cs="Times New Roman"/>
          <w:b/>
          <w:i/>
          <w:sz w:val="24"/>
          <w:szCs w:val="24"/>
        </w:rPr>
      </w:pPr>
      <w:r w:rsidRPr="000B521F">
        <w:rPr>
          <w:rFonts w:ascii="Times New Roman" w:hAnsi="Times New Roman" w:cs="Times New Roman"/>
          <w:b/>
          <w:i/>
          <w:sz w:val="24"/>
          <w:szCs w:val="24"/>
        </w:rPr>
        <w:t>6. Kvalita půdy</w:t>
      </w:r>
    </w:p>
    <w:p w:rsidR="00226C1D" w:rsidRPr="000B521F" w:rsidRDefault="00226C1D"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Díky poklesu zemědělské činnosti se významně snížilo množství látek aplikovaných do půdy, zhoršujícím se problémem je eroze půdy, zejména vodní eroze (erozí je ohrožena </w:t>
      </w:r>
      <w:r w:rsidR="001F3723" w:rsidRPr="000B521F">
        <w:rPr>
          <w:rFonts w:ascii="Times New Roman" w:hAnsi="Times New Roman" w:cs="Times New Roman"/>
          <w:sz w:val="24"/>
          <w:szCs w:val="24"/>
        </w:rPr>
        <w:t>více než</w:t>
      </w:r>
      <w:r w:rsidRPr="000B521F">
        <w:rPr>
          <w:rFonts w:ascii="Times New Roman" w:hAnsi="Times New Roman" w:cs="Times New Roman"/>
          <w:sz w:val="24"/>
          <w:szCs w:val="24"/>
        </w:rPr>
        <w:t xml:space="preserve"> polovina rozlohy zemědělské půdy</w:t>
      </w:r>
      <w:r w:rsidR="001F3723" w:rsidRPr="000B521F">
        <w:rPr>
          <w:rFonts w:ascii="Times New Roman" w:hAnsi="Times New Roman" w:cs="Times New Roman"/>
          <w:sz w:val="24"/>
          <w:szCs w:val="24"/>
        </w:rPr>
        <w:t>)</w:t>
      </w:r>
      <w:r w:rsidRPr="000B521F">
        <w:rPr>
          <w:rFonts w:ascii="Times New Roman" w:hAnsi="Times New Roman" w:cs="Times New Roman"/>
          <w:sz w:val="24"/>
          <w:szCs w:val="24"/>
        </w:rPr>
        <w:t xml:space="preserve">. Roční ztráta půdy je odhadována až na 21 mil. t </w:t>
      </w:r>
      <w:r w:rsidR="005D6CA1" w:rsidRPr="000B521F">
        <w:rPr>
          <w:rFonts w:ascii="Times New Roman" w:hAnsi="Times New Roman" w:cs="Times New Roman"/>
          <w:sz w:val="24"/>
          <w:szCs w:val="24"/>
        </w:rPr>
        <w:t xml:space="preserve">(konzervativní odhady vyčíslují škody na 4,3 mld. Kč ročně). Aktuálně je však prostřednictvím ploch mírně erozně ohrožených (MEO) a silně erozně ohrožených (SEO) chráněno </w:t>
      </w:r>
      <w:r w:rsidR="005D6CA1" w:rsidRPr="000B521F">
        <w:rPr>
          <w:rFonts w:ascii="Times New Roman" w:hAnsi="Times New Roman" w:cs="Times New Roman"/>
          <w:b/>
          <w:bCs/>
          <w:sz w:val="24"/>
          <w:szCs w:val="24"/>
        </w:rPr>
        <w:t>10,57 %</w:t>
      </w:r>
      <w:r w:rsidR="005D6CA1" w:rsidRPr="000B521F">
        <w:rPr>
          <w:rFonts w:ascii="Times New Roman" w:hAnsi="Times New Roman" w:cs="Times New Roman"/>
          <w:sz w:val="24"/>
          <w:szCs w:val="24"/>
        </w:rPr>
        <w:t xml:space="preserve"> výměry orné půdy (</w:t>
      </w:r>
      <w:r w:rsidR="005D6CA1" w:rsidRPr="000B521F">
        <w:rPr>
          <w:rFonts w:ascii="Times New Roman" w:hAnsi="Times New Roman" w:cs="Times New Roman"/>
          <w:b/>
          <w:bCs/>
          <w:sz w:val="24"/>
          <w:szCs w:val="24"/>
        </w:rPr>
        <w:t>0,43 % SEO</w:t>
      </w:r>
      <w:r w:rsidR="005D6CA1" w:rsidRPr="000B521F">
        <w:rPr>
          <w:rFonts w:ascii="Times New Roman" w:hAnsi="Times New Roman" w:cs="Times New Roman"/>
          <w:sz w:val="24"/>
          <w:szCs w:val="24"/>
        </w:rPr>
        <w:t xml:space="preserve"> a </w:t>
      </w:r>
      <w:r w:rsidR="005D6CA1" w:rsidRPr="000B521F">
        <w:rPr>
          <w:rFonts w:ascii="Times New Roman" w:hAnsi="Times New Roman" w:cs="Times New Roman"/>
          <w:b/>
          <w:bCs/>
          <w:sz w:val="24"/>
          <w:szCs w:val="24"/>
        </w:rPr>
        <w:t>10,14 % MEO</w:t>
      </w:r>
      <w:r w:rsidR="005D6CA1" w:rsidRPr="000B521F">
        <w:rPr>
          <w:rFonts w:ascii="Times New Roman" w:hAnsi="Times New Roman" w:cs="Times New Roman"/>
          <w:sz w:val="24"/>
          <w:szCs w:val="24"/>
        </w:rPr>
        <w:t>). Půdy jsou ohroženy acidifikací, dehumifikací a utužením. Hlavními příčinami jsou především odstranění krajinných prvků, nevhodná organizace a způsoby hospodaření a volba plodin na orné půdě.</w:t>
      </w:r>
      <w:r w:rsidRPr="000B521F">
        <w:rPr>
          <w:rFonts w:ascii="Times New Roman" w:hAnsi="Times New Roman" w:cs="Times New Roman"/>
          <w:sz w:val="24"/>
          <w:szCs w:val="24"/>
        </w:rPr>
        <w:t>V roce 2012 bylo téměř 12 % z celkové výměry zemědělské půdy obhospodařováno ekologicky,  stále však není naplněn potenciál, který ekologické zemědělství obecně poskytuje. Územně  ohraničeným problémem je v řadě regionů existence starých ekologických zátěží, kterých je v ČR díky 1. etapě Národní inventarizace kontaminovaných míst zjištěno více než 3 700. Řada z nich může znamenat významné riziko pro lidské zdraví.</w:t>
      </w:r>
    </w:p>
    <w:p w:rsidR="00226C1D" w:rsidRPr="000B521F" w:rsidRDefault="00226C1D" w:rsidP="005A5077">
      <w:pPr>
        <w:pStyle w:val="Bezmezer"/>
        <w:jc w:val="both"/>
        <w:rPr>
          <w:rFonts w:ascii="Times New Roman" w:hAnsi="Times New Roman" w:cs="Times New Roman"/>
          <w:sz w:val="24"/>
          <w:szCs w:val="24"/>
        </w:rPr>
      </w:pPr>
      <w:r w:rsidRPr="000B521F">
        <w:rPr>
          <w:rFonts w:ascii="Times New Roman" w:hAnsi="Times New Roman" w:cs="Times New Roman"/>
          <w:i/>
          <w:sz w:val="24"/>
          <w:szCs w:val="24"/>
        </w:rPr>
        <w:t>Potřeby rozvoje:</w:t>
      </w:r>
    </w:p>
    <w:p w:rsidR="008206A4" w:rsidRDefault="00226C1D" w:rsidP="005A5077">
      <w:pPr>
        <w:pStyle w:val="Bezmezer"/>
        <w:numPr>
          <w:ilvl w:val="0"/>
          <w:numId w:val="71"/>
        </w:numPr>
        <w:jc w:val="both"/>
        <w:rPr>
          <w:rFonts w:ascii="Times New Roman" w:hAnsi="Times New Roman" w:cs="Times New Roman"/>
          <w:sz w:val="24"/>
          <w:szCs w:val="24"/>
        </w:rPr>
      </w:pPr>
      <w:r w:rsidRPr="000B521F">
        <w:rPr>
          <w:rFonts w:ascii="Times New Roman" w:hAnsi="Times New Roman" w:cs="Times New Roman"/>
          <w:sz w:val="24"/>
          <w:szCs w:val="24"/>
        </w:rPr>
        <w:t>Efektivní ochrana půdy před erozí</w:t>
      </w:r>
      <w:r w:rsidR="00D446F4">
        <w:rPr>
          <w:rFonts w:ascii="Times New Roman" w:hAnsi="Times New Roman" w:cs="Times New Roman"/>
          <w:sz w:val="24"/>
          <w:szCs w:val="24"/>
        </w:rPr>
        <w:t>.</w:t>
      </w:r>
    </w:p>
    <w:p w:rsidR="00F3719F" w:rsidRPr="00E37E1C" w:rsidRDefault="004F244F" w:rsidP="00E37E1C">
      <w:pPr>
        <w:pStyle w:val="Bezmezer"/>
        <w:numPr>
          <w:ilvl w:val="0"/>
          <w:numId w:val="71"/>
        </w:numPr>
        <w:rPr>
          <w:rFonts w:ascii="Times New Roman" w:hAnsi="Times New Roman" w:cs="Times New Roman"/>
          <w:sz w:val="24"/>
          <w:szCs w:val="24"/>
        </w:rPr>
      </w:pPr>
      <w:r>
        <w:rPr>
          <w:rFonts w:ascii="Times New Roman" w:hAnsi="Times New Roman" w:cs="Times New Roman"/>
          <w:sz w:val="24"/>
          <w:szCs w:val="24"/>
        </w:rPr>
        <w:t>Posílení retenční schopnosti krajiny vhodným hospodařením se zemědělskou a lesní půdou</w:t>
      </w:r>
    </w:p>
    <w:p w:rsidR="008206A4" w:rsidRPr="000B521F" w:rsidRDefault="00226C1D" w:rsidP="005A5077">
      <w:pPr>
        <w:pStyle w:val="Bezmezer"/>
        <w:numPr>
          <w:ilvl w:val="0"/>
          <w:numId w:val="71"/>
        </w:numPr>
        <w:jc w:val="both"/>
        <w:rPr>
          <w:rFonts w:ascii="Times New Roman" w:hAnsi="Times New Roman" w:cs="Times New Roman"/>
          <w:sz w:val="24"/>
          <w:szCs w:val="24"/>
        </w:rPr>
      </w:pPr>
      <w:r w:rsidRPr="000B521F">
        <w:rPr>
          <w:rFonts w:ascii="Times New Roman" w:hAnsi="Times New Roman" w:cs="Times New Roman"/>
          <w:sz w:val="24"/>
          <w:szCs w:val="24"/>
        </w:rPr>
        <w:t>Odstraňov</w:t>
      </w:r>
      <w:r w:rsidR="00D446F4">
        <w:rPr>
          <w:rFonts w:ascii="Times New Roman" w:hAnsi="Times New Roman" w:cs="Times New Roman"/>
          <w:sz w:val="24"/>
          <w:szCs w:val="24"/>
        </w:rPr>
        <w:t>ání starých ekologických zátěží.</w:t>
      </w:r>
    </w:p>
    <w:p w:rsidR="008206A4" w:rsidRPr="000B521F" w:rsidRDefault="00226C1D" w:rsidP="005A5077">
      <w:pPr>
        <w:pStyle w:val="Bezmezer"/>
        <w:numPr>
          <w:ilvl w:val="0"/>
          <w:numId w:val="71"/>
        </w:numPr>
        <w:jc w:val="both"/>
        <w:rPr>
          <w:rFonts w:ascii="Times New Roman" w:hAnsi="Times New Roman" w:cs="Times New Roman"/>
          <w:sz w:val="24"/>
          <w:szCs w:val="24"/>
        </w:rPr>
      </w:pPr>
      <w:r w:rsidRPr="000B521F">
        <w:rPr>
          <w:rFonts w:ascii="Times New Roman" w:hAnsi="Times New Roman" w:cs="Times New Roman"/>
          <w:sz w:val="24"/>
          <w:szCs w:val="24"/>
        </w:rPr>
        <w:t>Podpora regenerace brownfieldů</w:t>
      </w:r>
      <w:r w:rsidR="00D446F4">
        <w:rPr>
          <w:rFonts w:ascii="Times New Roman" w:hAnsi="Times New Roman" w:cs="Times New Roman"/>
          <w:sz w:val="24"/>
          <w:szCs w:val="24"/>
        </w:rPr>
        <w:t>.</w:t>
      </w:r>
    </w:p>
    <w:p w:rsidR="008206A4" w:rsidRPr="000B521F" w:rsidRDefault="008206A4" w:rsidP="0059011D">
      <w:pPr>
        <w:pStyle w:val="Bezmezer"/>
        <w:rPr>
          <w:rFonts w:ascii="Times New Roman" w:hAnsi="Times New Roman" w:cs="Times New Roman"/>
          <w:sz w:val="24"/>
          <w:szCs w:val="24"/>
        </w:rPr>
      </w:pPr>
    </w:p>
    <w:p w:rsidR="00A41CA8" w:rsidRPr="000B521F" w:rsidRDefault="00D97195" w:rsidP="0059011D">
      <w:pPr>
        <w:spacing w:after="120" w:line="240" w:lineRule="auto"/>
        <w:jc w:val="both"/>
        <w:rPr>
          <w:rFonts w:ascii="Times New Roman" w:hAnsi="Times New Roman" w:cs="Times New Roman"/>
          <w:b/>
          <w:i/>
          <w:sz w:val="24"/>
          <w:szCs w:val="24"/>
        </w:rPr>
      </w:pPr>
      <w:r w:rsidRPr="000B521F">
        <w:rPr>
          <w:rFonts w:ascii="Times New Roman" w:hAnsi="Times New Roman" w:cs="Times New Roman"/>
          <w:b/>
          <w:i/>
          <w:sz w:val="24"/>
          <w:szCs w:val="24"/>
        </w:rPr>
        <w:t>7. Nedostatečné využití potenciálu cestovního ruchu</w:t>
      </w:r>
    </w:p>
    <w:p w:rsidR="00D97195" w:rsidRPr="000B521F" w:rsidRDefault="00D97195" w:rsidP="0059011D">
      <w:p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K rozvoji cestovního ruchu je potřeba přistupovat diferencovaně s ohledem na specifika a potřeby daného území. Provázaný produkt cestovního ruchu, vyžaduje spolupráci mnoha subjektů a proto je zejména na úrovni jednotlivých destinací nutný integrovaný přístup k rozvoji a důsledné uplatňování principů destinačního marketingu a managementu.</w:t>
      </w:r>
    </w:p>
    <w:p w:rsidR="00D97195" w:rsidRPr="000B521F" w:rsidRDefault="00D97195" w:rsidP="0059011D">
      <w:pPr>
        <w:spacing w:after="120" w:line="240" w:lineRule="auto"/>
        <w:jc w:val="both"/>
        <w:rPr>
          <w:rFonts w:ascii="Times New Roman" w:hAnsi="Times New Roman" w:cs="Times New Roman"/>
          <w:i/>
          <w:sz w:val="24"/>
          <w:szCs w:val="24"/>
        </w:rPr>
      </w:pPr>
      <w:r w:rsidRPr="000B521F">
        <w:rPr>
          <w:rFonts w:ascii="Times New Roman" w:hAnsi="Times New Roman" w:cs="Times New Roman"/>
          <w:i/>
          <w:sz w:val="24"/>
          <w:szCs w:val="24"/>
        </w:rPr>
        <w:t>Potřeba rozvoje:</w:t>
      </w:r>
    </w:p>
    <w:p w:rsidR="00D97195" w:rsidRPr="000B521F" w:rsidRDefault="00D97195" w:rsidP="0059011D">
      <w:pPr>
        <w:pStyle w:val="Bezmezer"/>
        <w:numPr>
          <w:ilvl w:val="0"/>
          <w:numId w:val="71"/>
        </w:numPr>
        <w:rPr>
          <w:rFonts w:ascii="Times New Roman" w:hAnsi="Times New Roman" w:cs="Times New Roman"/>
          <w:sz w:val="24"/>
          <w:szCs w:val="24"/>
        </w:rPr>
      </w:pPr>
      <w:r w:rsidRPr="000B521F">
        <w:rPr>
          <w:rFonts w:ascii="Times New Roman" w:hAnsi="Times New Roman" w:cs="Times New Roman"/>
          <w:sz w:val="24"/>
          <w:szCs w:val="24"/>
        </w:rPr>
        <w:lastRenderedPageBreak/>
        <w:t>Investice do veřejné infrastruktury (včetně významných liniových staveb), zefektivnění prezentace posílení ochrany a rozvoje kulturního dědictví a přírodního bohatství.</w:t>
      </w:r>
    </w:p>
    <w:p w:rsidR="00CC51BB" w:rsidRPr="000B521F" w:rsidRDefault="00CC51BB" w:rsidP="005B6699">
      <w:pPr>
        <w:pStyle w:val="DAVA"/>
        <w:spacing w:before="240" w:after="120"/>
        <w:rPr>
          <w:rFonts w:ascii="Times New Roman" w:hAnsi="Times New Roman"/>
          <w:b/>
          <w:szCs w:val="24"/>
        </w:rPr>
      </w:pPr>
      <w:r w:rsidRPr="000B521F">
        <w:rPr>
          <w:rFonts w:ascii="Times New Roman" w:hAnsi="Times New Roman"/>
          <w:b/>
          <w:szCs w:val="24"/>
        </w:rPr>
        <w:t>Specifické potřeby a výzvy městského a venkovského prostoru a přeshraničních regionů</w:t>
      </w:r>
    </w:p>
    <w:p w:rsidR="008206A4" w:rsidRPr="000B521F" w:rsidRDefault="00D446F4" w:rsidP="005B6699">
      <w:pPr>
        <w:pStyle w:val="Odstavecseseznamem"/>
        <w:numPr>
          <w:ilvl w:val="0"/>
          <w:numId w:val="93"/>
        </w:numPr>
        <w:spacing w:after="12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V</w:t>
      </w:r>
      <w:r w:rsidR="00CC51BB" w:rsidRPr="000B521F">
        <w:rPr>
          <w:rFonts w:ascii="Times New Roman" w:hAnsi="Times New Roman" w:cs="Times New Roman"/>
          <w:sz w:val="24"/>
          <w:szCs w:val="24"/>
        </w:rPr>
        <w:t xml:space="preserve">e velkých a středně velkých městech </w:t>
      </w:r>
      <w:r w:rsidR="00131E00" w:rsidRPr="000B521F">
        <w:rPr>
          <w:rFonts w:ascii="Times New Roman" w:hAnsi="Times New Roman" w:cs="Times New Roman"/>
          <w:sz w:val="24"/>
          <w:szCs w:val="24"/>
        </w:rPr>
        <w:t xml:space="preserve">a jejich suburbanizovaném okolí </w:t>
      </w:r>
      <w:r w:rsidR="00CC51BB" w:rsidRPr="000B521F">
        <w:rPr>
          <w:rFonts w:ascii="Times New Roman" w:hAnsi="Times New Roman" w:cs="Times New Roman"/>
          <w:sz w:val="24"/>
          <w:szCs w:val="24"/>
        </w:rPr>
        <w:t>dochází ke znečištění ovzduší zejména v důsledku dopravy a velkých především průmyslových znečišťovatelů, dalším problémem souvisejícím s dopravou je zvýšená hladina hluku</w:t>
      </w:r>
      <w:r>
        <w:rPr>
          <w:rFonts w:ascii="Times New Roman" w:hAnsi="Times New Roman" w:cs="Times New Roman"/>
          <w:sz w:val="24"/>
          <w:szCs w:val="24"/>
        </w:rPr>
        <w:t>.</w:t>
      </w:r>
    </w:p>
    <w:p w:rsidR="008206A4" w:rsidRPr="000B521F" w:rsidRDefault="00D446F4" w:rsidP="005B6699">
      <w:pPr>
        <w:pStyle w:val="Odstavecseseznamem"/>
        <w:numPr>
          <w:ilvl w:val="0"/>
          <w:numId w:val="93"/>
        </w:numPr>
        <w:spacing w:after="12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V</w:t>
      </w:r>
      <w:r w:rsidR="00CC51BB" w:rsidRPr="000B521F">
        <w:rPr>
          <w:rFonts w:ascii="Times New Roman" w:hAnsi="Times New Roman" w:cs="Times New Roman"/>
          <w:sz w:val="24"/>
          <w:szCs w:val="24"/>
        </w:rPr>
        <w:t>e venkovském prostoru je kvalita životní prostředí ovlivněna velkým počtem malých zdrojů znečištění</w:t>
      </w:r>
      <w:r>
        <w:rPr>
          <w:rFonts w:ascii="Times New Roman" w:hAnsi="Times New Roman" w:cs="Times New Roman"/>
          <w:sz w:val="24"/>
          <w:szCs w:val="24"/>
        </w:rPr>
        <w:t>.</w:t>
      </w:r>
    </w:p>
    <w:p w:rsidR="008206A4" w:rsidRPr="000B521F" w:rsidRDefault="00D446F4" w:rsidP="005B6699">
      <w:pPr>
        <w:pStyle w:val="Odstavecseseznamem"/>
        <w:numPr>
          <w:ilvl w:val="0"/>
          <w:numId w:val="93"/>
        </w:numPr>
        <w:spacing w:after="120" w:line="240" w:lineRule="auto"/>
        <w:ind w:left="714" w:hanging="357"/>
        <w:jc w:val="both"/>
        <w:rPr>
          <w:rFonts w:ascii="Times New Roman" w:hAnsi="Times New Roman" w:cs="Times New Roman"/>
          <w:sz w:val="24"/>
          <w:szCs w:val="24"/>
        </w:rPr>
      </w:pPr>
      <w:r>
        <w:rPr>
          <w:rFonts w:ascii="Times New Roman" w:hAnsi="Times New Roman" w:cs="Times New Roman"/>
          <w:sz w:val="24"/>
          <w:szCs w:val="24"/>
        </w:rPr>
        <w:t>S</w:t>
      </w:r>
      <w:r w:rsidR="00CC51BB" w:rsidRPr="000B521F">
        <w:rPr>
          <w:rFonts w:ascii="Times New Roman" w:hAnsi="Times New Roman" w:cs="Times New Roman"/>
          <w:sz w:val="24"/>
          <w:szCs w:val="24"/>
        </w:rPr>
        <w:t>polečným problémem městského a venkovského prostoru je existence brownfieldů a starých ekologických zátěží</w:t>
      </w:r>
      <w:r>
        <w:rPr>
          <w:rFonts w:ascii="Times New Roman" w:hAnsi="Times New Roman" w:cs="Times New Roman"/>
          <w:sz w:val="24"/>
          <w:szCs w:val="24"/>
        </w:rPr>
        <w:t>.</w:t>
      </w:r>
    </w:p>
    <w:p w:rsidR="008206A4" w:rsidRPr="000B521F" w:rsidRDefault="00D446F4" w:rsidP="005B6699">
      <w:pPr>
        <w:pStyle w:val="Odstavecseseznamem"/>
        <w:numPr>
          <w:ilvl w:val="0"/>
          <w:numId w:val="93"/>
        </w:numPr>
        <w:spacing w:after="120" w:line="240" w:lineRule="auto"/>
        <w:ind w:left="714" w:hanging="357"/>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H</w:t>
      </w:r>
      <w:r w:rsidR="00CC51BB" w:rsidRPr="000B521F">
        <w:rPr>
          <w:rFonts w:ascii="Times New Roman" w:eastAsia="Times New Roman" w:hAnsi="Times New Roman" w:cs="Times New Roman"/>
          <w:sz w:val="24"/>
          <w:szCs w:val="24"/>
          <w:lang w:eastAsia="cs-CZ"/>
        </w:rPr>
        <w:t>ledat přeshraniční řešení problémů</w:t>
      </w:r>
      <w:r w:rsidR="00CC51BB" w:rsidRPr="000B521F">
        <w:rPr>
          <w:rFonts w:ascii="Times New Roman" w:hAnsi="Times New Roman" w:cs="Times New Roman"/>
          <w:sz w:val="24"/>
          <w:szCs w:val="24"/>
        </w:rPr>
        <w:t xml:space="preserve"> vyskytujících se na obou stranách hranice </w:t>
      </w:r>
      <w:r w:rsidR="00CC51BB" w:rsidRPr="000B521F">
        <w:rPr>
          <w:rFonts w:ascii="Times New Roman" w:eastAsia="Times New Roman" w:hAnsi="Times New Roman" w:cs="Times New Roman"/>
          <w:sz w:val="24"/>
          <w:szCs w:val="24"/>
          <w:lang w:eastAsia="cs-CZ"/>
        </w:rPr>
        <w:t>(</w:t>
      </w:r>
      <w:r w:rsidR="00CC51BB" w:rsidRPr="000B521F">
        <w:rPr>
          <w:rFonts w:ascii="Times New Roman" w:hAnsi="Times New Roman" w:cs="Times New Roman"/>
          <w:sz w:val="24"/>
          <w:szCs w:val="24"/>
        </w:rPr>
        <w:t xml:space="preserve">např. </w:t>
      </w:r>
      <w:r w:rsidR="00CC51BB" w:rsidRPr="000B521F">
        <w:rPr>
          <w:rFonts w:ascii="Times New Roman" w:eastAsia="Times New Roman" w:hAnsi="Times New Roman" w:cs="Times New Roman"/>
          <w:sz w:val="24"/>
          <w:szCs w:val="24"/>
          <w:lang w:eastAsia="cs-CZ"/>
        </w:rPr>
        <w:t xml:space="preserve">ochrana krajiny či zvyšování biodiverzity), tak i </w:t>
      </w:r>
      <w:r w:rsidR="00CC51BB" w:rsidRPr="000B521F">
        <w:rPr>
          <w:rFonts w:ascii="Times New Roman" w:hAnsi="Times New Roman" w:cs="Times New Roman"/>
          <w:sz w:val="24"/>
          <w:szCs w:val="24"/>
        </w:rPr>
        <w:t xml:space="preserve">využít </w:t>
      </w:r>
      <w:r w:rsidR="00CC51BB" w:rsidRPr="000B521F">
        <w:rPr>
          <w:rFonts w:ascii="Times New Roman" w:eastAsia="Times New Roman" w:hAnsi="Times New Roman" w:cs="Times New Roman"/>
          <w:sz w:val="24"/>
          <w:szCs w:val="24"/>
          <w:lang w:eastAsia="cs-CZ"/>
        </w:rPr>
        <w:t xml:space="preserve">potenciálů, které sdílí přeshraniční regiony ČR se svými protějšky </w:t>
      </w:r>
      <w:r w:rsidR="00CC51BB" w:rsidRPr="000B521F">
        <w:rPr>
          <w:rFonts w:ascii="Times New Roman" w:hAnsi="Times New Roman" w:cs="Times New Roman"/>
          <w:sz w:val="24"/>
          <w:szCs w:val="24"/>
        </w:rPr>
        <w:t>–</w:t>
      </w:r>
      <w:r w:rsidR="00CC51BB" w:rsidRPr="000B521F">
        <w:rPr>
          <w:rFonts w:ascii="Times New Roman" w:eastAsia="Times New Roman" w:hAnsi="Times New Roman" w:cs="Times New Roman"/>
          <w:sz w:val="24"/>
          <w:szCs w:val="24"/>
          <w:lang w:eastAsia="cs-CZ"/>
        </w:rPr>
        <w:t xml:space="preserve"> </w:t>
      </w:r>
      <w:r w:rsidR="00CC51BB" w:rsidRPr="000B521F">
        <w:rPr>
          <w:rFonts w:ascii="Times New Roman" w:hAnsi="Times New Roman" w:cs="Times New Roman"/>
          <w:sz w:val="24"/>
          <w:szCs w:val="24"/>
        </w:rPr>
        <w:t xml:space="preserve">např. </w:t>
      </w:r>
      <w:r w:rsidR="00CC51BB" w:rsidRPr="000B521F">
        <w:rPr>
          <w:rFonts w:ascii="Times New Roman" w:eastAsia="Times New Roman" w:hAnsi="Times New Roman" w:cs="Times New Roman"/>
          <w:sz w:val="24"/>
          <w:szCs w:val="24"/>
          <w:lang w:eastAsia="cs-CZ"/>
        </w:rPr>
        <w:t>společné přístupy v ochraně přírodního a kulturního dědictví</w:t>
      </w:r>
      <w:r>
        <w:rPr>
          <w:rFonts w:ascii="Times New Roman" w:eastAsia="Times New Roman" w:hAnsi="Times New Roman" w:cs="Times New Roman"/>
          <w:sz w:val="24"/>
          <w:szCs w:val="24"/>
          <w:lang w:eastAsia="cs-CZ"/>
        </w:rPr>
        <w:t>.</w:t>
      </w:r>
      <w:r w:rsidR="00CC51BB" w:rsidRPr="000B521F">
        <w:rPr>
          <w:rFonts w:ascii="Times New Roman" w:eastAsia="Times New Roman" w:hAnsi="Times New Roman" w:cs="Times New Roman"/>
          <w:sz w:val="24"/>
          <w:szCs w:val="24"/>
          <w:lang w:eastAsia="cs-CZ"/>
        </w:rPr>
        <w:t xml:space="preserve"> </w:t>
      </w:r>
    </w:p>
    <w:p w:rsidR="008206A4" w:rsidRPr="000B521F" w:rsidRDefault="00D446F4" w:rsidP="005B6699">
      <w:pPr>
        <w:pStyle w:val="Odstavecseseznamem"/>
        <w:numPr>
          <w:ilvl w:val="0"/>
          <w:numId w:val="93"/>
        </w:numPr>
        <w:spacing w:after="120" w:line="240" w:lineRule="auto"/>
        <w:ind w:left="714" w:hanging="357"/>
        <w:jc w:val="both"/>
        <w:rPr>
          <w:rFonts w:ascii="Times New Roman" w:eastAsia="Times New Roman" w:hAnsi="Times New Roman" w:cs="Times New Roman"/>
          <w:sz w:val="24"/>
          <w:szCs w:val="24"/>
          <w:lang w:eastAsia="cs-CZ"/>
        </w:rPr>
      </w:pPr>
      <w:r>
        <w:rPr>
          <w:rFonts w:ascii="Times New Roman" w:hAnsi="Times New Roman" w:cs="Times New Roman"/>
          <w:sz w:val="24"/>
          <w:szCs w:val="24"/>
        </w:rPr>
        <w:t>V</w:t>
      </w:r>
      <w:r w:rsidR="00CC51BB" w:rsidRPr="000B521F">
        <w:rPr>
          <w:rFonts w:ascii="Times New Roman" w:eastAsia="Times New Roman" w:hAnsi="Times New Roman" w:cs="Times New Roman"/>
          <w:sz w:val="24"/>
          <w:szCs w:val="24"/>
          <w:lang w:eastAsia="cs-CZ"/>
        </w:rPr>
        <w:t> části pohraničí</w:t>
      </w:r>
      <w:r w:rsidR="00CC51BB" w:rsidRPr="000B521F">
        <w:rPr>
          <w:rFonts w:ascii="Times New Roman" w:hAnsi="Times New Roman" w:cs="Times New Roman"/>
          <w:sz w:val="24"/>
          <w:szCs w:val="24"/>
        </w:rPr>
        <w:t xml:space="preserve"> ČR</w:t>
      </w:r>
      <w:r w:rsidR="00CC51BB" w:rsidRPr="000B521F">
        <w:rPr>
          <w:rFonts w:ascii="Times New Roman" w:eastAsia="Times New Roman" w:hAnsi="Times New Roman" w:cs="Times New Roman"/>
          <w:sz w:val="24"/>
          <w:szCs w:val="24"/>
          <w:lang w:eastAsia="cs-CZ"/>
        </w:rPr>
        <w:t xml:space="preserve"> existuje i potenciál pro rozvoj ekoinovací jako prostředku zefektivňování přístupu k životnímu prostředí a jeho ochraně </w:t>
      </w:r>
      <w:r w:rsidR="00CC51BB" w:rsidRPr="000B521F">
        <w:rPr>
          <w:rFonts w:ascii="Times New Roman" w:hAnsi="Times New Roman" w:cs="Times New Roman"/>
          <w:sz w:val="24"/>
          <w:szCs w:val="24"/>
        </w:rPr>
        <w:t xml:space="preserve">na straně jedné </w:t>
      </w:r>
      <w:r w:rsidR="00CC51BB" w:rsidRPr="000B521F">
        <w:rPr>
          <w:rFonts w:ascii="Times New Roman" w:eastAsia="Times New Roman" w:hAnsi="Times New Roman" w:cs="Times New Roman"/>
          <w:sz w:val="24"/>
          <w:szCs w:val="24"/>
          <w:lang w:eastAsia="cs-CZ"/>
        </w:rPr>
        <w:t xml:space="preserve">a na straně druhé prostředku skýtajícího potenciál dalšího ekonomického rozvoje. </w:t>
      </w:r>
    </w:p>
    <w:p w:rsidR="00226C1D" w:rsidRPr="000B521F" w:rsidRDefault="00226C1D" w:rsidP="0059011D">
      <w:pPr>
        <w:pStyle w:val="Tabulka"/>
        <w:spacing w:before="120" w:after="60"/>
        <w:rPr>
          <w:szCs w:val="20"/>
        </w:rPr>
      </w:pPr>
      <w:r w:rsidRPr="000B521F">
        <w:rPr>
          <w:szCs w:val="20"/>
        </w:rPr>
        <w:t>Vazba na dokumenty EU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117"/>
      </w:tblGrid>
      <w:tr w:rsidR="00226C1D" w:rsidRPr="000B521F" w:rsidTr="00761093">
        <w:trPr>
          <w:trHeight w:val="765"/>
        </w:trPr>
        <w:tc>
          <w:tcPr>
            <w:tcW w:w="1985"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226C1D" w:rsidRPr="000B521F" w:rsidRDefault="00226C1D"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Strategie Evropa 2020</w:t>
            </w:r>
          </w:p>
        </w:tc>
        <w:tc>
          <w:tcPr>
            <w:tcW w:w="7117" w:type="dxa"/>
            <w:tcBorders>
              <w:top w:val="single" w:sz="4" w:space="0" w:color="000000"/>
              <w:left w:val="single" w:sz="4" w:space="0" w:color="000000"/>
              <w:bottom w:val="single" w:sz="4" w:space="0" w:color="000000"/>
              <w:right w:val="single" w:sz="4" w:space="0" w:color="000000"/>
            </w:tcBorders>
            <w:vAlign w:val="center"/>
            <w:hideMark/>
          </w:tcPr>
          <w:p w:rsidR="00226C1D" w:rsidRPr="000B521F" w:rsidRDefault="00226C1D" w:rsidP="0059011D">
            <w:pPr>
              <w:pStyle w:val="DAVA"/>
              <w:spacing w:before="60" w:after="60"/>
              <w:rPr>
                <w:rFonts w:ascii="Times New Roman" w:hAnsi="Times New Roman"/>
                <w:sz w:val="20"/>
                <w:szCs w:val="20"/>
              </w:rPr>
            </w:pPr>
            <w:r w:rsidRPr="000B521F">
              <w:rPr>
                <w:rFonts w:ascii="Times New Roman" w:hAnsi="Times New Roman"/>
                <w:sz w:val="20"/>
                <w:szCs w:val="20"/>
              </w:rPr>
              <w:t>3. Snížit emise skleníkových plynů oproti úrovním roku 1990 nejméně o 20% nebo, pokud budou podmínky příznivé, o 30%; zvýšit podíl obnovitelných zdrojů energie v konečné spotřebě energie na 20% a zvýšit energetickou účinnost o 20%. Iniciativa „Evropa méně náročná na zdroje“ (částečně iniciativy „Průmyslová politika pro svět globalizace“ a „Unie inovací“). Integrovaný hlavní směr 5 „Zefektivnit využívání zdrojů a snížit emise skleníkových plynů“</w:t>
            </w:r>
            <w:r w:rsidR="00D446F4">
              <w:rPr>
                <w:rFonts w:ascii="Times New Roman" w:hAnsi="Times New Roman"/>
                <w:sz w:val="20"/>
                <w:szCs w:val="20"/>
              </w:rPr>
              <w:t>.</w:t>
            </w:r>
            <w:r w:rsidRPr="000B521F">
              <w:rPr>
                <w:rFonts w:ascii="Times New Roman" w:hAnsi="Times New Roman"/>
                <w:sz w:val="20"/>
                <w:szCs w:val="20"/>
              </w:rPr>
              <w:t xml:space="preserve"> </w:t>
            </w:r>
          </w:p>
        </w:tc>
      </w:tr>
      <w:tr w:rsidR="00226C1D" w:rsidRPr="000B521F" w:rsidTr="00761093">
        <w:trPr>
          <w:trHeight w:val="407"/>
        </w:trPr>
        <w:tc>
          <w:tcPr>
            <w:tcW w:w="1985"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226C1D" w:rsidRPr="000B521F" w:rsidRDefault="00226C1D"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Společný strategický rámec</w:t>
            </w:r>
          </w:p>
        </w:tc>
        <w:tc>
          <w:tcPr>
            <w:tcW w:w="7117" w:type="dxa"/>
            <w:tcBorders>
              <w:top w:val="single" w:sz="4" w:space="0" w:color="000000"/>
              <w:left w:val="single" w:sz="4" w:space="0" w:color="000000"/>
              <w:bottom w:val="single" w:sz="4" w:space="0" w:color="000000"/>
              <w:right w:val="single" w:sz="4" w:space="0" w:color="000000"/>
            </w:tcBorders>
            <w:vAlign w:val="center"/>
            <w:hideMark/>
          </w:tcPr>
          <w:p w:rsidR="00226C1D" w:rsidRPr="000B521F" w:rsidRDefault="00226C1D" w:rsidP="0059011D">
            <w:pPr>
              <w:pStyle w:val="DAVA"/>
              <w:spacing w:before="60" w:after="60"/>
              <w:rPr>
                <w:rFonts w:ascii="Times New Roman" w:hAnsi="Times New Roman"/>
                <w:sz w:val="20"/>
                <w:szCs w:val="20"/>
              </w:rPr>
            </w:pPr>
            <w:r w:rsidRPr="000B521F">
              <w:rPr>
                <w:rFonts w:ascii="Times New Roman" w:hAnsi="Times New Roman"/>
                <w:sz w:val="20"/>
                <w:szCs w:val="20"/>
              </w:rPr>
              <w:t>Příloha 1:</w:t>
            </w:r>
          </w:p>
          <w:p w:rsidR="00226C1D" w:rsidRPr="000B521F" w:rsidRDefault="00226C1D" w:rsidP="0059011D">
            <w:pPr>
              <w:pStyle w:val="DAVA"/>
              <w:spacing w:before="60" w:after="60"/>
              <w:rPr>
                <w:rFonts w:ascii="Times New Roman" w:hAnsi="Times New Roman"/>
                <w:sz w:val="20"/>
                <w:szCs w:val="20"/>
              </w:rPr>
            </w:pPr>
            <w:r w:rsidRPr="000B521F">
              <w:rPr>
                <w:rFonts w:ascii="Times New Roman" w:hAnsi="Times New Roman"/>
                <w:sz w:val="20"/>
                <w:szCs w:val="20"/>
              </w:rPr>
              <w:t>4.8 část udržitelná doprava a udržitelná mobilita ve městech – upřednostňování investic podle příspěvku k mobilitě, udržitelnosti, snižování emisí skleníkových plynů</w:t>
            </w:r>
            <w:r w:rsidR="00D446F4">
              <w:rPr>
                <w:rFonts w:ascii="Times New Roman" w:hAnsi="Times New Roman"/>
                <w:sz w:val="20"/>
                <w:szCs w:val="20"/>
              </w:rPr>
              <w:t>.</w:t>
            </w:r>
          </w:p>
          <w:p w:rsidR="00226C1D" w:rsidRPr="000B521F" w:rsidRDefault="00226C1D" w:rsidP="0059011D">
            <w:pPr>
              <w:pStyle w:val="DAVA"/>
              <w:spacing w:before="60" w:after="60"/>
              <w:rPr>
                <w:rFonts w:ascii="Times New Roman" w:hAnsi="Times New Roman"/>
                <w:sz w:val="20"/>
                <w:szCs w:val="20"/>
              </w:rPr>
            </w:pPr>
            <w:r w:rsidRPr="000B521F">
              <w:rPr>
                <w:rFonts w:ascii="Times New Roman" w:hAnsi="Times New Roman"/>
                <w:sz w:val="20"/>
                <w:szCs w:val="20"/>
              </w:rPr>
              <w:t>5.2 Udržitelný rozvoj – výdaje na biodiverzitu a ochranu přírodních zdrojů podle nařízení Habitats, systém řízení nakládání s odpady a snížení spotřeby vody</w:t>
            </w:r>
            <w:r w:rsidR="00D446F4">
              <w:rPr>
                <w:rFonts w:ascii="Times New Roman" w:hAnsi="Times New Roman"/>
                <w:sz w:val="20"/>
                <w:szCs w:val="20"/>
              </w:rPr>
              <w:t>.</w:t>
            </w:r>
          </w:p>
        </w:tc>
      </w:tr>
      <w:tr w:rsidR="00226C1D" w:rsidRPr="000B521F" w:rsidTr="00761093">
        <w:trPr>
          <w:trHeight w:val="407"/>
        </w:trPr>
        <w:tc>
          <w:tcPr>
            <w:tcW w:w="1985"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226C1D" w:rsidRPr="000B521F" w:rsidRDefault="00226C1D"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Tematické cíle</w:t>
            </w:r>
          </w:p>
        </w:tc>
        <w:tc>
          <w:tcPr>
            <w:tcW w:w="7117" w:type="dxa"/>
            <w:tcBorders>
              <w:top w:val="single" w:sz="4" w:space="0" w:color="000000"/>
              <w:left w:val="single" w:sz="4" w:space="0" w:color="000000"/>
              <w:bottom w:val="single" w:sz="4" w:space="0" w:color="000000"/>
              <w:right w:val="single" w:sz="4" w:space="0" w:color="000000"/>
            </w:tcBorders>
            <w:vAlign w:val="center"/>
            <w:hideMark/>
          </w:tcPr>
          <w:p w:rsidR="00226C1D" w:rsidRPr="000B521F" w:rsidRDefault="00226C1D" w:rsidP="0059011D">
            <w:pPr>
              <w:pStyle w:val="DAVA"/>
              <w:spacing w:before="60" w:after="60"/>
              <w:rPr>
                <w:rFonts w:ascii="Times New Roman" w:hAnsi="Times New Roman"/>
                <w:sz w:val="20"/>
                <w:szCs w:val="20"/>
              </w:rPr>
            </w:pPr>
            <w:r w:rsidRPr="000B521F">
              <w:rPr>
                <w:rFonts w:ascii="Times New Roman" w:hAnsi="Times New Roman"/>
                <w:sz w:val="20"/>
                <w:szCs w:val="20"/>
              </w:rPr>
              <w:t>4. Podpora přechodu na nízkouhlíkové hospodářství ve všech odvětvích</w:t>
            </w:r>
            <w:r w:rsidR="00D446F4">
              <w:rPr>
                <w:rFonts w:ascii="Times New Roman" w:hAnsi="Times New Roman"/>
                <w:sz w:val="20"/>
                <w:szCs w:val="20"/>
              </w:rPr>
              <w:t>.</w:t>
            </w:r>
          </w:p>
          <w:p w:rsidR="00226C1D" w:rsidRPr="000B521F" w:rsidRDefault="00226C1D" w:rsidP="0059011D">
            <w:pPr>
              <w:pStyle w:val="DAVA"/>
              <w:spacing w:before="60" w:after="60"/>
              <w:rPr>
                <w:rFonts w:ascii="Times New Roman" w:hAnsi="Times New Roman"/>
                <w:sz w:val="20"/>
                <w:szCs w:val="20"/>
              </w:rPr>
            </w:pPr>
            <w:r w:rsidRPr="000B521F">
              <w:rPr>
                <w:rFonts w:ascii="Times New Roman" w:hAnsi="Times New Roman"/>
                <w:sz w:val="20"/>
                <w:szCs w:val="20"/>
              </w:rPr>
              <w:t xml:space="preserve">5. </w:t>
            </w:r>
            <w:r w:rsidR="008B701F" w:rsidRPr="008B701F">
              <w:rPr>
                <w:rFonts w:ascii="Times New Roman" w:hAnsi="Times New Roman"/>
                <w:sz w:val="20"/>
                <w:szCs w:val="20"/>
              </w:rPr>
              <w:t>Podpora přizpůsobení se změně klimatu, předcházení rizikům a řízení rizik</w:t>
            </w:r>
            <w:r w:rsidR="00D446F4">
              <w:rPr>
                <w:rFonts w:ascii="Times New Roman" w:hAnsi="Times New Roman"/>
                <w:sz w:val="20"/>
                <w:szCs w:val="20"/>
              </w:rPr>
              <w:t>.</w:t>
            </w:r>
          </w:p>
          <w:p w:rsidR="00226C1D" w:rsidRPr="000B521F" w:rsidRDefault="00226C1D" w:rsidP="0059011D">
            <w:pPr>
              <w:pStyle w:val="DAVA"/>
              <w:spacing w:before="60" w:after="60"/>
              <w:rPr>
                <w:rFonts w:ascii="Times New Roman" w:hAnsi="Times New Roman"/>
                <w:sz w:val="20"/>
                <w:szCs w:val="20"/>
              </w:rPr>
            </w:pPr>
            <w:r w:rsidRPr="000B521F">
              <w:rPr>
                <w:rFonts w:ascii="Times New Roman" w:hAnsi="Times New Roman"/>
                <w:sz w:val="20"/>
                <w:szCs w:val="20"/>
              </w:rPr>
              <w:t>6. Ochrana životního prostředí a podpora účinného využívání zdrojů</w:t>
            </w:r>
            <w:r w:rsidR="00D446F4">
              <w:rPr>
                <w:rFonts w:ascii="Times New Roman" w:hAnsi="Times New Roman"/>
                <w:sz w:val="20"/>
                <w:szCs w:val="20"/>
              </w:rPr>
              <w:t>.</w:t>
            </w:r>
          </w:p>
        </w:tc>
      </w:tr>
      <w:tr w:rsidR="00226C1D" w:rsidRPr="000B521F" w:rsidTr="00761093">
        <w:tc>
          <w:tcPr>
            <w:tcW w:w="1985"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226C1D" w:rsidRPr="000B521F" w:rsidRDefault="00226C1D"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Specifická doporučení Rady</w:t>
            </w:r>
          </w:p>
        </w:tc>
        <w:tc>
          <w:tcPr>
            <w:tcW w:w="7117" w:type="dxa"/>
            <w:tcBorders>
              <w:top w:val="single" w:sz="4" w:space="0" w:color="000000"/>
              <w:left w:val="single" w:sz="4" w:space="0" w:color="000000"/>
              <w:bottom w:val="single" w:sz="4" w:space="0" w:color="000000"/>
              <w:right w:val="single" w:sz="4" w:space="0" w:color="000000"/>
            </w:tcBorders>
            <w:vAlign w:val="center"/>
            <w:hideMark/>
          </w:tcPr>
          <w:p w:rsidR="00226C1D" w:rsidRPr="000B521F" w:rsidRDefault="00226C1D" w:rsidP="0059011D">
            <w:pPr>
              <w:pStyle w:val="DAVA"/>
              <w:spacing w:before="60" w:after="60"/>
              <w:rPr>
                <w:rFonts w:ascii="Times New Roman" w:hAnsi="Times New Roman"/>
                <w:sz w:val="20"/>
                <w:szCs w:val="20"/>
              </w:rPr>
            </w:pPr>
            <w:r w:rsidRPr="000B521F">
              <w:rPr>
                <w:rFonts w:ascii="Times New Roman" w:hAnsi="Times New Roman"/>
                <w:sz w:val="20"/>
                <w:szCs w:val="20"/>
              </w:rPr>
              <w:t>7. S využitím probíhajícího přezkumu pokračovat v reformě regulovaných povolání snížením nebo zrušením vstupních bariér a vyhrazených činností, budou-li shledány neodůvodněnými. Přijmout další opatření ke zlepšení energetické náročnosti budov a průmyslových odvětví.</w:t>
            </w:r>
          </w:p>
        </w:tc>
      </w:tr>
    </w:tbl>
    <w:p w:rsidR="00226C1D" w:rsidRPr="000B521F" w:rsidRDefault="00226C1D" w:rsidP="0059011D">
      <w:pPr>
        <w:pStyle w:val="Tabulka"/>
        <w:spacing w:before="120" w:after="60"/>
        <w:rPr>
          <w:szCs w:val="20"/>
        </w:rPr>
      </w:pPr>
      <w:r w:rsidRPr="000B521F">
        <w:rPr>
          <w:szCs w:val="20"/>
        </w:rPr>
        <w:t>Vazby</w:t>
      </w:r>
      <w:r w:rsidR="00B57221" w:rsidRPr="000B521F">
        <w:rPr>
          <w:szCs w:val="20"/>
        </w:rPr>
        <w:t xml:space="preserve"> </w:t>
      </w:r>
      <w:r w:rsidRPr="000B521F">
        <w:rPr>
          <w:szCs w:val="20"/>
        </w:rPr>
        <w:t>na dokumenty ČR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193"/>
      </w:tblGrid>
      <w:tr w:rsidR="00226C1D" w:rsidRPr="000B521F" w:rsidTr="00761093">
        <w:trPr>
          <w:trHeight w:val="395"/>
        </w:trPr>
        <w:tc>
          <w:tcPr>
            <w:tcW w:w="1985"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226C1D" w:rsidRPr="000B521F" w:rsidRDefault="00226C1D"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Národní program reforem</w:t>
            </w:r>
          </w:p>
        </w:tc>
        <w:tc>
          <w:tcPr>
            <w:tcW w:w="7193" w:type="dxa"/>
            <w:tcBorders>
              <w:top w:val="single" w:sz="4" w:space="0" w:color="000000"/>
              <w:left w:val="single" w:sz="4" w:space="0" w:color="000000"/>
              <w:bottom w:val="single" w:sz="4" w:space="0" w:color="000000"/>
              <w:right w:val="single" w:sz="4" w:space="0" w:color="000000"/>
            </w:tcBorders>
            <w:vAlign w:val="center"/>
            <w:hideMark/>
          </w:tcPr>
          <w:p w:rsidR="00226C1D" w:rsidRPr="000B521F" w:rsidRDefault="00226C1D" w:rsidP="0059011D">
            <w:pPr>
              <w:pStyle w:val="DAVA"/>
              <w:spacing w:before="60" w:after="60"/>
              <w:rPr>
                <w:rFonts w:ascii="Times New Roman" w:hAnsi="Times New Roman"/>
                <w:sz w:val="20"/>
                <w:szCs w:val="20"/>
              </w:rPr>
            </w:pPr>
            <w:r w:rsidRPr="000B521F">
              <w:rPr>
                <w:rFonts w:ascii="Times New Roman" w:hAnsi="Times New Roman"/>
                <w:sz w:val="20"/>
                <w:szCs w:val="20"/>
              </w:rPr>
              <w:t>3.2.4 Rozvoj energetické a environmentální infrastruktury; 3.2.4.2 Rozvoj environmentální infrastruktury</w:t>
            </w:r>
            <w:r w:rsidR="00D446F4">
              <w:rPr>
                <w:rFonts w:ascii="Times New Roman" w:hAnsi="Times New Roman"/>
                <w:sz w:val="20"/>
                <w:szCs w:val="20"/>
              </w:rPr>
              <w:t>.</w:t>
            </w:r>
          </w:p>
          <w:p w:rsidR="00226C1D" w:rsidRPr="000B521F" w:rsidRDefault="00226C1D" w:rsidP="0059011D">
            <w:pPr>
              <w:pStyle w:val="DAVA"/>
              <w:spacing w:before="60" w:after="60"/>
              <w:rPr>
                <w:rFonts w:ascii="Times New Roman" w:hAnsi="Times New Roman"/>
                <w:sz w:val="20"/>
                <w:szCs w:val="20"/>
              </w:rPr>
            </w:pPr>
            <w:r w:rsidRPr="000B521F">
              <w:rPr>
                <w:rFonts w:ascii="Times New Roman" w:hAnsi="Times New Roman"/>
                <w:sz w:val="20"/>
                <w:szCs w:val="20"/>
              </w:rPr>
              <w:t>3.2.2 Udržitelný průmyslový sektor;3.2.2.1 Energetika; 3.2.2.3 Politika životního prostředí</w:t>
            </w:r>
            <w:r w:rsidR="00D446F4">
              <w:rPr>
                <w:rFonts w:ascii="Times New Roman" w:hAnsi="Times New Roman"/>
                <w:sz w:val="20"/>
                <w:szCs w:val="20"/>
              </w:rPr>
              <w:t>.</w:t>
            </w:r>
          </w:p>
        </w:tc>
      </w:tr>
      <w:tr w:rsidR="00226C1D" w:rsidRPr="000B521F" w:rsidTr="00761093">
        <w:trPr>
          <w:trHeight w:val="407"/>
        </w:trPr>
        <w:tc>
          <w:tcPr>
            <w:tcW w:w="1985"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226C1D" w:rsidRPr="000B521F" w:rsidRDefault="00226C1D"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Strategie mezinárodní konkurence-schopnosti ČR</w:t>
            </w:r>
          </w:p>
        </w:tc>
        <w:tc>
          <w:tcPr>
            <w:tcW w:w="7193" w:type="dxa"/>
            <w:tcBorders>
              <w:top w:val="single" w:sz="4" w:space="0" w:color="000000"/>
              <w:left w:val="single" w:sz="4" w:space="0" w:color="000000"/>
              <w:bottom w:val="single" w:sz="4" w:space="0" w:color="000000"/>
              <w:right w:val="single" w:sz="4" w:space="0" w:color="000000"/>
            </w:tcBorders>
            <w:vAlign w:val="center"/>
            <w:hideMark/>
          </w:tcPr>
          <w:p w:rsidR="00226C1D" w:rsidRPr="000B521F" w:rsidRDefault="00226C1D" w:rsidP="0059011D">
            <w:pPr>
              <w:pStyle w:val="DAVA"/>
              <w:spacing w:before="60" w:after="60"/>
              <w:rPr>
                <w:rFonts w:ascii="Times New Roman" w:hAnsi="Times New Roman"/>
                <w:sz w:val="20"/>
                <w:szCs w:val="20"/>
              </w:rPr>
            </w:pPr>
            <w:r w:rsidRPr="000B521F">
              <w:rPr>
                <w:rFonts w:ascii="Times New Roman" w:hAnsi="Times New Roman"/>
                <w:sz w:val="20"/>
                <w:szCs w:val="20"/>
              </w:rPr>
              <w:t>2.9 Státní energetická koncepce a strategické usměrňování - dosažení vyváženého energetického mixu, zvýšení využívání obnovitelných zdrojů a snížení emisí skleníkových plynů</w:t>
            </w:r>
            <w:r w:rsidR="00D446F4">
              <w:rPr>
                <w:rFonts w:ascii="Times New Roman" w:hAnsi="Times New Roman"/>
                <w:sz w:val="20"/>
                <w:szCs w:val="20"/>
              </w:rPr>
              <w:t>.</w:t>
            </w:r>
          </w:p>
        </w:tc>
      </w:tr>
      <w:tr w:rsidR="00226C1D" w:rsidRPr="000B521F" w:rsidTr="00761093">
        <w:tc>
          <w:tcPr>
            <w:tcW w:w="1985"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226C1D" w:rsidRPr="000B521F" w:rsidRDefault="00226C1D"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Strategie regionálního rozvoje</w:t>
            </w:r>
          </w:p>
        </w:tc>
        <w:tc>
          <w:tcPr>
            <w:tcW w:w="7193" w:type="dxa"/>
            <w:tcBorders>
              <w:top w:val="single" w:sz="4" w:space="0" w:color="000000"/>
              <w:left w:val="single" w:sz="4" w:space="0" w:color="000000"/>
              <w:bottom w:val="single" w:sz="4" w:space="0" w:color="000000"/>
              <w:right w:val="single" w:sz="4" w:space="0" w:color="000000"/>
            </w:tcBorders>
            <w:vAlign w:val="center"/>
            <w:hideMark/>
          </w:tcPr>
          <w:p w:rsidR="00226C1D" w:rsidRPr="000B521F" w:rsidRDefault="00226C1D" w:rsidP="0059011D">
            <w:pPr>
              <w:pStyle w:val="DAVA"/>
              <w:spacing w:before="60" w:after="60"/>
              <w:rPr>
                <w:rFonts w:ascii="Times New Roman" w:hAnsi="Times New Roman"/>
                <w:sz w:val="20"/>
                <w:szCs w:val="20"/>
              </w:rPr>
            </w:pPr>
            <w:r w:rsidRPr="000B521F">
              <w:rPr>
                <w:rFonts w:ascii="Times New Roman" w:hAnsi="Times New Roman"/>
                <w:sz w:val="20"/>
                <w:szCs w:val="20"/>
              </w:rPr>
              <w:t>Priorita 1 Využití potenciálu rozvojových území (opatření: 1.4 Rozšíření a zkvalitnění infrastruktury - řešení veřejných prostranství a zeleně, revitalizace zanedbaných částí města)</w:t>
            </w:r>
            <w:r w:rsidR="00D446F4">
              <w:rPr>
                <w:rFonts w:ascii="Times New Roman" w:hAnsi="Times New Roman"/>
                <w:sz w:val="20"/>
                <w:szCs w:val="20"/>
              </w:rPr>
              <w:t>.</w:t>
            </w:r>
          </w:p>
          <w:p w:rsidR="00226C1D" w:rsidRPr="000B521F" w:rsidRDefault="00226C1D" w:rsidP="0059011D">
            <w:pPr>
              <w:pStyle w:val="DAVA"/>
              <w:spacing w:before="60" w:after="60"/>
              <w:rPr>
                <w:rFonts w:ascii="Times New Roman" w:hAnsi="Times New Roman"/>
                <w:sz w:val="20"/>
                <w:szCs w:val="20"/>
              </w:rPr>
            </w:pPr>
            <w:r w:rsidRPr="000B521F">
              <w:rPr>
                <w:rFonts w:ascii="Times New Roman" w:hAnsi="Times New Roman"/>
                <w:sz w:val="20"/>
                <w:szCs w:val="20"/>
              </w:rPr>
              <w:lastRenderedPageBreak/>
              <w:t>Priorita 6 Ochrana a udržitelné využívání zdrojů v regionech (opatření: 6.1 Odstraňování starých ekologických zátěží, revitalizace brownfields a území po bývalé těžbě nerostných surovin; 6.2 Snížení produkce komunálních odpadů a zvýšení jejich materiálového využití; 6.3 Využívání obnovitelných zdrojů energie a podpora úspor energie ve vazbě na místní podmínky; 6.4 Omezování negativních vlivů dopravy (hluk, prach atd.) na obyvatelstvo a na krajinu; 6.5 Udržitelné užívání vodních zdrojů)</w:t>
            </w:r>
            <w:r w:rsidR="00D446F4">
              <w:rPr>
                <w:rFonts w:ascii="Times New Roman" w:hAnsi="Times New Roman"/>
                <w:sz w:val="20"/>
                <w:szCs w:val="20"/>
              </w:rPr>
              <w:t>.</w:t>
            </w:r>
          </w:p>
          <w:p w:rsidR="00226C1D" w:rsidRPr="000B521F" w:rsidRDefault="00226C1D" w:rsidP="0059011D">
            <w:pPr>
              <w:pStyle w:val="DAVA"/>
              <w:spacing w:before="60" w:after="60"/>
              <w:rPr>
                <w:rFonts w:ascii="Times New Roman" w:hAnsi="Times New Roman"/>
                <w:sz w:val="20"/>
                <w:szCs w:val="20"/>
              </w:rPr>
            </w:pPr>
            <w:r w:rsidRPr="000B521F">
              <w:rPr>
                <w:rFonts w:ascii="Times New Roman" w:hAnsi="Times New Roman"/>
                <w:sz w:val="20"/>
                <w:szCs w:val="20"/>
              </w:rPr>
              <w:t>Priorita 7 Ochrana přírody a krajiny, kvalitní a bezpečné prostředí pro život (opatření: 7.1 Zlepšení kvality prostředí v sídlech, ochrana a rozvoj krajinných hodnot)</w:t>
            </w:r>
            <w:r w:rsidR="00D446F4">
              <w:rPr>
                <w:rFonts w:ascii="Times New Roman" w:hAnsi="Times New Roman"/>
                <w:sz w:val="20"/>
                <w:szCs w:val="20"/>
              </w:rPr>
              <w:t>.</w:t>
            </w:r>
          </w:p>
        </w:tc>
      </w:tr>
      <w:tr w:rsidR="00226C1D" w:rsidRPr="000B521F" w:rsidTr="00761093">
        <w:tc>
          <w:tcPr>
            <w:tcW w:w="1985"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226C1D" w:rsidRPr="000B521F" w:rsidRDefault="00226C1D"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lastRenderedPageBreak/>
              <w:t>Státní politika životního prostředí</w:t>
            </w:r>
          </w:p>
        </w:tc>
        <w:tc>
          <w:tcPr>
            <w:tcW w:w="7193" w:type="dxa"/>
            <w:tcBorders>
              <w:top w:val="single" w:sz="4" w:space="0" w:color="000000"/>
              <w:left w:val="single" w:sz="4" w:space="0" w:color="000000"/>
              <w:bottom w:val="single" w:sz="4" w:space="0" w:color="000000"/>
              <w:right w:val="single" w:sz="4" w:space="0" w:color="000000"/>
            </w:tcBorders>
            <w:vAlign w:val="center"/>
            <w:hideMark/>
          </w:tcPr>
          <w:p w:rsidR="00226C1D" w:rsidRPr="000B521F" w:rsidRDefault="00226C1D" w:rsidP="0059011D">
            <w:pPr>
              <w:pStyle w:val="DAVA"/>
              <w:spacing w:before="60" w:after="60"/>
              <w:rPr>
                <w:rFonts w:ascii="Times New Roman" w:hAnsi="Times New Roman"/>
                <w:sz w:val="20"/>
                <w:szCs w:val="20"/>
              </w:rPr>
            </w:pPr>
            <w:r w:rsidRPr="000B521F">
              <w:rPr>
                <w:rFonts w:ascii="Times New Roman" w:hAnsi="Times New Roman"/>
                <w:sz w:val="20"/>
                <w:szCs w:val="20"/>
              </w:rPr>
              <w:t>Tematická oblast 1 Ochrana a udržitelné využívání zdrojů (priority: Zajištění ochrany vod a zlepšování jejich stavu; Prevence a omezování vzniku odpadů a jejich negativního vlivu na životní prostředí, podpora jejich využívání jako náhrady přírodních surovin; Ochrana a udržitelné využívání půdního a horninového prostředí)</w:t>
            </w:r>
            <w:r w:rsidR="00D446F4">
              <w:rPr>
                <w:rFonts w:ascii="Times New Roman" w:hAnsi="Times New Roman"/>
                <w:sz w:val="20"/>
                <w:szCs w:val="20"/>
              </w:rPr>
              <w:t>.</w:t>
            </w:r>
          </w:p>
          <w:p w:rsidR="00226C1D" w:rsidRPr="000B521F" w:rsidRDefault="00226C1D" w:rsidP="0059011D">
            <w:pPr>
              <w:pStyle w:val="DAVA"/>
              <w:spacing w:before="60" w:after="60"/>
              <w:rPr>
                <w:rFonts w:ascii="Times New Roman" w:hAnsi="Times New Roman"/>
                <w:sz w:val="20"/>
                <w:szCs w:val="20"/>
              </w:rPr>
            </w:pPr>
            <w:r w:rsidRPr="000B521F">
              <w:rPr>
                <w:rFonts w:ascii="Times New Roman" w:hAnsi="Times New Roman"/>
                <w:sz w:val="20"/>
                <w:szCs w:val="20"/>
              </w:rPr>
              <w:t>Tematická oblast 2 Ochrana klimatu a zlepšení kvality ovzduší (priority: Snižování emisí skleníkových plynů a omezování negativních dopadů klimatické změny; Snížení úrovně znečištění ovzduší; Efektivní a přírodě šetrné využívání obnovitelných zdrojů energie)</w:t>
            </w:r>
            <w:r w:rsidR="00D446F4">
              <w:rPr>
                <w:rFonts w:ascii="Times New Roman" w:hAnsi="Times New Roman"/>
                <w:sz w:val="20"/>
                <w:szCs w:val="20"/>
              </w:rPr>
              <w:t>.</w:t>
            </w:r>
          </w:p>
          <w:p w:rsidR="00226C1D" w:rsidRPr="000B521F" w:rsidRDefault="00226C1D" w:rsidP="0059011D">
            <w:pPr>
              <w:pStyle w:val="DAVA"/>
              <w:spacing w:before="60" w:after="60"/>
              <w:rPr>
                <w:rFonts w:ascii="Times New Roman" w:hAnsi="Times New Roman"/>
                <w:sz w:val="20"/>
                <w:szCs w:val="20"/>
              </w:rPr>
            </w:pPr>
            <w:r w:rsidRPr="000B521F">
              <w:rPr>
                <w:rFonts w:ascii="Times New Roman" w:hAnsi="Times New Roman"/>
                <w:sz w:val="20"/>
                <w:szCs w:val="20"/>
              </w:rPr>
              <w:t>Tematická oblast 3 Ochrana přírody a krajiny (priority: Ochrana a posílení ekologických funkcí krajiny; Zachování přírodních a krajinných hodnot; Zlepšení kvality prostředí v sídlech)</w:t>
            </w:r>
            <w:r w:rsidR="00D446F4">
              <w:rPr>
                <w:rFonts w:ascii="Times New Roman" w:hAnsi="Times New Roman"/>
                <w:sz w:val="20"/>
                <w:szCs w:val="20"/>
              </w:rPr>
              <w:t>.</w:t>
            </w:r>
          </w:p>
        </w:tc>
      </w:tr>
    </w:tbl>
    <w:p w:rsidR="00226C1D" w:rsidRPr="000B521F" w:rsidRDefault="00226C1D"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Dalšími klíčovými dokumenty jsou Státní program ochrany přírody a krajiny ČR, Plán odpadového hospodářství, Plány oblastí povodí, Plány hlavních povodí, Koncepce zemědělství, , Víceletý národní strategický plán pro akvakulturu, Národní lesnický program, Akční plán pro biomasu v ČR na období 2012</w:t>
      </w:r>
      <w:r w:rsidR="00D446F4">
        <w:rPr>
          <w:rFonts w:ascii="Times New Roman" w:hAnsi="Times New Roman" w:cs="Times New Roman"/>
          <w:color w:val="000000"/>
          <w:sz w:val="24"/>
          <w:szCs w:val="24"/>
        </w:rPr>
        <w:t>–</w:t>
      </w:r>
      <w:r w:rsidRPr="000B521F">
        <w:rPr>
          <w:rFonts w:ascii="Times New Roman" w:hAnsi="Times New Roman" w:cs="Times New Roman"/>
          <w:sz w:val="24"/>
          <w:szCs w:val="24"/>
        </w:rPr>
        <w:t xml:space="preserve">2020, Státní energetická koncepce, Národní akční plán České republiky pro energii z obnovitelných zdrojů, </w:t>
      </w:r>
      <w:r w:rsidR="00B61005">
        <w:rPr>
          <w:rFonts w:ascii="Times New Roman" w:hAnsi="Times New Roman" w:cs="Times New Roman"/>
          <w:sz w:val="24"/>
          <w:szCs w:val="24"/>
        </w:rPr>
        <w:t xml:space="preserve">Koncepce státní politiky cestovního ruchu v ČR 2014–2020, </w:t>
      </w:r>
      <w:r w:rsidRPr="000B521F">
        <w:rPr>
          <w:rFonts w:ascii="Times New Roman" w:hAnsi="Times New Roman" w:cs="Times New Roman"/>
          <w:sz w:val="24"/>
          <w:szCs w:val="24"/>
        </w:rPr>
        <w:t>dokumenty krajů v dané oblasti a další sektorové dokumenty definované v dílčích operačních programech. V současné době je dokončována Střednědobá strategie zlepšení kvality ovzduší v ČR do roku 2020, jejíž součástí je Národní program snožování emisí</w:t>
      </w:r>
      <w:r w:rsidR="00D446F4">
        <w:rPr>
          <w:rFonts w:ascii="Times New Roman" w:hAnsi="Times New Roman" w:cs="Times New Roman"/>
          <w:sz w:val="24"/>
          <w:szCs w:val="24"/>
        </w:rPr>
        <w:t>.</w:t>
      </w:r>
    </w:p>
    <w:p w:rsidR="00147E55" w:rsidRPr="000B521F" w:rsidRDefault="00147E55" w:rsidP="0059011D">
      <w:pPr>
        <w:spacing w:after="120" w:line="240" w:lineRule="auto"/>
        <w:jc w:val="both"/>
        <w:rPr>
          <w:rFonts w:ascii="Times New Roman" w:hAnsi="Times New Roman" w:cs="Times New Roman"/>
          <w:sz w:val="24"/>
          <w:szCs w:val="24"/>
        </w:rPr>
      </w:pPr>
    </w:p>
    <w:p w:rsidR="008206A4" w:rsidRPr="000B521F" w:rsidRDefault="00226C1D" w:rsidP="0059011D">
      <w:pPr>
        <w:pStyle w:val="Nadpis4"/>
        <w:numPr>
          <w:ilvl w:val="3"/>
          <w:numId w:val="14"/>
        </w:numPr>
        <w:spacing w:before="120" w:after="120"/>
        <w:rPr>
          <w:rFonts w:ascii="Times New Roman" w:hAnsi="Times New Roman" w:cs="Times New Roman"/>
          <w:sz w:val="24"/>
          <w:szCs w:val="24"/>
        </w:rPr>
      </w:pPr>
      <w:bookmarkStart w:id="42" w:name="_Toc374702868"/>
      <w:r w:rsidRPr="000B521F">
        <w:rPr>
          <w:rFonts w:ascii="Times New Roman" w:hAnsi="Times New Roman" w:cs="Times New Roman"/>
          <w:sz w:val="24"/>
          <w:szCs w:val="24"/>
        </w:rPr>
        <w:t>Změna klimatu a prevence rizik a katastrof</w:t>
      </w:r>
      <w:bookmarkEnd w:id="42"/>
      <w:r w:rsidRPr="000B521F">
        <w:rPr>
          <w:rFonts w:ascii="Times New Roman" w:hAnsi="Times New Roman" w:cs="Times New Roman"/>
          <w:sz w:val="24"/>
          <w:szCs w:val="24"/>
        </w:rPr>
        <w:tab/>
      </w:r>
    </w:p>
    <w:p w:rsidR="00226C1D" w:rsidRPr="000B521F" w:rsidRDefault="00226C1D" w:rsidP="0059011D">
      <w:pPr>
        <w:spacing w:after="120" w:line="240" w:lineRule="auto"/>
        <w:rPr>
          <w:rFonts w:ascii="Times New Roman" w:hAnsi="Times New Roman" w:cs="Times New Roman"/>
          <w:b/>
          <w:sz w:val="24"/>
          <w:szCs w:val="24"/>
        </w:rPr>
      </w:pPr>
      <w:r w:rsidRPr="000B521F">
        <w:rPr>
          <w:rFonts w:ascii="Times New Roman" w:hAnsi="Times New Roman" w:cs="Times New Roman"/>
          <w:b/>
          <w:sz w:val="24"/>
          <w:szCs w:val="24"/>
        </w:rPr>
        <w:t>Východiska a charakteristika</w:t>
      </w:r>
    </w:p>
    <w:p w:rsidR="00226C1D" w:rsidRPr="000B521F" w:rsidRDefault="00290AD8"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I přes snížení emisí skleníkových plynů o 32 % mezi roky 1990 a 2011 je hodnota emisí přepočtená na jednoho obyvatele v porovnání s průměrem EU stále vysoká. Dílčím cílem ČR je proto přiblížit se průměrné hodnotě EU-27 v roce 2005, která činila 10,5 t CO</w:t>
      </w:r>
      <w:r w:rsidRPr="000B521F">
        <w:rPr>
          <w:rFonts w:ascii="Times New Roman" w:hAnsi="Times New Roman" w:cs="Times New Roman"/>
          <w:sz w:val="24"/>
          <w:szCs w:val="24"/>
          <w:vertAlign w:val="subscript"/>
        </w:rPr>
        <w:t>2</w:t>
      </w:r>
      <w:r w:rsidRPr="000B521F">
        <w:rPr>
          <w:rFonts w:ascii="Times New Roman" w:hAnsi="Times New Roman" w:cs="Times New Roman"/>
          <w:sz w:val="24"/>
          <w:szCs w:val="24"/>
        </w:rPr>
        <w:t>ekv, zatímco v ČR v roce 2011odpovídala hodnotě 12,7 t CO</w:t>
      </w:r>
      <w:r w:rsidRPr="000B521F">
        <w:rPr>
          <w:rFonts w:ascii="Times New Roman" w:hAnsi="Times New Roman" w:cs="Times New Roman"/>
          <w:sz w:val="24"/>
          <w:szCs w:val="24"/>
          <w:vertAlign w:val="subscript"/>
        </w:rPr>
        <w:t>2</w:t>
      </w:r>
      <w:r w:rsidRPr="000B521F">
        <w:rPr>
          <w:rFonts w:ascii="Times New Roman" w:hAnsi="Times New Roman" w:cs="Times New Roman"/>
          <w:sz w:val="24"/>
          <w:szCs w:val="24"/>
        </w:rPr>
        <w:t>ekv.</w:t>
      </w:r>
      <w:r w:rsidR="004261BE" w:rsidRPr="000B521F">
        <w:rPr>
          <w:rFonts w:ascii="Times New Roman" w:hAnsi="Times New Roman" w:cs="Times New Roman"/>
          <w:sz w:val="24"/>
          <w:szCs w:val="24"/>
        </w:rPr>
        <w:t xml:space="preserve"> </w:t>
      </w:r>
    </w:p>
    <w:p w:rsidR="00226C1D" w:rsidRPr="000B521F" w:rsidRDefault="00226C1D"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V podmínkách ČR jsou do souvislosti se změnou klimatu dávány zejména výraznější výkyvy počasí projevující se častějšími přívalovými dešti, delšími obdobími sucha, vlnami horka, teplejšími a vlhčími zimami s menším množstvím sněhu apod. Relativně novým jevem je úbytek zásob podzemních vod, zvyšují se rizika spojená s obdobími sucha.</w:t>
      </w:r>
    </w:p>
    <w:p w:rsidR="00226C1D" w:rsidRPr="000B521F" w:rsidRDefault="00226C1D"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Politika ochrany klimatu se proto zaměřuje jak na snížení emisí skleníkových plynů (mitigace), tak na opatření, která pomohou se dopadům změny klimatu účinně přizpůsobit (adaptace).</w:t>
      </w:r>
    </w:p>
    <w:p w:rsidR="00226C1D" w:rsidRPr="000B521F" w:rsidRDefault="00226C1D"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Mitigace lze docílit zejména úsporami energie a využíváním obnovitelných zdrojů energie. Úspory jsou realizovány v celém řetězci užití energie, od výroby, přes  její transport až k užití. </w:t>
      </w:r>
    </w:p>
    <w:p w:rsidR="004F244F" w:rsidRPr="006F05D7" w:rsidRDefault="00D27271" w:rsidP="004F244F">
      <w:pPr>
        <w:spacing w:after="24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Pro adaptaci na změnu klimatu jsou ve venkovských oblastech důležitá opatření v oblasti zemědělství, lesního a vodního hospodářství, opatření ke zvýšení resistence/resilience krajiny a zlepšování ekosystémových služeb včetně těch, která kombinují adaptační a mitigační přínosy. Na celkových emisích ČR se zemědělství podílí 6,2 %. (jedná se o uvolňování </w:t>
      </w:r>
      <w:r w:rsidRPr="000B521F">
        <w:rPr>
          <w:rFonts w:ascii="Times New Roman" w:hAnsi="Times New Roman" w:cs="Times New Roman"/>
          <w:sz w:val="24"/>
          <w:szCs w:val="24"/>
        </w:rPr>
        <w:lastRenderedPageBreak/>
        <w:t xml:space="preserve">skleníkových plynů  zejména z živočišné prvovýroby produkcí organických zbytků). </w:t>
      </w:r>
      <w:r w:rsidR="004F244F">
        <w:rPr>
          <w:rFonts w:ascii="Times New Roman" w:hAnsi="Times New Roman" w:cs="Times New Roman"/>
          <w:sz w:val="24"/>
          <w:szCs w:val="24"/>
        </w:rPr>
        <w:t>Zemědělství má r</w:t>
      </w:r>
      <w:r w:rsidR="004F244F" w:rsidRPr="006F05D7">
        <w:rPr>
          <w:rFonts w:ascii="Times New Roman" w:hAnsi="Times New Roman" w:cs="Times New Roman"/>
          <w:sz w:val="24"/>
          <w:szCs w:val="24"/>
        </w:rPr>
        <w:t>ezervy ve snižování emisí skleníkových plynů</w:t>
      </w:r>
      <w:r w:rsidR="004F244F">
        <w:rPr>
          <w:rFonts w:ascii="Times New Roman" w:hAnsi="Times New Roman" w:cs="Times New Roman"/>
          <w:sz w:val="24"/>
          <w:szCs w:val="24"/>
        </w:rPr>
        <w:t xml:space="preserve">. </w:t>
      </w:r>
      <w:r w:rsidR="004F244F" w:rsidRPr="006F05D7">
        <w:rPr>
          <w:rFonts w:ascii="Times New Roman" w:hAnsi="Times New Roman" w:cs="Times New Roman"/>
          <w:sz w:val="24"/>
          <w:szCs w:val="24"/>
        </w:rPr>
        <w:t xml:space="preserve">Příčinami nedostatečného předcházení negativních vlivů změny klimatu je zejména vysoké zornění, odvodnění půd, utužení půd, a tím zvýšená spotřeba pohonných hmot při zemědělských operacích, tepelné ztráty u vytápěných budov, nízké využívání obnovitelných zdrojů energie. </w:t>
      </w:r>
    </w:p>
    <w:p w:rsidR="00AA5AB8" w:rsidRPr="000B521F" w:rsidRDefault="00D27271"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Změna klimatu přináší řadu výzev pro městské prostředí. Vlny veder a zvýšená prašnost představují zdravotní rizika, zrychlený odtok vod ze zpevněných povrchů ve městech zvyšuje riziko lokálních povodní. Malý podíl zeleně ve městech a chybějící vodní plochy neumožňují přirozené chlazení městského prostoru. </w:t>
      </w:r>
    </w:p>
    <w:p w:rsidR="00D27271" w:rsidRPr="000B521F" w:rsidRDefault="00D27271"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Adaptační opatření budou mít jednak povahu samostatných investice, zejména ale budou součástí dalších investičních opatření a podmínek napříč všemi operačními programy.</w:t>
      </w:r>
    </w:p>
    <w:p w:rsidR="00D27271" w:rsidRPr="000B521F" w:rsidRDefault="00D27271" w:rsidP="0059011D">
      <w:pPr>
        <w:spacing w:after="120" w:line="240" w:lineRule="auto"/>
        <w:jc w:val="both"/>
        <w:rPr>
          <w:rFonts w:ascii="Times New Roman" w:hAnsi="Times New Roman" w:cs="Times New Roman"/>
          <w:sz w:val="24"/>
          <w:szCs w:val="24"/>
        </w:rPr>
      </w:pPr>
    </w:p>
    <w:p w:rsidR="00226C1D" w:rsidRPr="000B521F" w:rsidRDefault="00226C1D" w:rsidP="0059011D">
      <w:pPr>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Zkušenosti z programov</w:t>
      </w:r>
      <w:r w:rsidR="00D446F4">
        <w:rPr>
          <w:rFonts w:ascii="Times New Roman" w:hAnsi="Times New Roman" w:cs="Times New Roman"/>
          <w:b/>
          <w:sz w:val="24"/>
          <w:szCs w:val="24"/>
        </w:rPr>
        <w:t>ého</w:t>
      </w:r>
      <w:r w:rsidRPr="000B521F">
        <w:rPr>
          <w:rFonts w:ascii="Times New Roman" w:hAnsi="Times New Roman" w:cs="Times New Roman"/>
          <w:b/>
          <w:sz w:val="24"/>
          <w:szCs w:val="24"/>
        </w:rPr>
        <w:t xml:space="preserve"> období 2007</w:t>
      </w:r>
      <w:r w:rsidR="00D446F4">
        <w:rPr>
          <w:rFonts w:ascii="Times New Roman" w:hAnsi="Times New Roman" w:cs="Times New Roman"/>
          <w:b/>
          <w:sz w:val="24"/>
          <w:szCs w:val="24"/>
        </w:rPr>
        <w:t>–</w:t>
      </w:r>
      <w:r w:rsidRPr="000B521F">
        <w:rPr>
          <w:rFonts w:ascii="Times New Roman" w:hAnsi="Times New Roman" w:cs="Times New Roman"/>
          <w:b/>
          <w:sz w:val="24"/>
          <w:szCs w:val="24"/>
        </w:rPr>
        <w:t>2013 a stav dosažení současných cílů</w:t>
      </w:r>
    </w:p>
    <w:p w:rsidR="00226C1D" w:rsidRPr="000B521F" w:rsidRDefault="00226C1D" w:rsidP="0059011D">
      <w:p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V posledních letech jsou v ČR poměrně častým jevem živelní pohromy, zejména povodně. Problematika protipovodňových opatření je ve stávajícím programovém období rovněž řešena. Je podporováno napojení povodňových orgánů (komisí) na systém přenosu hlásných a varovných informací pro řízení povodní. Významný objem finančních prostředků byl také věnován na vybudování systémů protipovodňových opatření, pozornost byla také věnována zvýšení retence vody v krajině, a to především díky přírodě blízké revitalizaci vodních toků, snižování objemu sedimentů ve vodních nádržích.</w:t>
      </w:r>
    </w:p>
    <w:p w:rsidR="00D92A65" w:rsidRPr="000B521F" w:rsidRDefault="005D6CA1"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Program rozvoje venkova v předchozích programových obdobích navázal na zavedená opatření v rámci standardů dobrého zemědělského a environmentálního stavu (GAEC) a řešil problematiku klimatu převážně v oblastech zadržování vody v krajině, předcházení vodní eroze, efektivního využívání energií ze zemědělské produkce, zavádění preventivních protipovodňových opatření (i následnou obnovu po již vzniklých kalamitních stavech) a zvýšení sekvestrace uhlíku v půdě a biomase. Do budoucna je vhodné v těchto intervencích pokračovat, případně zavádět další adaptační a mitigační opatření a vhodně je územně cílit.</w:t>
      </w:r>
    </w:p>
    <w:p w:rsidR="00D92A65" w:rsidRPr="000B521F" w:rsidRDefault="00D92A65" w:rsidP="0059011D">
      <w:pPr>
        <w:spacing w:after="120" w:line="240" w:lineRule="auto"/>
        <w:jc w:val="both"/>
        <w:rPr>
          <w:rFonts w:ascii="Times New Roman" w:hAnsi="Times New Roman" w:cs="Times New Roman"/>
          <w:color w:val="000000"/>
          <w:sz w:val="24"/>
          <w:szCs w:val="24"/>
          <w:lang w:eastAsia="cs-CZ"/>
        </w:rPr>
      </w:pPr>
    </w:p>
    <w:p w:rsidR="00226C1D" w:rsidRPr="000B521F" w:rsidRDefault="00226C1D" w:rsidP="0059011D">
      <w:pPr>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Hlavní identifikované problémy a potřeby rozvoje:</w:t>
      </w:r>
    </w:p>
    <w:p w:rsidR="00F3719F" w:rsidRDefault="00842329">
      <w:pPr>
        <w:pStyle w:val="Odstavecseseznamem"/>
        <w:numPr>
          <w:ilvl w:val="0"/>
          <w:numId w:val="152"/>
        </w:numPr>
        <w:spacing w:after="120" w:line="240" w:lineRule="auto"/>
        <w:jc w:val="both"/>
        <w:rPr>
          <w:rFonts w:ascii="Times New Roman" w:hAnsi="Times New Roman" w:cs="Times New Roman"/>
          <w:b/>
          <w:i/>
          <w:color w:val="000000"/>
          <w:sz w:val="24"/>
          <w:szCs w:val="24"/>
        </w:rPr>
      </w:pPr>
      <w:r w:rsidRPr="00842329">
        <w:rPr>
          <w:rFonts w:ascii="Times New Roman" w:hAnsi="Times New Roman" w:cs="Times New Roman"/>
          <w:b/>
          <w:i/>
          <w:color w:val="000000"/>
          <w:sz w:val="24"/>
          <w:szCs w:val="24"/>
        </w:rPr>
        <w:t>Nedostatečná připravenost na rizika a katastrofy souvise</w:t>
      </w:r>
      <w:r w:rsidR="00167930" w:rsidRPr="00AB11C5">
        <w:rPr>
          <w:rFonts w:ascii="Times New Roman" w:hAnsi="Times New Roman" w:cs="Times New Roman"/>
          <w:b/>
          <w:i/>
          <w:color w:val="000000"/>
          <w:sz w:val="24"/>
          <w:szCs w:val="24"/>
        </w:rPr>
        <w:t>jící především se změnou klimat</w:t>
      </w:r>
      <w:r w:rsidRPr="00842329">
        <w:rPr>
          <w:rFonts w:ascii="Times New Roman" w:hAnsi="Times New Roman" w:cs="Times New Roman"/>
          <w:b/>
          <w:i/>
          <w:color w:val="000000"/>
          <w:sz w:val="24"/>
          <w:szCs w:val="24"/>
        </w:rPr>
        <w:t>u</w:t>
      </w:r>
    </w:p>
    <w:p w:rsidR="00226C1D" w:rsidRPr="000B521F" w:rsidRDefault="00226C1D" w:rsidP="00D446F4">
      <w:pPr>
        <w:spacing w:after="120" w:line="240" w:lineRule="auto"/>
        <w:contextualSpacing/>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Hrozba častého výskytu extrémních meteorologických jevů (především povodní)</w:t>
      </w:r>
      <w:r w:rsidR="00D446F4">
        <w:rPr>
          <w:rFonts w:ascii="Times New Roman" w:hAnsi="Times New Roman" w:cs="Times New Roman"/>
          <w:color w:val="000000"/>
          <w:sz w:val="24"/>
          <w:szCs w:val="24"/>
        </w:rPr>
        <w:t>.</w:t>
      </w:r>
    </w:p>
    <w:p w:rsidR="00226C1D" w:rsidRDefault="00226C1D" w:rsidP="00D446F4">
      <w:p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Především od 90. let 20. století je v ČR zvýšená intenzita povodní, v případě let 1997, 2002 a 2013 se jednalo o zasažení značného území ČR. Hospodářské škody způsobené povodněmi jsou důsledkem změn v krajině, které způsobilo  intenzivní zemědělství především v 2. polovině 20. století, kdy bylo dosaženo vysokého podílu zornění půdy, dalším vlivem je  pěstování nevhodných plodin podmiňující zrychlený odtok vody z krajiny. Nadále je nezbytné zv</w:t>
      </w:r>
      <w:r w:rsidR="005A5077">
        <w:rPr>
          <w:rFonts w:ascii="Times New Roman" w:hAnsi="Times New Roman" w:cs="Times New Roman"/>
          <w:color w:val="000000"/>
          <w:sz w:val="24"/>
          <w:szCs w:val="24"/>
        </w:rPr>
        <w:t>y</w:t>
      </w:r>
      <w:r w:rsidRPr="000B521F">
        <w:rPr>
          <w:rFonts w:ascii="Times New Roman" w:hAnsi="Times New Roman" w:cs="Times New Roman"/>
          <w:color w:val="000000"/>
          <w:sz w:val="24"/>
          <w:szCs w:val="24"/>
        </w:rPr>
        <w:t>šování retenční schopnosti krajiny a zpomalování odtoku vody – realizace přírodě blízkých a technických opatření na ochranu proti povodním</w:t>
      </w:r>
      <w:r w:rsidR="0028222B" w:rsidRPr="000B521F">
        <w:rPr>
          <w:rFonts w:ascii="Times New Roman" w:hAnsi="Times New Roman" w:cs="Times New Roman"/>
          <w:color w:val="000000"/>
          <w:sz w:val="24"/>
          <w:szCs w:val="24"/>
        </w:rPr>
        <w:t>, a</w:t>
      </w:r>
      <w:r w:rsidR="0028222B" w:rsidRPr="000B521F">
        <w:rPr>
          <w:rStyle w:val="Siln"/>
          <w:rFonts w:ascii="Times New Roman" w:hAnsi="Times New Roman" w:cs="Times New Roman"/>
          <w:b w:val="0"/>
          <w:sz w:val="24"/>
          <w:szCs w:val="24"/>
        </w:rPr>
        <w:t xml:space="preserve"> to v souladu s Plánem hlavních povodí České republiky a jednotlivými plány oblastí povodí</w:t>
      </w:r>
      <w:r w:rsidRPr="000B521F">
        <w:rPr>
          <w:rFonts w:ascii="Times New Roman" w:hAnsi="Times New Roman" w:cs="Times New Roman"/>
          <w:color w:val="000000"/>
          <w:sz w:val="24"/>
          <w:szCs w:val="24"/>
        </w:rPr>
        <w:t>.</w:t>
      </w:r>
    </w:p>
    <w:p w:rsidR="004F244F" w:rsidRDefault="004F244F" w:rsidP="004F244F">
      <w:pPr>
        <w:tabs>
          <w:tab w:val="left" w:pos="0"/>
        </w:tabs>
        <w:spacing w:line="240" w:lineRule="auto"/>
        <w:jc w:val="both"/>
        <w:rPr>
          <w:rFonts w:ascii="Times New Roman" w:hAnsi="Times New Roman" w:cs="Times New Roman"/>
          <w:color w:val="000000"/>
          <w:sz w:val="24"/>
          <w:szCs w:val="24"/>
        </w:rPr>
      </w:pPr>
      <w:r w:rsidRPr="00CD3EB9">
        <w:rPr>
          <w:rFonts w:ascii="Times New Roman" w:hAnsi="Times New Roman" w:cs="Times New Roman"/>
          <w:color w:val="000000"/>
          <w:sz w:val="24"/>
          <w:szCs w:val="24"/>
        </w:rPr>
        <w:t>Zemědělství a lesnictví stále představují značný potenciál ve využití biomasy</w:t>
      </w:r>
      <w:r>
        <w:rPr>
          <w:rFonts w:ascii="Times New Roman" w:hAnsi="Times New Roman" w:cs="Times New Roman"/>
          <w:color w:val="000000"/>
          <w:sz w:val="24"/>
          <w:szCs w:val="24"/>
        </w:rPr>
        <w:t>.</w:t>
      </w:r>
      <w:r w:rsidRPr="00CD3EB9">
        <w:rPr>
          <w:rFonts w:ascii="Times New Roman" w:hAnsi="Times New Roman" w:cs="Times New Roman"/>
          <w:color w:val="000000"/>
          <w:sz w:val="24"/>
          <w:szCs w:val="24"/>
        </w:rPr>
        <w:t xml:space="preserve"> </w:t>
      </w:r>
      <w:r>
        <w:rPr>
          <w:rFonts w:ascii="Times New Roman" w:hAnsi="Times New Roman" w:cs="Times New Roman"/>
          <w:color w:val="000000"/>
          <w:sz w:val="24"/>
          <w:szCs w:val="24"/>
        </w:rPr>
        <w:t>I</w:t>
      </w:r>
      <w:r w:rsidRPr="00CD3EB9">
        <w:rPr>
          <w:rFonts w:ascii="Times New Roman" w:hAnsi="Times New Roman" w:cs="Times New Roman"/>
          <w:color w:val="000000"/>
          <w:sz w:val="24"/>
          <w:szCs w:val="24"/>
        </w:rPr>
        <w:t xml:space="preserve"> když možnosti dřevní biomasy jsou již částečně využívány</w:t>
      </w:r>
      <w:r>
        <w:rPr>
          <w:rFonts w:ascii="Times New Roman" w:hAnsi="Times New Roman" w:cs="Times New Roman"/>
          <w:color w:val="000000"/>
          <w:sz w:val="24"/>
          <w:szCs w:val="24"/>
        </w:rPr>
        <w:t>, n</w:t>
      </w:r>
      <w:r w:rsidRPr="00CD3EB9">
        <w:rPr>
          <w:rFonts w:ascii="Times New Roman" w:hAnsi="Times New Roman" w:cs="Times New Roman"/>
          <w:color w:val="000000"/>
          <w:sz w:val="24"/>
          <w:szCs w:val="24"/>
        </w:rPr>
        <w:t>edostatečně je dosud využíván obecně biologicky rozložitelný odpad.</w:t>
      </w:r>
      <w:r>
        <w:rPr>
          <w:rFonts w:ascii="Times New Roman" w:hAnsi="Times New Roman" w:cs="Times New Roman"/>
          <w:color w:val="000000"/>
          <w:sz w:val="24"/>
          <w:szCs w:val="24"/>
        </w:rPr>
        <w:t xml:space="preserve"> V zemědělství rovněž existují rezervy </w:t>
      </w:r>
      <w:r w:rsidRPr="00CD3EB9">
        <w:rPr>
          <w:rFonts w:ascii="Times New Roman" w:hAnsi="Times New Roman" w:cs="Times New Roman"/>
          <w:color w:val="000000"/>
          <w:sz w:val="24"/>
          <w:szCs w:val="24"/>
        </w:rPr>
        <w:t>ve snižování emisí skleníkových plynů</w:t>
      </w:r>
      <w:r>
        <w:rPr>
          <w:rFonts w:ascii="Times New Roman" w:hAnsi="Times New Roman" w:cs="Times New Roman"/>
          <w:color w:val="000000"/>
          <w:sz w:val="24"/>
          <w:szCs w:val="24"/>
        </w:rPr>
        <w:t xml:space="preserve">. </w:t>
      </w:r>
      <w:r w:rsidRPr="006F05D7">
        <w:rPr>
          <w:rFonts w:ascii="Times New Roman" w:hAnsi="Times New Roman" w:cs="Times New Roman"/>
          <w:sz w:val="24"/>
          <w:szCs w:val="24"/>
        </w:rPr>
        <w:t xml:space="preserve">Kvalitu půdy, obsah organického uhlíku a množství emisí skleníkových </w:t>
      </w:r>
      <w:r w:rsidRPr="006F05D7">
        <w:rPr>
          <w:rFonts w:ascii="Times New Roman" w:hAnsi="Times New Roman" w:cs="Times New Roman"/>
          <w:sz w:val="24"/>
          <w:szCs w:val="24"/>
        </w:rPr>
        <w:lastRenderedPageBreak/>
        <w:t>plynů lze významn</w:t>
      </w:r>
      <w:r>
        <w:rPr>
          <w:rFonts w:ascii="Times New Roman" w:hAnsi="Times New Roman" w:cs="Times New Roman"/>
          <w:sz w:val="24"/>
          <w:szCs w:val="24"/>
        </w:rPr>
        <w:t>ě ovlivnit způsobem hospodaření</w:t>
      </w:r>
      <w:r w:rsidRPr="006F05D7">
        <w:rPr>
          <w:rFonts w:ascii="Times New Roman" w:hAnsi="Times New Roman" w:cs="Times New Roman"/>
          <w:color w:val="000000"/>
          <w:sz w:val="24"/>
          <w:szCs w:val="24"/>
        </w:rPr>
        <w:t xml:space="preserve"> </w:t>
      </w:r>
      <w:r w:rsidRPr="00CD3EB9">
        <w:rPr>
          <w:rFonts w:ascii="Times New Roman" w:hAnsi="Times New Roman" w:cs="Times New Roman"/>
          <w:color w:val="000000"/>
          <w:sz w:val="24"/>
          <w:szCs w:val="24"/>
        </w:rPr>
        <w:t>(převod</w:t>
      </w:r>
      <w:r>
        <w:rPr>
          <w:rFonts w:ascii="Times New Roman" w:hAnsi="Times New Roman" w:cs="Times New Roman"/>
          <w:color w:val="000000"/>
          <w:sz w:val="24"/>
          <w:szCs w:val="24"/>
        </w:rPr>
        <w:t>em</w:t>
      </w:r>
      <w:r w:rsidRPr="00CD3EB9">
        <w:rPr>
          <w:rFonts w:ascii="Times New Roman" w:hAnsi="Times New Roman" w:cs="Times New Roman"/>
          <w:color w:val="000000"/>
          <w:sz w:val="24"/>
          <w:szCs w:val="24"/>
        </w:rPr>
        <w:t xml:space="preserve"> orné půdy na trvalé kultury s vyšší sekvestrací uhlíku, </w:t>
      </w:r>
      <w:r>
        <w:rPr>
          <w:rFonts w:ascii="Times New Roman" w:hAnsi="Times New Roman" w:cs="Times New Roman"/>
          <w:color w:val="000000"/>
          <w:sz w:val="24"/>
          <w:szCs w:val="24"/>
        </w:rPr>
        <w:t>budování</w:t>
      </w:r>
      <w:r w:rsidRPr="00CD3EB9">
        <w:rPr>
          <w:rFonts w:ascii="Times New Roman" w:hAnsi="Times New Roman" w:cs="Times New Roman"/>
          <w:color w:val="000000"/>
          <w:sz w:val="24"/>
          <w:szCs w:val="24"/>
        </w:rPr>
        <w:t xml:space="preserve"> kapacit jímek na hnojiva aj.)</w:t>
      </w:r>
      <w:r>
        <w:rPr>
          <w:rFonts w:ascii="Times New Roman" w:hAnsi="Times New Roman" w:cs="Times New Roman"/>
          <w:color w:val="000000"/>
          <w:sz w:val="24"/>
          <w:szCs w:val="24"/>
        </w:rPr>
        <w:t>.</w:t>
      </w:r>
    </w:p>
    <w:p w:rsidR="004F244F" w:rsidRPr="000B521F" w:rsidRDefault="004F244F" w:rsidP="00D446F4">
      <w:pPr>
        <w:spacing w:after="120" w:line="240" w:lineRule="auto"/>
        <w:jc w:val="both"/>
        <w:rPr>
          <w:rFonts w:ascii="Times New Roman" w:hAnsi="Times New Roman" w:cs="Times New Roman"/>
          <w:color w:val="000000"/>
          <w:sz w:val="24"/>
          <w:szCs w:val="24"/>
        </w:rPr>
      </w:pPr>
    </w:p>
    <w:p w:rsidR="00226C1D" w:rsidRPr="000B521F" w:rsidRDefault="00226C1D" w:rsidP="0059011D">
      <w:pPr>
        <w:pStyle w:val="Bezmezer"/>
        <w:rPr>
          <w:rFonts w:ascii="Times New Roman" w:hAnsi="Times New Roman" w:cs="Times New Roman"/>
          <w:sz w:val="24"/>
          <w:szCs w:val="24"/>
        </w:rPr>
      </w:pPr>
      <w:r w:rsidRPr="000B521F">
        <w:rPr>
          <w:rFonts w:ascii="Times New Roman" w:hAnsi="Times New Roman" w:cs="Times New Roman"/>
          <w:i/>
          <w:sz w:val="24"/>
          <w:szCs w:val="24"/>
        </w:rPr>
        <w:t>Potřeby rozvoje</w:t>
      </w:r>
      <w:r w:rsidRPr="000B521F">
        <w:rPr>
          <w:rFonts w:ascii="Times New Roman" w:hAnsi="Times New Roman" w:cs="Times New Roman"/>
          <w:sz w:val="24"/>
          <w:szCs w:val="24"/>
        </w:rPr>
        <w:t>:</w:t>
      </w:r>
    </w:p>
    <w:p w:rsidR="008206A4" w:rsidRPr="000B521F" w:rsidRDefault="00226C1D" w:rsidP="0059011D">
      <w:pPr>
        <w:pStyle w:val="Bezmezer"/>
        <w:numPr>
          <w:ilvl w:val="0"/>
          <w:numId w:val="72"/>
        </w:numPr>
        <w:rPr>
          <w:rFonts w:ascii="Times New Roman" w:hAnsi="Times New Roman" w:cs="Times New Roman"/>
          <w:sz w:val="24"/>
          <w:szCs w:val="24"/>
        </w:rPr>
      </w:pPr>
      <w:r w:rsidRPr="000B521F">
        <w:rPr>
          <w:rFonts w:ascii="Times New Roman" w:hAnsi="Times New Roman" w:cs="Times New Roman"/>
          <w:sz w:val="24"/>
          <w:szCs w:val="24"/>
        </w:rPr>
        <w:t>Úprava zemědělského a lesního hospodaření</w:t>
      </w:r>
      <w:r w:rsidR="00D446F4">
        <w:rPr>
          <w:rFonts w:ascii="Times New Roman" w:hAnsi="Times New Roman" w:cs="Times New Roman"/>
          <w:sz w:val="24"/>
          <w:szCs w:val="24"/>
        </w:rPr>
        <w:t>.</w:t>
      </w:r>
    </w:p>
    <w:p w:rsidR="008206A4" w:rsidRPr="000B521F" w:rsidRDefault="00226C1D" w:rsidP="0059011D">
      <w:pPr>
        <w:pStyle w:val="Bezmezer"/>
        <w:numPr>
          <w:ilvl w:val="0"/>
          <w:numId w:val="72"/>
        </w:numPr>
        <w:rPr>
          <w:rFonts w:ascii="Times New Roman" w:hAnsi="Times New Roman" w:cs="Times New Roman"/>
          <w:sz w:val="24"/>
          <w:szCs w:val="24"/>
        </w:rPr>
      </w:pPr>
      <w:r w:rsidRPr="000B521F">
        <w:rPr>
          <w:rFonts w:ascii="Times New Roman" w:hAnsi="Times New Roman" w:cs="Times New Roman"/>
          <w:sz w:val="24"/>
          <w:szCs w:val="24"/>
        </w:rPr>
        <w:t>Realizace specifických přírodě blízkých a technických opatření vedoucích  k adaptaci na klimatickou změnu v krajině (např. zvýšení retenční schopnosti krajiny)</w:t>
      </w:r>
      <w:r w:rsidR="00D446F4">
        <w:rPr>
          <w:rFonts w:ascii="Times New Roman" w:hAnsi="Times New Roman" w:cs="Times New Roman"/>
          <w:sz w:val="24"/>
          <w:szCs w:val="24"/>
        </w:rPr>
        <w:t>.</w:t>
      </w:r>
    </w:p>
    <w:p w:rsidR="008206A4" w:rsidRDefault="00226C1D" w:rsidP="0059011D">
      <w:pPr>
        <w:numPr>
          <w:ilvl w:val="0"/>
          <w:numId w:val="72"/>
        </w:numPr>
        <w:spacing w:after="120" w:line="240" w:lineRule="auto"/>
        <w:contextualSpacing/>
        <w:jc w:val="both"/>
        <w:rPr>
          <w:rFonts w:ascii="Times New Roman" w:hAnsi="Times New Roman" w:cs="Times New Roman"/>
          <w:sz w:val="24"/>
          <w:szCs w:val="24"/>
        </w:rPr>
      </w:pPr>
      <w:r w:rsidRPr="000B521F">
        <w:rPr>
          <w:rFonts w:ascii="Times New Roman" w:hAnsi="Times New Roman" w:cs="Times New Roman"/>
          <w:sz w:val="24"/>
          <w:szCs w:val="24"/>
        </w:rPr>
        <w:t>Analýza, prevence</w:t>
      </w:r>
      <w:r w:rsidR="00167930">
        <w:rPr>
          <w:rFonts w:ascii="Times New Roman" w:hAnsi="Times New Roman" w:cs="Times New Roman"/>
          <w:sz w:val="24"/>
          <w:szCs w:val="24"/>
        </w:rPr>
        <w:t xml:space="preserve">, řešení a řízení rizik a </w:t>
      </w:r>
      <w:r w:rsidRPr="000B521F">
        <w:rPr>
          <w:rFonts w:ascii="Times New Roman" w:hAnsi="Times New Roman" w:cs="Times New Roman"/>
          <w:sz w:val="24"/>
          <w:szCs w:val="24"/>
        </w:rPr>
        <w:t xml:space="preserve">dopadů přírodních katastrof a živelních pohrom souvisejících </w:t>
      </w:r>
      <w:r w:rsidR="00167930">
        <w:rPr>
          <w:rFonts w:ascii="Times New Roman" w:hAnsi="Times New Roman" w:cs="Times New Roman"/>
          <w:sz w:val="24"/>
          <w:szCs w:val="24"/>
        </w:rPr>
        <w:t xml:space="preserve">především </w:t>
      </w:r>
      <w:r w:rsidRPr="000B521F">
        <w:rPr>
          <w:rFonts w:ascii="Times New Roman" w:hAnsi="Times New Roman" w:cs="Times New Roman"/>
          <w:sz w:val="24"/>
          <w:szCs w:val="24"/>
        </w:rPr>
        <w:t>se změnou klimatu</w:t>
      </w:r>
      <w:r w:rsidR="00D446F4">
        <w:rPr>
          <w:rFonts w:ascii="Times New Roman" w:hAnsi="Times New Roman" w:cs="Times New Roman"/>
          <w:sz w:val="24"/>
          <w:szCs w:val="24"/>
        </w:rPr>
        <w:t>.</w:t>
      </w:r>
      <w:r w:rsidRPr="000B521F">
        <w:rPr>
          <w:rFonts w:ascii="Times New Roman" w:hAnsi="Times New Roman" w:cs="Times New Roman"/>
          <w:sz w:val="24"/>
          <w:szCs w:val="24"/>
        </w:rPr>
        <w:t xml:space="preserve"> </w:t>
      </w:r>
    </w:p>
    <w:p w:rsidR="004F244F" w:rsidRDefault="004F244F" w:rsidP="004F244F">
      <w:pPr>
        <w:numPr>
          <w:ilvl w:val="0"/>
          <w:numId w:val="72"/>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Zvyšování sekvestračního potenciálu zemědělských půd.</w:t>
      </w:r>
    </w:p>
    <w:p w:rsidR="008206A4" w:rsidRPr="000B521F" w:rsidRDefault="009D6753" w:rsidP="0059011D">
      <w:pPr>
        <w:numPr>
          <w:ilvl w:val="0"/>
          <w:numId w:val="72"/>
        </w:numPr>
        <w:spacing w:after="120" w:line="240" w:lineRule="auto"/>
        <w:contextualSpacing/>
        <w:jc w:val="both"/>
        <w:rPr>
          <w:rFonts w:ascii="Times New Roman" w:hAnsi="Times New Roman" w:cs="Times New Roman"/>
          <w:sz w:val="24"/>
          <w:szCs w:val="24"/>
        </w:rPr>
      </w:pPr>
      <w:r w:rsidRPr="000B521F">
        <w:rPr>
          <w:rFonts w:ascii="Times New Roman" w:hAnsi="Times New Roman" w:cs="Times New Roman"/>
          <w:sz w:val="24"/>
          <w:szCs w:val="24"/>
        </w:rPr>
        <w:t>Realizace adaptačních opatření ve městech v rámci jiných investic</w:t>
      </w:r>
      <w:r w:rsidR="00D446F4">
        <w:rPr>
          <w:rFonts w:ascii="Times New Roman" w:hAnsi="Times New Roman" w:cs="Times New Roman"/>
          <w:sz w:val="24"/>
          <w:szCs w:val="24"/>
        </w:rPr>
        <w:t>.</w:t>
      </w:r>
    </w:p>
    <w:p w:rsidR="008206A4" w:rsidRPr="000B521F" w:rsidRDefault="00226C1D" w:rsidP="0059011D">
      <w:pPr>
        <w:numPr>
          <w:ilvl w:val="0"/>
          <w:numId w:val="72"/>
        </w:numPr>
        <w:spacing w:after="120" w:line="240" w:lineRule="auto"/>
        <w:contextualSpacing/>
        <w:jc w:val="both"/>
        <w:rPr>
          <w:rFonts w:ascii="Times New Roman" w:hAnsi="Times New Roman" w:cs="Times New Roman"/>
          <w:sz w:val="24"/>
          <w:szCs w:val="24"/>
        </w:rPr>
      </w:pPr>
      <w:r w:rsidRPr="000B521F">
        <w:rPr>
          <w:rFonts w:ascii="Times New Roman" w:hAnsi="Times New Roman" w:cs="Times New Roman"/>
          <w:sz w:val="24"/>
          <w:szCs w:val="24"/>
        </w:rPr>
        <w:t>Rozvoj systémů nakládání se srážkovými vodami zejména v městských oblastech</w:t>
      </w:r>
      <w:r w:rsidR="00D446F4">
        <w:rPr>
          <w:rFonts w:ascii="Times New Roman" w:hAnsi="Times New Roman" w:cs="Times New Roman"/>
          <w:sz w:val="24"/>
          <w:szCs w:val="24"/>
        </w:rPr>
        <w:t>.</w:t>
      </w:r>
    </w:p>
    <w:p w:rsidR="008206A4" w:rsidRPr="000B521F" w:rsidRDefault="00226C1D" w:rsidP="0059011D">
      <w:pPr>
        <w:pStyle w:val="Odstavecseseznamem"/>
        <w:numPr>
          <w:ilvl w:val="0"/>
          <w:numId w:val="72"/>
        </w:numPr>
        <w:tabs>
          <w:tab w:val="num" w:pos="1210"/>
        </w:tabs>
        <w:spacing w:after="0" w:line="240" w:lineRule="auto"/>
        <w:jc w:val="both"/>
        <w:rPr>
          <w:rFonts w:ascii="Times New Roman" w:hAnsi="Times New Roman" w:cs="Times New Roman"/>
          <w:b/>
          <w:sz w:val="24"/>
          <w:szCs w:val="24"/>
        </w:rPr>
      </w:pPr>
      <w:r w:rsidRPr="000B521F">
        <w:rPr>
          <w:rFonts w:ascii="Times New Roman" w:hAnsi="Times New Roman" w:cs="Times New Roman"/>
          <w:sz w:val="24"/>
          <w:szCs w:val="24"/>
        </w:rPr>
        <w:t>Rozvoj varovného systému ochrany před povodněmi</w:t>
      </w:r>
      <w:r w:rsidR="00D446F4">
        <w:rPr>
          <w:rFonts w:ascii="Times New Roman" w:hAnsi="Times New Roman" w:cs="Times New Roman"/>
          <w:sz w:val="24"/>
          <w:szCs w:val="24"/>
        </w:rPr>
        <w:t>.</w:t>
      </w:r>
    </w:p>
    <w:p w:rsidR="00BE31D3" w:rsidRPr="00BE31D3" w:rsidRDefault="009D6753" w:rsidP="00BE31D3">
      <w:pPr>
        <w:pStyle w:val="Odstavecseseznamem"/>
        <w:numPr>
          <w:ilvl w:val="0"/>
          <w:numId w:val="72"/>
        </w:numPr>
        <w:tabs>
          <w:tab w:val="num" w:pos="1210"/>
        </w:tabs>
        <w:spacing w:after="0" w:line="240" w:lineRule="auto"/>
        <w:jc w:val="both"/>
        <w:rPr>
          <w:rFonts w:ascii="Times New Roman" w:hAnsi="Times New Roman" w:cs="Times New Roman"/>
          <w:b/>
          <w:sz w:val="24"/>
          <w:szCs w:val="24"/>
        </w:rPr>
      </w:pPr>
      <w:r w:rsidRPr="000B521F">
        <w:rPr>
          <w:rFonts w:ascii="Times New Roman" w:hAnsi="Times New Roman" w:cs="Times New Roman"/>
          <w:sz w:val="24"/>
          <w:szCs w:val="24"/>
        </w:rPr>
        <w:t>Rozšiřování a revitalizace ploch zeleně ve městech</w:t>
      </w:r>
      <w:r w:rsidR="00D446F4">
        <w:rPr>
          <w:rFonts w:ascii="Times New Roman" w:hAnsi="Times New Roman" w:cs="Times New Roman"/>
          <w:sz w:val="24"/>
          <w:szCs w:val="24"/>
        </w:rPr>
        <w:t>.</w:t>
      </w:r>
    </w:p>
    <w:p w:rsidR="00F3719F" w:rsidRDefault="00BE31D3">
      <w:pPr>
        <w:spacing w:after="0" w:line="240" w:lineRule="auto"/>
        <w:jc w:val="both"/>
        <w:rPr>
          <w:rFonts w:ascii="Times New Roman" w:hAnsi="Times New Roman" w:cs="Times New Roman"/>
          <w:b/>
          <w:sz w:val="24"/>
          <w:szCs w:val="24"/>
        </w:rPr>
      </w:pPr>
      <w:r w:rsidRPr="00BE31D3">
        <w:rPr>
          <w:rFonts w:ascii="Times New Roman" w:hAnsi="Times New Roman" w:cs="Times New Roman"/>
          <w:b/>
          <w:sz w:val="24"/>
          <w:szCs w:val="24"/>
        </w:rPr>
        <w:t>Specifické potřeby a výzvy městského a venkovského prostoru a přeshraničních regionů</w:t>
      </w:r>
    </w:p>
    <w:p w:rsidR="00F3719F" w:rsidRDefault="005A5077">
      <w:pPr>
        <w:pStyle w:val="Odstavecseseznamem"/>
        <w:numPr>
          <w:ilvl w:val="0"/>
          <w:numId w:val="15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00842329" w:rsidRPr="00842329">
        <w:rPr>
          <w:rFonts w:ascii="Times New Roman" w:hAnsi="Times New Roman" w:cs="Times New Roman"/>
          <w:sz w:val="24"/>
          <w:szCs w:val="24"/>
        </w:rPr>
        <w:t> ohledem na přeshraniční dimenzi některých extrémních meteorologických jevů je nutná užší spolupráce krizového řízení a složek integrovaného záchranného systému po obou stranách hranice</w:t>
      </w:r>
      <w:r>
        <w:rPr>
          <w:rFonts w:ascii="Times New Roman" w:hAnsi="Times New Roman" w:cs="Times New Roman"/>
          <w:sz w:val="24"/>
          <w:szCs w:val="24"/>
        </w:rPr>
        <w:t>.</w:t>
      </w:r>
    </w:p>
    <w:p w:rsidR="00226C1D" w:rsidRPr="000B521F" w:rsidRDefault="00226C1D" w:rsidP="0059011D">
      <w:pPr>
        <w:pStyle w:val="Tabulka"/>
        <w:spacing w:before="120" w:after="60"/>
        <w:rPr>
          <w:szCs w:val="20"/>
        </w:rPr>
      </w:pPr>
      <w:r w:rsidRPr="000B521F">
        <w:rPr>
          <w:szCs w:val="20"/>
        </w:rPr>
        <w:t>Vazby na dokumenty EU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117"/>
      </w:tblGrid>
      <w:tr w:rsidR="00226C1D" w:rsidRPr="000B521F" w:rsidTr="00761093">
        <w:trPr>
          <w:trHeight w:val="765"/>
        </w:trPr>
        <w:tc>
          <w:tcPr>
            <w:tcW w:w="1985"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226C1D" w:rsidRPr="000B521F" w:rsidRDefault="00226C1D"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Strategie Evropa 2020</w:t>
            </w:r>
          </w:p>
        </w:tc>
        <w:tc>
          <w:tcPr>
            <w:tcW w:w="7117" w:type="dxa"/>
            <w:tcBorders>
              <w:top w:val="single" w:sz="4" w:space="0" w:color="000000"/>
              <w:left w:val="single" w:sz="4" w:space="0" w:color="000000"/>
              <w:bottom w:val="single" w:sz="4" w:space="0" w:color="000000"/>
              <w:right w:val="single" w:sz="4" w:space="0" w:color="000000"/>
            </w:tcBorders>
            <w:vAlign w:val="center"/>
            <w:hideMark/>
          </w:tcPr>
          <w:p w:rsidR="00226C1D" w:rsidRPr="000B521F" w:rsidRDefault="00226C1D" w:rsidP="0059011D">
            <w:pPr>
              <w:pStyle w:val="DAVA"/>
              <w:spacing w:before="60" w:after="60"/>
              <w:rPr>
                <w:rFonts w:ascii="Times New Roman" w:hAnsi="Times New Roman"/>
                <w:sz w:val="20"/>
                <w:szCs w:val="20"/>
              </w:rPr>
            </w:pPr>
            <w:r w:rsidRPr="000B521F">
              <w:rPr>
                <w:rFonts w:ascii="Times New Roman" w:hAnsi="Times New Roman"/>
                <w:sz w:val="20"/>
                <w:szCs w:val="20"/>
              </w:rPr>
              <w:t>3. Snížit emise skleníkových plynů oproti úrovním roku 1990 nejméně o 20% nebo, pokud budou podmínky příznivé, o 30%; zvýšit podíl obnovitelných zdrojů energie v naší konečné spotřebě energie na 20% a zvýšit energetickou účinnost o 20%. Iniciativa „Evropa méně náročná na zdroje“ (částečně iniciativy „Průmyslová politika pro svět globalizace“ a „Unie inovací“). Integrovaný hlavní směr 5 „Zefektivnit využívání zdrojů a snížit emise skleníkových plynů“</w:t>
            </w:r>
            <w:r w:rsidR="00D446F4">
              <w:rPr>
                <w:rFonts w:ascii="Times New Roman" w:hAnsi="Times New Roman"/>
                <w:sz w:val="20"/>
                <w:szCs w:val="20"/>
              </w:rPr>
              <w:t>.</w:t>
            </w:r>
            <w:r w:rsidRPr="000B521F">
              <w:rPr>
                <w:rFonts w:ascii="Times New Roman" w:hAnsi="Times New Roman"/>
                <w:sz w:val="20"/>
                <w:szCs w:val="20"/>
              </w:rPr>
              <w:t xml:space="preserve"> </w:t>
            </w:r>
          </w:p>
        </w:tc>
      </w:tr>
      <w:tr w:rsidR="00226C1D" w:rsidRPr="000B521F" w:rsidTr="00761093">
        <w:trPr>
          <w:trHeight w:val="407"/>
        </w:trPr>
        <w:tc>
          <w:tcPr>
            <w:tcW w:w="1985"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226C1D" w:rsidRPr="000B521F" w:rsidRDefault="00226C1D"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Společný strategický rámec</w:t>
            </w:r>
          </w:p>
        </w:tc>
        <w:tc>
          <w:tcPr>
            <w:tcW w:w="7117" w:type="dxa"/>
            <w:tcBorders>
              <w:top w:val="single" w:sz="4" w:space="0" w:color="000000"/>
              <w:left w:val="single" w:sz="4" w:space="0" w:color="000000"/>
              <w:bottom w:val="single" w:sz="4" w:space="0" w:color="000000"/>
              <w:right w:val="single" w:sz="4" w:space="0" w:color="000000"/>
            </w:tcBorders>
            <w:vAlign w:val="center"/>
            <w:hideMark/>
          </w:tcPr>
          <w:p w:rsidR="00226C1D" w:rsidRPr="000B521F" w:rsidRDefault="00226C1D" w:rsidP="0059011D">
            <w:pPr>
              <w:pStyle w:val="DAVA"/>
              <w:spacing w:before="60" w:after="60"/>
              <w:rPr>
                <w:rFonts w:ascii="Times New Roman" w:hAnsi="Times New Roman"/>
                <w:sz w:val="20"/>
                <w:szCs w:val="20"/>
              </w:rPr>
            </w:pPr>
            <w:r w:rsidRPr="000B521F">
              <w:rPr>
                <w:rFonts w:ascii="Times New Roman" w:hAnsi="Times New Roman"/>
                <w:sz w:val="20"/>
                <w:szCs w:val="20"/>
              </w:rPr>
              <w:t>Příloha 1:</w:t>
            </w:r>
          </w:p>
          <w:p w:rsidR="00226C1D" w:rsidRPr="000B521F" w:rsidRDefault="00226C1D" w:rsidP="0059011D">
            <w:pPr>
              <w:pStyle w:val="DAVA"/>
              <w:spacing w:before="60" w:after="60"/>
              <w:rPr>
                <w:rFonts w:ascii="Times New Roman" w:hAnsi="Times New Roman"/>
                <w:sz w:val="20"/>
                <w:szCs w:val="20"/>
              </w:rPr>
            </w:pPr>
            <w:r w:rsidRPr="000B521F">
              <w:rPr>
                <w:rFonts w:ascii="Times New Roman" w:hAnsi="Times New Roman"/>
                <w:sz w:val="20"/>
                <w:szCs w:val="20"/>
              </w:rPr>
              <w:t>5.2 Udržitelný rozvoj – členské státy by měly brát v úvahu zmírnění a přizpůsobení se změně klimatu a pružně reagovat na dopady klimatických změn a přírodních katastrof jako jsou záplavy, sucho, vlny veder, lesní požáry a extrémní počasí.</w:t>
            </w:r>
          </w:p>
          <w:p w:rsidR="00226C1D" w:rsidRPr="000B521F" w:rsidRDefault="00226C1D" w:rsidP="0059011D">
            <w:pPr>
              <w:pStyle w:val="DAVA"/>
              <w:spacing w:before="60" w:after="60"/>
              <w:rPr>
                <w:rFonts w:ascii="Times New Roman" w:hAnsi="Times New Roman"/>
                <w:sz w:val="20"/>
                <w:szCs w:val="20"/>
              </w:rPr>
            </w:pPr>
            <w:r w:rsidRPr="000B521F">
              <w:rPr>
                <w:rFonts w:ascii="Times New Roman" w:hAnsi="Times New Roman"/>
                <w:sz w:val="20"/>
                <w:szCs w:val="20"/>
              </w:rPr>
              <w:t>5.6 Zmírnění a přizpůsobení se změně klimatu – zmírnění změny klimatu, přizpůsobení se změně a předcházení rizikům změny by mělo být zaintegrováno do přípravy a implementace Dohody o Partnerství a programům.</w:t>
            </w:r>
          </w:p>
        </w:tc>
      </w:tr>
      <w:tr w:rsidR="00226C1D" w:rsidRPr="000B521F" w:rsidTr="00761093">
        <w:trPr>
          <w:trHeight w:val="407"/>
        </w:trPr>
        <w:tc>
          <w:tcPr>
            <w:tcW w:w="1985"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226C1D" w:rsidRPr="000B521F" w:rsidRDefault="00226C1D"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Tematické cíle</w:t>
            </w:r>
          </w:p>
        </w:tc>
        <w:tc>
          <w:tcPr>
            <w:tcW w:w="7117" w:type="dxa"/>
            <w:tcBorders>
              <w:top w:val="single" w:sz="4" w:space="0" w:color="000000"/>
              <w:left w:val="single" w:sz="4" w:space="0" w:color="000000"/>
              <w:bottom w:val="single" w:sz="4" w:space="0" w:color="000000"/>
              <w:right w:val="single" w:sz="4" w:space="0" w:color="000000"/>
            </w:tcBorders>
            <w:vAlign w:val="center"/>
            <w:hideMark/>
          </w:tcPr>
          <w:p w:rsidR="00226C1D" w:rsidRPr="000B521F" w:rsidRDefault="00226C1D" w:rsidP="0059011D">
            <w:pPr>
              <w:pStyle w:val="DAVA"/>
              <w:spacing w:before="60" w:after="60"/>
              <w:rPr>
                <w:rFonts w:ascii="Times New Roman" w:hAnsi="Times New Roman"/>
                <w:sz w:val="20"/>
                <w:szCs w:val="20"/>
              </w:rPr>
            </w:pPr>
            <w:r w:rsidRPr="000B521F">
              <w:rPr>
                <w:rFonts w:ascii="Times New Roman" w:hAnsi="Times New Roman"/>
                <w:sz w:val="20"/>
                <w:szCs w:val="20"/>
              </w:rPr>
              <w:t>5. Podpora přizpůsobení se změně klimatu, předcházení rizikům a řízení rizik</w:t>
            </w:r>
            <w:r w:rsidR="00D446F4">
              <w:rPr>
                <w:rFonts w:ascii="Times New Roman" w:hAnsi="Times New Roman"/>
                <w:sz w:val="20"/>
                <w:szCs w:val="20"/>
              </w:rPr>
              <w:t>.</w:t>
            </w:r>
          </w:p>
          <w:p w:rsidR="00226C1D" w:rsidRPr="000B521F" w:rsidRDefault="00226C1D" w:rsidP="0059011D">
            <w:pPr>
              <w:pStyle w:val="DAVA"/>
              <w:spacing w:before="60" w:after="60"/>
              <w:rPr>
                <w:rFonts w:ascii="Times New Roman" w:hAnsi="Times New Roman"/>
                <w:sz w:val="20"/>
                <w:szCs w:val="20"/>
              </w:rPr>
            </w:pPr>
            <w:r w:rsidRPr="000B521F">
              <w:rPr>
                <w:rFonts w:ascii="Times New Roman" w:hAnsi="Times New Roman"/>
                <w:sz w:val="20"/>
                <w:szCs w:val="20"/>
              </w:rPr>
              <w:t>6. Ochrana životního prostředí a podpora účinného využívání zdrojů</w:t>
            </w:r>
            <w:r w:rsidR="00D446F4">
              <w:rPr>
                <w:rFonts w:ascii="Times New Roman" w:hAnsi="Times New Roman"/>
                <w:sz w:val="20"/>
                <w:szCs w:val="20"/>
              </w:rPr>
              <w:t>.</w:t>
            </w:r>
          </w:p>
        </w:tc>
      </w:tr>
      <w:tr w:rsidR="00226C1D" w:rsidRPr="000B521F" w:rsidTr="00761093">
        <w:tc>
          <w:tcPr>
            <w:tcW w:w="1985"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226C1D" w:rsidRPr="000B521F" w:rsidRDefault="00226C1D"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Specifická doporučení Rady</w:t>
            </w:r>
          </w:p>
        </w:tc>
        <w:tc>
          <w:tcPr>
            <w:tcW w:w="7117" w:type="dxa"/>
            <w:tcBorders>
              <w:top w:val="single" w:sz="4" w:space="0" w:color="000000"/>
              <w:left w:val="single" w:sz="4" w:space="0" w:color="000000"/>
              <w:bottom w:val="single" w:sz="4" w:space="0" w:color="000000"/>
              <w:right w:val="single" w:sz="4" w:space="0" w:color="000000"/>
            </w:tcBorders>
            <w:vAlign w:val="center"/>
            <w:hideMark/>
          </w:tcPr>
          <w:p w:rsidR="00226C1D" w:rsidRPr="000B521F" w:rsidRDefault="00226C1D" w:rsidP="0059011D">
            <w:pPr>
              <w:pStyle w:val="DAVA"/>
              <w:spacing w:before="60" w:after="60"/>
              <w:rPr>
                <w:rFonts w:ascii="Times New Roman" w:hAnsi="Times New Roman"/>
                <w:sz w:val="20"/>
                <w:szCs w:val="20"/>
              </w:rPr>
            </w:pPr>
            <w:r w:rsidRPr="000B521F">
              <w:rPr>
                <w:rFonts w:ascii="Times New Roman" w:hAnsi="Times New Roman"/>
                <w:sz w:val="20"/>
                <w:szCs w:val="20"/>
              </w:rPr>
              <w:t>není vazba</w:t>
            </w:r>
          </w:p>
        </w:tc>
      </w:tr>
    </w:tbl>
    <w:p w:rsidR="00226C1D" w:rsidRPr="000B521F" w:rsidRDefault="00226C1D" w:rsidP="0059011D">
      <w:pPr>
        <w:pStyle w:val="Tabulka"/>
        <w:spacing w:before="120" w:after="60"/>
        <w:rPr>
          <w:szCs w:val="20"/>
        </w:rPr>
      </w:pPr>
      <w:r w:rsidRPr="000B521F">
        <w:rPr>
          <w:szCs w:val="20"/>
        </w:rPr>
        <w:t>Vazby na dokumenty ČR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193"/>
      </w:tblGrid>
      <w:tr w:rsidR="00226C1D" w:rsidRPr="000B521F" w:rsidTr="00761093">
        <w:trPr>
          <w:trHeight w:val="395"/>
        </w:trPr>
        <w:tc>
          <w:tcPr>
            <w:tcW w:w="1985"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226C1D" w:rsidRPr="000B521F" w:rsidRDefault="00226C1D"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Národní program reforem</w:t>
            </w:r>
          </w:p>
        </w:tc>
        <w:tc>
          <w:tcPr>
            <w:tcW w:w="7193" w:type="dxa"/>
            <w:tcBorders>
              <w:top w:val="single" w:sz="4" w:space="0" w:color="000000"/>
              <w:left w:val="single" w:sz="4" w:space="0" w:color="000000"/>
              <w:bottom w:val="single" w:sz="4" w:space="0" w:color="000000"/>
              <w:right w:val="single" w:sz="4" w:space="0" w:color="000000"/>
            </w:tcBorders>
            <w:vAlign w:val="center"/>
            <w:hideMark/>
          </w:tcPr>
          <w:p w:rsidR="00226C1D" w:rsidRPr="000B521F" w:rsidRDefault="00226C1D" w:rsidP="0059011D">
            <w:pPr>
              <w:pStyle w:val="DAVA"/>
              <w:spacing w:before="60" w:after="60"/>
              <w:jc w:val="left"/>
              <w:rPr>
                <w:rFonts w:ascii="Times New Roman" w:hAnsi="Times New Roman"/>
                <w:sz w:val="20"/>
                <w:szCs w:val="20"/>
              </w:rPr>
            </w:pPr>
            <w:r w:rsidRPr="000B521F">
              <w:rPr>
                <w:rFonts w:ascii="Times New Roman" w:hAnsi="Times New Roman"/>
                <w:sz w:val="20"/>
                <w:szCs w:val="20"/>
              </w:rPr>
              <w:t>3.2.4 Rozvoj energetické a environmentální infrastruktury; 3.2.4.2 Rozvoj environmentální infrastruktury</w:t>
            </w:r>
            <w:r w:rsidR="00D446F4">
              <w:rPr>
                <w:rFonts w:ascii="Times New Roman" w:hAnsi="Times New Roman"/>
                <w:sz w:val="20"/>
                <w:szCs w:val="20"/>
              </w:rPr>
              <w:t>.</w:t>
            </w:r>
          </w:p>
        </w:tc>
      </w:tr>
      <w:tr w:rsidR="00226C1D" w:rsidRPr="000B521F" w:rsidTr="00761093">
        <w:trPr>
          <w:trHeight w:val="407"/>
        </w:trPr>
        <w:tc>
          <w:tcPr>
            <w:tcW w:w="1985"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226C1D" w:rsidRPr="000B521F" w:rsidRDefault="00226C1D"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Strategie mezinárodní konkurence-schopnosti ČR</w:t>
            </w:r>
          </w:p>
        </w:tc>
        <w:tc>
          <w:tcPr>
            <w:tcW w:w="7193" w:type="dxa"/>
            <w:tcBorders>
              <w:top w:val="single" w:sz="4" w:space="0" w:color="000000"/>
              <w:left w:val="single" w:sz="4" w:space="0" w:color="000000"/>
              <w:bottom w:val="single" w:sz="4" w:space="0" w:color="000000"/>
              <w:right w:val="single" w:sz="4" w:space="0" w:color="000000"/>
            </w:tcBorders>
            <w:vAlign w:val="center"/>
            <w:hideMark/>
          </w:tcPr>
          <w:p w:rsidR="00226C1D" w:rsidRPr="000B521F" w:rsidRDefault="00226C1D" w:rsidP="0059011D">
            <w:pPr>
              <w:pStyle w:val="DAVA"/>
              <w:spacing w:before="60" w:after="60"/>
              <w:rPr>
                <w:rFonts w:ascii="Times New Roman" w:hAnsi="Times New Roman"/>
                <w:sz w:val="20"/>
                <w:szCs w:val="20"/>
              </w:rPr>
            </w:pPr>
            <w:r w:rsidRPr="000B521F">
              <w:rPr>
                <w:rFonts w:ascii="Times New Roman" w:hAnsi="Times New Roman"/>
                <w:sz w:val="20"/>
                <w:szCs w:val="20"/>
              </w:rPr>
              <w:t>2.9 Státní energetická koncepce a strategické usměrňování - dosažení vyváženého energetického mixu, zvýšení využívání obnovitelných zdrojů a snížení emisí skleníkových plynů</w:t>
            </w:r>
            <w:r w:rsidR="00D446F4">
              <w:rPr>
                <w:rFonts w:ascii="Times New Roman" w:hAnsi="Times New Roman"/>
                <w:sz w:val="20"/>
                <w:szCs w:val="20"/>
              </w:rPr>
              <w:t>.</w:t>
            </w:r>
          </w:p>
        </w:tc>
      </w:tr>
      <w:tr w:rsidR="00226C1D" w:rsidRPr="000B521F" w:rsidTr="00761093">
        <w:tc>
          <w:tcPr>
            <w:tcW w:w="1985"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226C1D" w:rsidRPr="000B521F" w:rsidRDefault="00226C1D"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Strategie regionálního rozvoje</w:t>
            </w:r>
          </w:p>
        </w:tc>
        <w:tc>
          <w:tcPr>
            <w:tcW w:w="7193" w:type="dxa"/>
            <w:tcBorders>
              <w:top w:val="single" w:sz="4" w:space="0" w:color="000000"/>
              <w:left w:val="single" w:sz="4" w:space="0" w:color="000000"/>
              <w:bottom w:val="single" w:sz="4" w:space="0" w:color="000000"/>
              <w:right w:val="single" w:sz="4" w:space="0" w:color="000000"/>
            </w:tcBorders>
            <w:vAlign w:val="center"/>
            <w:hideMark/>
          </w:tcPr>
          <w:p w:rsidR="00226C1D" w:rsidRPr="000B521F" w:rsidRDefault="00226C1D" w:rsidP="0059011D">
            <w:pPr>
              <w:pStyle w:val="DAVA"/>
              <w:spacing w:before="60" w:after="60"/>
              <w:rPr>
                <w:rFonts w:ascii="Times New Roman" w:hAnsi="Times New Roman"/>
                <w:sz w:val="20"/>
                <w:szCs w:val="20"/>
              </w:rPr>
            </w:pPr>
            <w:r w:rsidRPr="000B521F">
              <w:rPr>
                <w:rFonts w:ascii="Times New Roman" w:hAnsi="Times New Roman"/>
                <w:sz w:val="20"/>
                <w:szCs w:val="20"/>
              </w:rPr>
              <w:t>P. 7 Ochrana přírody a krajiny, kvalitní a bezpečné prostředí pro život (opatření: 7.2 Posílení preventivních opatření proti vzniku živelních pohrom; 7.3 Obnova území po vzniku živelních pohrom).</w:t>
            </w:r>
          </w:p>
        </w:tc>
      </w:tr>
      <w:tr w:rsidR="00226C1D" w:rsidRPr="000B521F" w:rsidTr="00761093">
        <w:tc>
          <w:tcPr>
            <w:tcW w:w="1985"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226C1D" w:rsidRPr="000B521F" w:rsidRDefault="00226C1D" w:rsidP="0059011D">
            <w:pPr>
              <w:pStyle w:val="DAVA"/>
              <w:spacing w:before="60" w:after="60"/>
              <w:jc w:val="left"/>
              <w:rPr>
                <w:rFonts w:ascii="Times New Roman" w:hAnsi="Times New Roman"/>
                <w:b/>
                <w:sz w:val="20"/>
                <w:szCs w:val="20"/>
              </w:rPr>
            </w:pPr>
            <w:r w:rsidRPr="000B521F">
              <w:rPr>
                <w:rFonts w:ascii="Times New Roman" w:hAnsi="Times New Roman"/>
                <w:b/>
                <w:sz w:val="20"/>
                <w:szCs w:val="20"/>
              </w:rPr>
              <w:t>Státní politika životního prostředí</w:t>
            </w:r>
          </w:p>
        </w:tc>
        <w:tc>
          <w:tcPr>
            <w:tcW w:w="7193" w:type="dxa"/>
            <w:tcBorders>
              <w:top w:val="single" w:sz="4" w:space="0" w:color="000000"/>
              <w:left w:val="single" w:sz="4" w:space="0" w:color="000000"/>
              <w:bottom w:val="single" w:sz="4" w:space="0" w:color="000000"/>
              <w:right w:val="single" w:sz="4" w:space="0" w:color="000000"/>
            </w:tcBorders>
            <w:vAlign w:val="center"/>
            <w:hideMark/>
          </w:tcPr>
          <w:p w:rsidR="00226C1D" w:rsidRPr="000B521F" w:rsidRDefault="00226C1D" w:rsidP="0059011D">
            <w:pPr>
              <w:pStyle w:val="DAVA"/>
              <w:spacing w:before="60" w:after="60"/>
              <w:rPr>
                <w:rFonts w:ascii="Times New Roman" w:hAnsi="Times New Roman"/>
                <w:sz w:val="20"/>
                <w:szCs w:val="20"/>
              </w:rPr>
            </w:pPr>
            <w:r w:rsidRPr="000B521F">
              <w:rPr>
                <w:rFonts w:ascii="Times New Roman" w:hAnsi="Times New Roman"/>
                <w:sz w:val="20"/>
                <w:szCs w:val="20"/>
              </w:rPr>
              <w:t>Tematická oblast 2: Ochrana klimatu a zlepšení kvality ovzduší (priorita: Snižování emisí skleníkových plynů a omezování negativních dopadů klimatické změny).</w:t>
            </w:r>
          </w:p>
          <w:p w:rsidR="00226C1D" w:rsidRPr="000B521F" w:rsidRDefault="00226C1D" w:rsidP="0059011D">
            <w:pPr>
              <w:pStyle w:val="DAVA"/>
              <w:spacing w:before="60" w:after="60"/>
              <w:rPr>
                <w:rFonts w:ascii="Times New Roman" w:hAnsi="Times New Roman"/>
                <w:sz w:val="20"/>
                <w:szCs w:val="20"/>
              </w:rPr>
            </w:pPr>
            <w:r w:rsidRPr="000B521F">
              <w:rPr>
                <w:rFonts w:ascii="Times New Roman" w:hAnsi="Times New Roman"/>
                <w:sz w:val="20"/>
                <w:szCs w:val="20"/>
              </w:rPr>
              <w:lastRenderedPageBreak/>
              <w:t>Tematická oblast 4: Bezpečné prostředí (priority: Předcházení rizik; Ochrana prostředí před negativními dopady krizových situací způsobenými antropogenními nebo přírodními hrozbami).</w:t>
            </w:r>
          </w:p>
        </w:tc>
      </w:tr>
    </w:tbl>
    <w:p w:rsidR="00226C1D" w:rsidRPr="005B6699" w:rsidRDefault="00226C1D" w:rsidP="00D446F4">
      <w:pPr>
        <w:spacing w:after="120" w:line="240" w:lineRule="auto"/>
        <w:jc w:val="both"/>
        <w:rPr>
          <w:rFonts w:ascii="Times New Roman" w:hAnsi="Times New Roman" w:cs="Times New Roman"/>
          <w:sz w:val="24"/>
          <w:szCs w:val="24"/>
        </w:rPr>
      </w:pPr>
      <w:r w:rsidRPr="005B6699">
        <w:rPr>
          <w:rFonts w:ascii="Times New Roman" w:hAnsi="Times New Roman" w:cs="Times New Roman"/>
          <w:sz w:val="24"/>
          <w:szCs w:val="24"/>
        </w:rPr>
        <w:lastRenderedPageBreak/>
        <w:t>Další klíčové dokumenty vztahující se k dané problematické oblasti jsou Politika ochrany klimatu, Plány hlavních povodí, Plány oblastí povodí, Plány zvládání povodňových rizik podle Povodňové směrnice (2007/60/ES), Národní strategický plán rozvoje venkova, dokumenty krajů v dané oblasti a další sektorové dokumenty definované v dílčích operačních programech. Významným dokumentem je i nově připravovaná Strategie pro přizpůsobení se změně klimatu v podmínkách ČR, jehož schválení se předpokládá v roce 2014.</w:t>
      </w:r>
    </w:p>
    <w:p w:rsidR="00226C1D" w:rsidRPr="000B521F" w:rsidRDefault="00226C1D" w:rsidP="0059011D">
      <w:pPr>
        <w:pStyle w:val="Tabulka"/>
        <w:spacing w:before="120" w:after="60"/>
        <w:rPr>
          <w:szCs w:val="20"/>
        </w:rPr>
      </w:pPr>
      <w:r w:rsidRPr="000B521F">
        <w:rPr>
          <w:szCs w:val="20"/>
        </w:rPr>
        <w:t>Cíle strategie Evropa 2020 a cíle Národního programu reforem</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5"/>
        <w:gridCol w:w="1116"/>
        <w:gridCol w:w="1056"/>
        <w:gridCol w:w="809"/>
        <w:gridCol w:w="1305"/>
        <w:gridCol w:w="925"/>
        <w:gridCol w:w="936"/>
      </w:tblGrid>
      <w:tr w:rsidR="00226C1D" w:rsidRPr="000B521F" w:rsidTr="00761093">
        <w:tc>
          <w:tcPr>
            <w:tcW w:w="2925"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hideMark/>
          </w:tcPr>
          <w:p w:rsidR="00226C1D" w:rsidRPr="000B521F" w:rsidRDefault="00226C1D" w:rsidP="0059011D">
            <w:pPr>
              <w:spacing w:after="120" w:line="240" w:lineRule="auto"/>
              <w:rPr>
                <w:rFonts w:ascii="Times New Roman" w:hAnsi="Times New Roman" w:cs="Times New Roman"/>
                <w:b/>
                <w:sz w:val="20"/>
                <w:szCs w:val="20"/>
              </w:rPr>
            </w:pPr>
            <w:r w:rsidRPr="000B521F">
              <w:rPr>
                <w:rFonts w:ascii="Times New Roman" w:hAnsi="Times New Roman" w:cs="Times New Roman"/>
                <w:b/>
                <w:sz w:val="20"/>
                <w:szCs w:val="20"/>
              </w:rPr>
              <w:t>Hlavní cíl strategie Evropa 2020</w:t>
            </w:r>
          </w:p>
        </w:tc>
        <w:tc>
          <w:tcPr>
            <w:tcW w:w="1116" w:type="dxa"/>
            <w:tcBorders>
              <w:top w:val="single" w:sz="4" w:space="0" w:color="000000"/>
              <w:left w:val="single" w:sz="4" w:space="0" w:color="000000"/>
              <w:bottom w:val="single" w:sz="4" w:space="0" w:color="000000"/>
              <w:right w:val="single" w:sz="6" w:space="0" w:color="auto"/>
            </w:tcBorders>
            <w:shd w:val="clear" w:color="auto" w:fill="8DB3E2" w:themeFill="text2" w:themeFillTint="66"/>
            <w:vAlign w:val="center"/>
            <w:hideMark/>
          </w:tcPr>
          <w:p w:rsidR="00226C1D" w:rsidRPr="000B521F" w:rsidRDefault="00226C1D" w:rsidP="0059011D">
            <w:pPr>
              <w:spacing w:after="120" w:line="240" w:lineRule="auto"/>
              <w:jc w:val="center"/>
              <w:rPr>
                <w:rFonts w:ascii="Times New Roman" w:hAnsi="Times New Roman" w:cs="Times New Roman"/>
                <w:b/>
                <w:sz w:val="20"/>
                <w:szCs w:val="20"/>
              </w:rPr>
            </w:pPr>
            <w:r w:rsidRPr="000B521F">
              <w:rPr>
                <w:rFonts w:ascii="Times New Roman" w:hAnsi="Times New Roman" w:cs="Times New Roman"/>
                <w:b/>
                <w:sz w:val="20"/>
                <w:szCs w:val="20"/>
              </w:rPr>
              <w:t>Cíl EU k 2020</w:t>
            </w:r>
          </w:p>
        </w:tc>
        <w:tc>
          <w:tcPr>
            <w:tcW w:w="1056" w:type="dxa"/>
            <w:tcBorders>
              <w:top w:val="single" w:sz="4" w:space="0" w:color="000000"/>
              <w:left w:val="single" w:sz="6" w:space="0" w:color="auto"/>
              <w:bottom w:val="single" w:sz="4" w:space="0" w:color="000000"/>
              <w:right w:val="single" w:sz="4" w:space="0" w:color="000000"/>
            </w:tcBorders>
            <w:shd w:val="clear" w:color="auto" w:fill="8DB3E2" w:themeFill="text2" w:themeFillTint="66"/>
            <w:vAlign w:val="center"/>
            <w:hideMark/>
          </w:tcPr>
          <w:p w:rsidR="00226C1D" w:rsidRPr="000B521F" w:rsidRDefault="00226C1D" w:rsidP="0059011D">
            <w:pPr>
              <w:spacing w:after="120" w:line="240" w:lineRule="auto"/>
              <w:jc w:val="center"/>
              <w:rPr>
                <w:rFonts w:ascii="Times New Roman" w:hAnsi="Times New Roman" w:cs="Times New Roman"/>
                <w:b/>
                <w:sz w:val="20"/>
                <w:szCs w:val="20"/>
              </w:rPr>
            </w:pPr>
            <w:r w:rsidRPr="000B521F">
              <w:rPr>
                <w:rFonts w:ascii="Times New Roman" w:hAnsi="Times New Roman" w:cs="Times New Roman"/>
                <w:b/>
                <w:sz w:val="20"/>
                <w:szCs w:val="20"/>
              </w:rPr>
              <w:t>Stav EU k 2010</w:t>
            </w:r>
          </w:p>
        </w:tc>
        <w:tc>
          <w:tcPr>
            <w:tcW w:w="809" w:type="dxa"/>
            <w:tcBorders>
              <w:top w:val="single" w:sz="4" w:space="0" w:color="000000"/>
              <w:left w:val="single" w:sz="4" w:space="0" w:color="000000"/>
              <w:bottom w:val="single" w:sz="4" w:space="0" w:color="000000"/>
              <w:right w:val="single" w:sz="6" w:space="0" w:color="auto"/>
            </w:tcBorders>
            <w:shd w:val="clear" w:color="auto" w:fill="8DB3E2" w:themeFill="text2" w:themeFillTint="66"/>
            <w:vAlign w:val="center"/>
            <w:hideMark/>
          </w:tcPr>
          <w:p w:rsidR="00226C1D" w:rsidRPr="000B521F" w:rsidRDefault="00226C1D" w:rsidP="0059011D">
            <w:pPr>
              <w:spacing w:after="120" w:line="240" w:lineRule="auto"/>
              <w:jc w:val="center"/>
              <w:rPr>
                <w:rFonts w:ascii="Times New Roman" w:hAnsi="Times New Roman" w:cs="Times New Roman"/>
                <w:b/>
                <w:sz w:val="20"/>
                <w:szCs w:val="20"/>
              </w:rPr>
            </w:pPr>
            <w:r w:rsidRPr="000B521F">
              <w:rPr>
                <w:rFonts w:ascii="Times New Roman" w:hAnsi="Times New Roman" w:cs="Times New Roman"/>
                <w:b/>
                <w:sz w:val="20"/>
                <w:szCs w:val="20"/>
              </w:rPr>
              <w:t>Stav EU k 2011</w:t>
            </w:r>
          </w:p>
        </w:tc>
        <w:tc>
          <w:tcPr>
            <w:tcW w:w="1305" w:type="dxa"/>
            <w:tcBorders>
              <w:top w:val="single" w:sz="4" w:space="0" w:color="000000"/>
              <w:left w:val="single" w:sz="4" w:space="0" w:color="000000"/>
              <w:bottom w:val="single" w:sz="4" w:space="0" w:color="000000"/>
              <w:right w:val="single" w:sz="6" w:space="0" w:color="auto"/>
            </w:tcBorders>
            <w:shd w:val="clear" w:color="auto" w:fill="8DB3E2" w:themeFill="text2" w:themeFillTint="66"/>
            <w:vAlign w:val="center"/>
            <w:hideMark/>
          </w:tcPr>
          <w:p w:rsidR="00226C1D" w:rsidRPr="000B521F" w:rsidRDefault="00226C1D" w:rsidP="0059011D">
            <w:pPr>
              <w:spacing w:after="120" w:line="240" w:lineRule="auto"/>
              <w:jc w:val="center"/>
              <w:rPr>
                <w:rFonts w:ascii="Times New Roman" w:hAnsi="Times New Roman" w:cs="Times New Roman"/>
                <w:b/>
                <w:sz w:val="20"/>
                <w:szCs w:val="20"/>
              </w:rPr>
            </w:pPr>
            <w:r w:rsidRPr="000B521F">
              <w:rPr>
                <w:rFonts w:ascii="Times New Roman" w:hAnsi="Times New Roman" w:cs="Times New Roman"/>
                <w:b/>
                <w:sz w:val="20"/>
                <w:szCs w:val="20"/>
              </w:rPr>
              <w:t>Cíl ČR k 2020</w:t>
            </w:r>
          </w:p>
        </w:tc>
        <w:tc>
          <w:tcPr>
            <w:tcW w:w="925" w:type="dxa"/>
            <w:tcBorders>
              <w:top w:val="single" w:sz="4" w:space="0" w:color="000000"/>
              <w:left w:val="single" w:sz="4" w:space="0" w:color="000000"/>
              <w:bottom w:val="single" w:sz="4" w:space="0" w:color="000000"/>
              <w:right w:val="single" w:sz="6" w:space="0" w:color="auto"/>
            </w:tcBorders>
            <w:shd w:val="clear" w:color="auto" w:fill="8DB3E2" w:themeFill="text2" w:themeFillTint="66"/>
            <w:vAlign w:val="center"/>
            <w:hideMark/>
          </w:tcPr>
          <w:p w:rsidR="00226C1D" w:rsidRPr="000B521F" w:rsidRDefault="00226C1D" w:rsidP="0059011D">
            <w:pPr>
              <w:spacing w:after="120" w:line="240" w:lineRule="auto"/>
              <w:jc w:val="center"/>
              <w:rPr>
                <w:rFonts w:ascii="Times New Roman" w:hAnsi="Times New Roman" w:cs="Times New Roman"/>
                <w:b/>
                <w:sz w:val="20"/>
                <w:szCs w:val="20"/>
              </w:rPr>
            </w:pPr>
            <w:r w:rsidRPr="000B521F">
              <w:rPr>
                <w:rFonts w:ascii="Times New Roman" w:hAnsi="Times New Roman" w:cs="Times New Roman"/>
                <w:b/>
                <w:sz w:val="20"/>
                <w:szCs w:val="20"/>
              </w:rPr>
              <w:t>Stav ČR k 2010</w:t>
            </w:r>
          </w:p>
        </w:tc>
        <w:tc>
          <w:tcPr>
            <w:tcW w:w="936" w:type="dxa"/>
            <w:tcBorders>
              <w:top w:val="single" w:sz="4" w:space="0" w:color="000000"/>
              <w:left w:val="single" w:sz="6" w:space="0" w:color="auto"/>
              <w:bottom w:val="single" w:sz="4" w:space="0" w:color="000000"/>
              <w:right w:val="single" w:sz="4" w:space="0" w:color="000000"/>
            </w:tcBorders>
            <w:shd w:val="clear" w:color="auto" w:fill="8DB3E2" w:themeFill="text2" w:themeFillTint="66"/>
            <w:vAlign w:val="center"/>
            <w:hideMark/>
          </w:tcPr>
          <w:p w:rsidR="00226C1D" w:rsidRPr="000B521F" w:rsidRDefault="00226C1D" w:rsidP="0059011D">
            <w:pPr>
              <w:spacing w:after="120" w:line="240" w:lineRule="auto"/>
              <w:jc w:val="center"/>
              <w:rPr>
                <w:rFonts w:ascii="Times New Roman" w:hAnsi="Times New Roman" w:cs="Times New Roman"/>
                <w:b/>
                <w:sz w:val="20"/>
                <w:szCs w:val="20"/>
              </w:rPr>
            </w:pPr>
            <w:r w:rsidRPr="000B521F">
              <w:rPr>
                <w:rFonts w:ascii="Times New Roman" w:hAnsi="Times New Roman" w:cs="Times New Roman"/>
                <w:b/>
                <w:sz w:val="20"/>
                <w:szCs w:val="20"/>
              </w:rPr>
              <w:t>Stav ČR k 2011</w:t>
            </w:r>
          </w:p>
        </w:tc>
      </w:tr>
      <w:tr w:rsidR="00226C1D" w:rsidRPr="000B521F" w:rsidTr="00761093">
        <w:trPr>
          <w:trHeight w:val="127"/>
        </w:trPr>
        <w:tc>
          <w:tcPr>
            <w:tcW w:w="2925"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226C1D" w:rsidRPr="000B521F" w:rsidRDefault="00226C1D" w:rsidP="0059011D">
            <w:pPr>
              <w:spacing w:after="120" w:line="240" w:lineRule="auto"/>
              <w:rPr>
                <w:rFonts w:ascii="Times New Roman" w:hAnsi="Times New Roman" w:cs="Times New Roman"/>
                <w:sz w:val="20"/>
                <w:szCs w:val="20"/>
              </w:rPr>
            </w:pPr>
            <w:r w:rsidRPr="000B521F">
              <w:rPr>
                <w:rFonts w:ascii="Times New Roman" w:hAnsi="Times New Roman" w:cs="Times New Roman"/>
                <w:bCs/>
                <w:sz w:val="20"/>
                <w:szCs w:val="20"/>
              </w:rPr>
              <w:t>Snížení emisí skleníkových plynů oproti roku 1990 (%)</w:t>
            </w:r>
          </w:p>
        </w:tc>
        <w:tc>
          <w:tcPr>
            <w:tcW w:w="1116" w:type="dxa"/>
            <w:tcBorders>
              <w:top w:val="single" w:sz="4" w:space="0" w:color="000000"/>
              <w:left w:val="single" w:sz="4" w:space="0" w:color="000000"/>
              <w:bottom w:val="single" w:sz="4" w:space="0" w:color="000000"/>
              <w:right w:val="single" w:sz="6" w:space="0" w:color="auto"/>
            </w:tcBorders>
            <w:shd w:val="clear" w:color="auto" w:fill="FFFFFF"/>
            <w:vAlign w:val="center"/>
            <w:hideMark/>
          </w:tcPr>
          <w:p w:rsidR="00226C1D" w:rsidRPr="000B521F" w:rsidRDefault="00226C1D" w:rsidP="0059011D">
            <w:pPr>
              <w:spacing w:after="120" w:line="240" w:lineRule="auto"/>
              <w:jc w:val="center"/>
              <w:rPr>
                <w:rFonts w:ascii="Times New Roman" w:hAnsi="Times New Roman" w:cs="Times New Roman"/>
                <w:sz w:val="20"/>
                <w:szCs w:val="20"/>
              </w:rPr>
            </w:pPr>
            <w:r w:rsidRPr="000B521F">
              <w:rPr>
                <w:rFonts w:ascii="Times New Roman" w:hAnsi="Times New Roman" w:cs="Times New Roman"/>
                <w:sz w:val="20"/>
                <w:szCs w:val="20"/>
              </w:rPr>
              <w:t>-20</w:t>
            </w:r>
          </w:p>
        </w:tc>
        <w:tc>
          <w:tcPr>
            <w:tcW w:w="1056" w:type="dxa"/>
            <w:tcBorders>
              <w:top w:val="single" w:sz="4" w:space="0" w:color="000000"/>
              <w:left w:val="single" w:sz="6" w:space="0" w:color="auto"/>
              <w:bottom w:val="single" w:sz="4" w:space="0" w:color="000000"/>
              <w:right w:val="single" w:sz="4" w:space="0" w:color="000000"/>
            </w:tcBorders>
            <w:shd w:val="clear" w:color="auto" w:fill="FFFFFF"/>
            <w:vAlign w:val="center"/>
            <w:hideMark/>
          </w:tcPr>
          <w:p w:rsidR="00226C1D" w:rsidRPr="000B521F" w:rsidRDefault="00226C1D" w:rsidP="0059011D">
            <w:pPr>
              <w:spacing w:after="120" w:line="240" w:lineRule="auto"/>
              <w:jc w:val="center"/>
              <w:rPr>
                <w:rFonts w:ascii="Times New Roman" w:hAnsi="Times New Roman" w:cs="Times New Roman"/>
                <w:sz w:val="20"/>
                <w:szCs w:val="20"/>
              </w:rPr>
            </w:pPr>
            <w:r w:rsidRPr="000B521F">
              <w:rPr>
                <w:rFonts w:ascii="Times New Roman" w:hAnsi="Times New Roman" w:cs="Times New Roman"/>
                <w:sz w:val="20"/>
                <w:szCs w:val="20"/>
              </w:rPr>
              <w:t>-15,1</w:t>
            </w:r>
          </w:p>
        </w:tc>
        <w:tc>
          <w:tcPr>
            <w:tcW w:w="809" w:type="dxa"/>
            <w:tcBorders>
              <w:top w:val="single" w:sz="4" w:space="0" w:color="000000"/>
              <w:left w:val="single" w:sz="4" w:space="0" w:color="000000"/>
              <w:bottom w:val="single" w:sz="4" w:space="0" w:color="000000"/>
              <w:right w:val="single" w:sz="6" w:space="0" w:color="auto"/>
            </w:tcBorders>
            <w:shd w:val="clear" w:color="auto" w:fill="FFFFFF"/>
            <w:vAlign w:val="center"/>
            <w:hideMark/>
          </w:tcPr>
          <w:p w:rsidR="00226C1D" w:rsidRPr="000B521F" w:rsidRDefault="00226C1D" w:rsidP="0059011D">
            <w:pPr>
              <w:spacing w:after="120" w:line="240" w:lineRule="auto"/>
              <w:jc w:val="center"/>
              <w:rPr>
                <w:rFonts w:ascii="Times New Roman" w:hAnsi="Times New Roman" w:cs="Times New Roman"/>
                <w:sz w:val="20"/>
                <w:szCs w:val="20"/>
              </w:rPr>
            </w:pPr>
            <w:r w:rsidRPr="000B521F">
              <w:rPr>
                <w:rFonts w:ascii="Times New Roman" w:hAnsi="Times New Roman" w:cs="Times New Roman"/>
                <w:sz w:val="20"/>
                <w:szCs w:val="20"/>
              </w:rPr>
              <w:t>-17,6</w:t>
            </w:r>
          </w:p>
        </w:tc>
        <w:tc>
          <w:tcPr>
            <w:tcW w:w="1305" w:type="dxa"/>
            <w:tcBorders>
              <w:top w:val="single" w:sz="4" w:space="0" w:color="000000"/>
              <w:left w:val="single" w:sz="4" w:space="0" w:color="000000"/>
              <w:bottom w:val="single" w:sz="4" w:space="0" w:color="000000"/>
              <w:right w:val="single" w:sz="6" w:space="0" w:color="auto"/>
            </w:tcBorders>
            <w:shd w:val="clear" w:color="auto" w:fill="FFFFFF"/>
            <w:vAlign w:val="center"/>
            <w:hideMark/>
          </w:tcPr>
          <w:p w:rsidR="00226C1D" w:rsidRPr="000B521F" w:rsidRDefault="00226C1D" w:rsidP="0059011D">
            <w:pPr>
              <w:spacing w:after="120" w:line="240" w:lineRule="auto"/>
              <w:jc w:val="center"/>
              <w:rPr>
                <w:rFonts w:ascii="Times New Roman" w:hAnsi="Times New Roman" w:cs="Times New Roman"/>
                <w:sz w:val="20"/>
                <w:szCs w:val="20"/>
              </w:rPr>
            </w:pPr>
            <w:r w:rsidRPr="000B521F">
              <w:rPr>
                <w:rFonts w:ascii="Times New Roman" w:hAnsi="Times New Roman" w:cs="Times New Roman"/>
                <w:sz w:val="20"/>
                <w:szCs w:val="20"/>
              </w:rPr>
              <w:t>v souladu s klimaticko-energetickým balíčkem EU</w:t>
            </w:r>
          </w:p>
          <w:p w:rsidR="00226C1D" w:rsidRPr="000B521F" w:rsidRDefault="00226C1D" w:rsidP="0059011D">
            <w:pPr>
              <w:pStyle w:val="Bezmezer"/>
              <w:jc w:val="center"/>
              <w:rPr>
                <w:rFonts w:ascii="Times New Roman" w:hAnsi="Times New Roman" w:cs="Times New Roman"/>
                <w:sz w:val="20"/>
                <w:szCs w:val="20"/>
              </w:rPr>
            </w:pPr>
            <w:r w:rsidRPr="000B521F">
              <w:rPr>
                <w:rFonts w:ascii="Times New Roman" w:hAnsi="Times New Roman" w:cs="Times New Roman"/>
                <w:sz w:val="20"/>
                <w:szCs w:val="20"/>
              </w:rPr>
              <w:t>(- 21% v EU ETS, +9% mimo EU ETS)</w:t>
            </w:r>
            <w:r w:rsidRPr="000B521F">
              <w:rPr>
                <w:rStyle w:val="Znakapoznpodarou"/>
                <w:rFonts w:ascii="Times New Roman" w:hAnsi="Times New Roman" w:cs="Times New Roman"/>
                <w:sz w:val="20"/>
                <w:szCs w:val="20"/>
              </w:rPr>
              <w:footnoteReference w:id="76"/>
            </w:r>
          </w:p>
        </w:tc>
        <w:tc>
          <w:tcPr>
            <w:tcW w:w="925" w:type="dxa"/>
            <w:tcBorders>
              <w:top w:val="single" w:sz="4" w:space="0" w:color="000000"/>
              <w:left w:val="single" w:sz="4" w:space="0" w:color="000000"/>
              <w:bottom w:val="single" w:sz="4" w:space="0" w:color="000000"/>
              <w:right w:val="single" w:sz="6" w:space="0" w:color="auto"/>
            </w:tcBorders>
            <w:shd w:val="clear" w:color="auto" w:fill="FFFFFF"/>
            <w:vAlign w:val="center"/>
            <w:hideMark/>
          </w:tcPr>
          <w:p w:rsidR="00226C1D" w:rsidRPr="000B521F" w:rsidRDefault="00226C1D" w:rsidP="0059011D">
            <w:pPr>
              <w:spacing w:after="120" w:line="240" w:lineRule="auto"/>
              <w:jc w:val="center"/>
              <w:rPr>
                <w:rFonts w:ascii="Times New Roman" w:hAnsi="Times New Roman" w:cs="Times New Roman"/>
                <w:sz w:val="20"/>
                <w:szCs w:val="20"/>
              </w:rPr>
            </w:pPr>
            <w:r w:rsidRPr="000B521F">
              <w:rPr>
                <w:rFonts w:ascii="Times New Roman" w:hAnsi="Times New Roman" w:cs="Times New Roman"/>
                <w:sz w:val="20"/>
                <w:szCs w:val="20"/>
              </w:rPr>
              <w:t>-30</w:t>
            </w:r>
          </w:p>
        </w:tc>
        <w:tc>
          <w:tcPr>
            <w:tcW w:w="936" w:type="dxa"/>
            <w:tcBorders>
              <w:top w:val="single" w:sz="4" w:space="0" w:color="000000"/>
              <w:left w:val="single" w:sz="6" w:space="0" w:color="auto"/>
              <w:bottom w:val="single" w:sz="4" w:space="0" w:color="000000"/>
              <w:right w:val="single" w:sz="4" w:space="0" w:color="000000"/>
            </w:tcBorders>
            <w:shd w:val="clear" w:color="auto" w:fill="FFFFFF"/>
            <w:vAlign w:val="center"/>
            <w:hideMark/>
          </w:tcPr>
          <w:p w:rsidR="00226C1D" w:rsidRPr="000B521F" w:rsidRDefault="00226C1D" w:rsidP="0059011D">
            <w:pPr>
              <w:spacing w:after="120" w:line="240" w:lineRule="auto"/>
              <w:jc w:val="center"/>
              <w:rPr>
                <w:rFonts w:ascii="Times New Roman" w:hAnsi="Times New Roman" w:cs="Times New Roman"/>
                <w:sz w:val="20"/>
                <w:szCs w:val="20"/>
              </w:rPr>
            </w:pPr>
            <w:r w:rsidRPr="000B521F">
              <w:rPr>
                <w:rFonts w:ascii="Times New Roman" w:hAnsi="Times New Roman" w:cs="Times New Roman"/>
                <w:sz w:val="20"/>
                <w:szCs w:val="20"/>
              </w:rPr>
              <w:t>-32</w:t>
            </w:r>
          </w:p>
        </w:tc>
      </w:tr>
    </w:tbl>
    <w:p w:rsidR="000A6C11" w:rsidRPr="000B521F" w:rsidRDefault="000A6C11" w:rsidP="0059011D">
      <w:pPr>
        <w:spacing w:after="120" w:line="240" w:lineRule="auto"/>
        <w:rPr>
          <w:rFonts w:ascii="Times New Roman" w:hAnsi="Times New Roman" w:cs="Times New Roman"/>
          <w:b/>
          <w:color w:val="4F81BD"/>
          <w:sz w:val="24"/>
          <w:szCs w:val="24"/>
          <w:lang w:eastAsia="cs-CZ"/>
        </w:rPr>
      </w:pPr>
    </w:p>
    <w:p w:rsidR="00A15CE2" w:rsidRPr="000B521F" w:rsidRDefault="00A15CE2" w:rsidP="0059011D">
      <w:pPr>
        <w:pStyle w:val="Nadpis3"/>
        <w:numPr>
          <w:ilvl w:val="0"/>
          <w:numId w:val="0"/>
        </w:numPr>
        <w:spacing w:after="120"/>
        <w:ind w:left="720" w:hanging="720"/>
        <w:rPr>
          <w:rFonts w:ascii="Times New Roman" w:hAnsi="Times New Roman" w:cs="Times New Roman"/>
        </w:rPr>
      </w:pPr>
      <w:bookmarkStart w:id="43" w:name="_Toc374702869"/>
      <w:r w:rsidRPr="000B521F">
        <w:rPr>
          <w:rFonts w:ascii="Times New Roman" w:hAnsi="Times New Roman" w:cs="Times New Roman"/>
        </w:rPr>
        <w:t>Transfer prostředků mezi kategoriemi regionů</w:t>
      </w:r>
      <w:bookmarkEnd w:id="43"/>
    </w:p>
    <w:p w:rsidR="000A6C11" w:rsidRPr="000B521F" w:rsidRDefault="000A6C11" w:rsidP="0059011D">
      <w:pPr>
        <w:spacing w:after="120" w:line="240" w:lineRule="auto"/>
        <w:jc w:val="both"/>
        <w:rPr>
          <w:rFonts w:ascii="Times New Roman" w:hAnsi="Times New Roman" w:cs="Times New Roman"/>
          <w:sz w:val="24"/>
          <w:szCs w:val="24"/>
          <w:lang w:eastAsia="cs-CZ"/>
        </w:rPr>
      </w:pPr>
      <w:r w:rsidRPr="000B521F">
        <w:rPr>
          <w:rFonts w:ascii="Times New Roman" w:hAnsi="Times New Roman" w:cs="Times New Roman"/>
          <w:sz w:val="24"/>
          <w:szCs w:val="24"/>
          <w:lang w:eastAsia="cs-CZ"/>
        </w:rPr>
        <w:t>V souladu s čl. 85.2 obecného nařízení ČR využije možnosti přesunu prostředků mezi regiony v rámci cíle</w:t>
      </w:r>
      <w:r w:rsidRPr="000B521F">
        <w:rPr>
          <w:rFonts w:ascii="Times New Roman" w:hAnsi="Times New Roman" w:cs="Times New Roman"/>
          <w:i/>
          <w:sz w:val="24"/>
          <w:szCs w:val="24"/>
          <w:lang w:eastAsia="cs-CZ"/>
        </w:rPr>
        <w:t>„Investice pro růst a zaměstnanost.“</w:t>
      </w:r>
      <w:r w:rsidRPr="000B521F">
        <w:rPr>
          <w:rFonts w:ascii="Times New Roman" w:hAnsi="Times New Roman" w:cs="Times New Roman"/>
          <w:sz w:val="24"/>
          <w:szCs w:val="24"/>
          <w:lang w:eastAsia="cs-CZ"/>
        </w:rPr>
        <w:t xml:space="preserve"> Objem převodu finančních prostředků bude respektovat maximální možnou výši 3 % stanovenou obecným nařízením. Na základě kritérií definovaných v čl. 82 obecného nařízení se region hl. m. Prahy řadí mezi </w:t>
      </w:r>
      <w:r w:rsidR="00B53212" w:rsidRPr="000B521F">
        <w:rPr>
          <w:rFonts w:ascii="Times New Roman" w:hAnsi="Times New Roman" w:cs="Times New Roman"/>
          <w:sz w:val="24"/>
          <w:szCs w:val="24"/>
          <w:lang w:eastAsia="cs-CZ"/>
        </w:rPr>
        <w:t>více rozvinuté</w:t>
      </w:r>
      <w:r w:rsidRPr="000B521F">
        <w:rPr>
          <w:rFonts w:ascii="Times New Roman" w:hAnsi="Times New Roman" w:cs="Times New Roman"/>
          <w:sz w:val="24"/>
          <w:szCs w:val="24"/>
          <w:lang w:eastAsia="cs-CZ"/>
        </w:rPr>
        <w:t xml:space="preserve"> regiony, ostatní regiony ČR patří do kategorie méně rozvinutých regionů. Z výsledků zpracovaných analýz, projednaných závěrů a v návaznosti na vymezení alokace z </w:t>
      </w:r>
      <w:r w:rsidRPr="000B521F">
        <w:rPr>
          <w:rFonts w:ascii="Times New Roman" w:hAnsi="Times New Roman" w:cs="Times New Roman"/>
          <w:sz w:val="24"/>
          <w:szCs w:val="24"/>
        </w:rPr>
        <w:t xml:space="preserve">vyčleněných prostředků fondů SSR pro kategorie regionů dojde k přesunu prostředků z méně vyspělých regionů ve prospěch vyspělého regionu – tj. hl. m. Prahy.    </w:t>
      </w:r>
    </w:p>
    <w:p w:rsidR="000A6C11" w:rsidRPr="000B521F" w:rsidRDefault="000A6C11" w:rsidP="0059011D">
      <w:pPr>
        <w:spacing w:after="120" w:line="240" w:lineRule="auto"/>
        <w:jc w:val="both"/>
        <w:rPr>
          <w:rFonts w:ascii="Times New Roman" w:hAnsi="Times New Roman" w:cs="Times New Roman"/>
          <w:i/>
          <w:sz w:val="24"/>
          <w:szCs w:val="24"/>
          <w:lang w:eastAsia="cs-CZ"/>
        </w:rPr>
      </w:pPr>
      <w:r w:rsidRPr="000B521F">
        <w:rPr>
          <w:rFonts w:ascii="Times New Roman" w:hAnsi="Times New Roman" w:cs="Times New Roman"/>
          <w:i/>
          <w:sz w:val="24"/>
          <w:szCs w:val="24"/>
          <w:lang w:eastAsia="cs-CZ"/>
        </w:rPr>
        <w:t>Odůvodnění pro využití čl. 85.2 v identifikovaných oblastech</w:t>
      </w:r>
    </w:p>
    <w:p w:rsidR="008206A4" w:rsidRPr="000B521F" w:rsidRDefault="000A6C11" w:rsidP="0059011D">
      <w:pPr>
        <w:pStyle w:val="Odstavecseseznamem"/>
        <w:numPr>
          <w:ilvl w:val="0"/>
          <w:numId w:val="80"/>
        </w:numPr>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 xml:space="preserve">Vysoký tlak na kapacity a omezené výdaje v oblasti VaVaI a vzdělávání, což má přímý dopad na kvalitu výstupů </w:t>
      </w:r>
    </w:p>
    <w:p w:rsidR="000A6C11" w:rsidRPr="000B521F" w:rsidRDefault="000A6C11" w:rsidP="0059011D">
      <w:pPr>
        <w:pStyle w:val="Odstavecseseznamem"/>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Způsobeno částečně také regionální spádovostí - úroveň NUTS II, resp. NUTS III regionu hl. m. Prahy je identická s katastrálním vymezením obce hl. m. Prahy. Tento fakt tak nereflektuje, oproti ostatním aglomeracím ČR patřící do jedné kategorie regionů, bezprostřední spádovost aglomeračních regionů a obcí v metropolitní oblasti, které se nacházejí v NUTS II (III) Střední Čechy v rámci kategorie méně rozvinutých regionů a s tím spojené potřeby obyvatel. </w:t>
      </w:r>
    </w:p>
    <w:p w:rsidR="008206A4" w:rsidRPr="000B521F" w:rsidRDefault="000A6C11" w:rsidP="0059011D">
      <w:pPr>
        <w:pStyle w:val="Odstavecseseznamem"/>
        <w:numPr>
          <w:ilvl w:val="0"/>
          <w:numId w:val="80"/>
        </w:numPr>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Vysoká koncentrace veřejných a soukromých organizací a činností v oblasti VaVaI a vzdělávání a tudíž vysoká absorpční kapacita</w:t>
      </w:r>
    </w:p>
    <w:p w:rsidR="008206A4" w:rsidRPr="000B521F" w:rsidRDefault="000A6C11" w:rsidP="0059011D">
      <w:pPr>
        <w:pStyle w:val="Odstavecseseznamem"/>
        <w:numPr>
          <w:ilvl w:val="0"/>
          <w:numId w:val="80"/>
        </w:numPr>
        <w:spacing w:after="120" w:line="240" w:lineRule="auto"/>
        <w:jc w:val="both"/>
        <w:rPr>
          <w:rFonts w:ascii="Times New Roman" w:hAnsi="Times New Roman" w:cs="Times New Roman"/>
          <w:sz w:val="24"/>
          <w:szCs w:val="24"/>
        </w:rPr>
      </w:pPr>
      <w:r w:rsidRPr="000B521F">
        <w:rPr>
          <w:rFonts w:ascii="Times New Roman" w:hAnsi="Times New Roman" w:cs="Times New Roman"/>
          <w:b/>
          <w:sz w:val="24"/>
          <w:szCs w:val="24"/>
        </w:rPr>
        <w:t xml:space="preserve">Prokazatelný spill–over a spread efekt aktivit v oblastech VaVaI a vzdělávání na socioekonomický rozvoj jak v podobě vertikální (kvalitativní posun v sektorech), tak i v podobě horizontální (regionální či celonárodní dopad) </w:t>
      </w:r>
      <w:r w:rsidRPr="000B521F">
        <w:rPr>
          <w:rFonts w:ascii="Times New Roman" w:hAnsi="Times New Roman" w:cs="Times New Roman"/>
          <w:sz w:val="24"/>
          <w:szCs w:val="24"/>
        </w:rPr>
        <w:t xml:space="preserve"> - koncentrace na ty oblasti podpory, u kterých lze předpokládat největší impuls a schopnost multiplikace podpořených intervencí pro progresivní socioekonomický rozvoj   </w:t>
      </w:r>
    </w:p>
    <w:p w:rsidR="000A6C11" w:rsidRPr="000B521F" w:rsidRDefault="000A6C11" w:rsidP="0059011D">
      <w:pPr>
        <w:pStyle w:val="Odstavecseseznamem"/>
        <w:spacing w:after="120" w:line="240" w:lineRule="auto"/>
        <w:jc w:val="both"/>
        <w:rPr>
          <w:rFonts w:ascii="Times New Roman" w:hAnsi="Times New Roman" w:cs="Times New Roman"/>
          <w:sz w:val="24"/>
          <w:szCs w:val="24"/>
        </w:rPr>
      </w:pPr>
    </w:p>
    <w:p w:rsidR="000A6C11" w:rsidRPr="000B521F" w:rsidRDefault="000A6C11"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Efektivnost využití přesunutých prostředků (podle dosavadních poznatků) výrazně převáží následky plynoucí ze souvisejícího úbytku prostředků pro méně rozvinuté regiony, které nemohou podle zkušeností ze současného programového období nabídnout projekty se srovnatelným zhodnocením vložených finančních prostředků. Omezený objem převáděných prostředků současně negativně neovlivní rozvoj v méně rozvinutých regionech.</w:t>
      </w:r>
    </w:p>
    <w:p w:rsidR="000A6C11" w:rsidRPr="000B521F" w:rsidRDefault="000A6C11" w:rsidP="0059011D">
      <w:pPr>
        <w:autoSpaceDE w:val="0"/>
        <w:autoSpaceDN w:val="0"/>
        <w:adjustRightInd w:val="0"/>
        <w:spacing w:after="120" w:line="240" w:lineRule="auto"/>
        <w:rPr>
          <w:rFonts w:ascii="Times New Roman" w:hAnsi="Times New Roman" w:cs="Times New Roman"/>
          <w:b/>
          <w:bCs/>
          <w:sz w:val="24"/>
          <w:szCs w:val="24"/>
          <w:u w:val="single"/>
          <w:lang w:eastAsia="cs-CZ"/>
        </w:rPr>
      </w:pPr>
    </w:p>
    <w:p w:rsidR="000A6C11" w:rsidRPr="000B521F" w:rsidRDefault="000A6C11" w:rsidP="0059011D">
      <w:pPr>
        <w:autoSpaceDE w:val="0"/>
        <w:autoSpaceDN w:val="0"/>
        <w:adjustRightInd w:val="0"/>
        <w:spacing w:after="120" w:line="240" w:lineRule="auto"/>
        <w:rPr>
          <w:rFonts w:ascii="Times New Roman" w:hAnsi="Times New Roman" w:cs="Times New Roman"/>
          <w:bCs/>
          <w:i/>
          <w:sz w:val="24"/>
          <w:szCs w:val="24"/>
          <w:lang w:eastAsia="cs-CZ"/>
        </w:rPr>
      </w:pPr>
      <w:r w:rsidRPr="000B521F">
        <w:rPr>
          <w:rFonts w:ascii="Times New Roman" w:hAnsi="Times New Roman" w:cs="Times New Roman"/>
          <w:bCs/>
          <w:i/>
          <w:sz w:val="24"/>
          <w:szCs w:val="24"/>
          <w:lang w:eastAsia="cs-CZ"/>
        </w:rPr>
        <w:t>(i) Oblast výzkumu, vývoje a inovací</w:t>
      </w:r>
    </w:p>
    <w:p w:rsidR="008206A4" w:rsidRPr="000B521F" w:rsidRDefault="000A6C11" w:rsidP="0059011D">
      <w:pPr>
        <w:numPr>
          <w:ilvl w:val="0"/>
          <w:numId w:val="81"/>
        </w:num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Cílem strategie Evropa 2020 v oblasti výzkumu, vývoje a inovací je dosáhnout 3 % podílu výdajů na výzkum a vývoj na HDP (resp. 1 % veřejných výdajů na VaV na HDP podle Národního programu reforem ČR). Z dále uvedené koncentrace institucí a výdajů v hl. m. Praze je zřejmé, že Praha bude hrát významnou roli při naplňování těchto cílů. V roce 2011 byl celkový podíl výdajů na VaV na HDP v hl. m. Praze 2,38 %. Podíl veřejných výdajů na VaV dosáhl 1,4 % HDP.</w:t>
      </w:r>
    </w:p>
    <w:p w:rsidR="008206A4" w:rsidRPr="000B521F" w:rsidRDefault="000A6C11" w:rsidP="0059011D">
      <w:pPr>
        <w:numPr>
          <w:ilvl w:val="0"/>
          <w:numId w:val="81"/>
        </w:num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Na území hl. města Prahy je </w:t>
      </w:r>
      <w:r w:rsidRPr="000B521F">
        <w:rPr>
          <w:rFonts w:ascii="Times New Roman" w:hAnsi="Times New Roman" w:cs="Times New Roman"/>
          <w:b/>
          <w:sz w:val="24"/>
          <w:szCs w:val="24"/>
        </w:rPr>
        <w:t>nadprůměrná koncentrace organizací</w:t>
      </w:r>
      <w:r w:rsidRPr="000B521F">
        <w:rPr>
          <w:rFonts w:ascii="Times New Roman" w:hAnsi="Times New Roman" w:cs="Times New Roman"/>
          <w:sz w:val="24"/>
          <w:szCs w:val="24"/>
        </w:rPr>
        <w:t xml:space="preserve"> a </w:t>
      </w:r>
      <w:r w:rsidRPr="000B521F">
        <w:rPr>
          <w:rFonts w:ascii="Times New Roman" w:hAnsi="Times New Roman" w:cs="Times New Roman"/>
          <w:b/>
          <w:sz w:val="24"/>
          <w:szCs w:val="24"/>
        </w:rPr>
        <w:t>aktivit</w:t>
      </w:r>
      <w:r w:rsidRPr="000B521F">
        <w:rPr>
          <w:rFonts w:ascii="Times New Roman" w:hAnsi="Times New Roman" w:cs="Times New Roman"/>
          <w:sz w:val="24"/>
          <w:szCs w:val="24"/>
        </w:rPr>
        <w:t xml:space="preserve"> v oblasti VaVaI a vzdělávání (sídlí zde 2/3 veřejných výzkumných institucí České republiky, pracuje 42 % výzkumníků, sídlí zde 1/3 veřejných a 1/2 soukromých vysokých škol, studuje 40 % vysokoškolských studentů, je zde realizováno 33 % výdajů na výzkum a vývoj, uskutečňuje se okolo 3/4 výdajů na VaV ve vládním sektoru ČR a okolo 1/3 výdajů na VaV ve vysokoškolském sektoru ČR. Na území hl. m. Prahy je rovněž realizováno 25 % výdajů podniků na inovace, sídlí zde příjemci 60 % plateb za vývoz technologických služeb a téměř 40 % subjektů, kterým byl v ČR v roce 2010 udělen patent.</w:t>
      </w:r>
    </w:p>
    <w:p w:rsidR="008206A4" w:rsidRPr="000B521F" w:rsidRDefault="000A6C11" w:rsidP="0059011D">
      <w:pPr>
        <w:numPr>
          <w:ilvl w:val="0"/>
          <w:numId w:val="81"/>
        </w:num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V Praze pracuje více než 200 tisíc tzv. specialistů (CZ-ISCO-2), tj. zpravidla vysokoškolsky vzdělaných osob, které zvyšují objem znalostí a aplikují je v praxi. Z toho </w:t>
      </w:r>
      <w:r w:rsidRPr="000B521F">
        <w:rPr>
          <w:rFonts w:ascii="Times New Roman" w:hAnsi="Times New Roman" w:cs="Times New Roman"/>
          <w:b/>
          <w:sz w:val="24"/>
          <w:szCs w:val="24"/>
        </w:rPr>
        <w:t>cca 35 tisíc je dojíždějících z ostatních regionů ČR</w:t>
      </w:r>
      <w:r w:rsidRPr="000B521F">
        <w:rPr>
          <w:rFonts w:ascii="Times New Roman" w:hAnsi="Times New Roman" w:cs="Times New Roman"/>
          <w:sz w:val="24"/>
          <w:szCs w:val="24"/>
        </w:rPr>
        <w:t>. Podíl specialistů na zaměstnanosti v Praze je okolo 1/4, zatímco průměr ČR je 13 %. To představuje mimořádný potenciál přispívající k rozvoji celé ČR.</w:t>
      </w:r>
    </w:p>
    <w:p w:rsidR="008206A4" w:rsidRPr="000B521F" w:rsidRDefault="000A6C11" w:rsidP="0059011D">
      <w:pPr>
        <w:numPr>
          <w:ilvl w:val="0"/>
          <w:numId w:val="81"/>
        </w:numPr>
        <w:spacing w:after="120" w:line="240" w:lineRule="auto"/>
        <w:jc w:val="both"/>
        <w:rPr>
          <w:rFonts w:ascii="Times New Roman" w:hAnsi="Times New Roman" w:cs="Times New Roman"/>
          <w:sz w:val="24"/>
          <w:szCs w:val="24"/>
        </w:rPr>
      </w:pPr>
      <w:r w:rsidRPr="000B521F">
        <w:rPr>
          <w:rFonts w:ascii="Times New Roman" w:hAnsi="Times New Roman" w:cs="Times New Roman"/>
          <w:b/>
          <w:sz w:val="24"/>
          <w:szCs w:val="24"/>
        </w:rPr>
        <w:t xml:space="preserve">Nutnost reagovat na podfinancování </w:t>
      </w:r>
      <w:r w:rsidRPr="000B521F">
        <w:rPr>
          <w:rFonts w:ascii="Times New Roman" w:hAnsi="Times New Roman" w:cs="Times New Roman"/>
          <w:sz w:val="24"/>
          <w:szCs w:val="24"/>
        </w:rPr>
        <w:t>sektoru VaVaI s ohledem na omezenou alokaci prostředků z fondů EU na území hl. m. Prahy v současném programovém období 2007–2013.Ze strukturálních fondů současného programového období je do oblasti VaVaI a vzdělávání mimopražských regionů České republiky směřována podpora ve výši cca 110 mld. Kč, přičemž na výzkumná pracoviště na území Prahy připadá v tomto období pouze necelých 1,4 mld. Kč z Operačního programu Praha – Konkurenceschopnost. Přitom je v Praze soustředěno stále cca 60 % výzkumných aktivit s velmi dobrými výsledky. V pražském regionu je největší koncentrace výzkumných organizací, které jsou nejúspěšnější v 7. Rámcovém programu ES pro výzkum, technologický rozvoj a demonstrace. K tomu se vztahuje i požadavek, aby aktivity financované ze strukturálních fondů byly v synergii s rámcovými programy, tj. novým programem Horizon 2020. Pražské výzkumné organizace mají největší zkušenosti s kombinací zdrojů financování.</w:t>
      </w:r>
    </w:p>
    <w:p w:rsidR="008206A4" w:rsidRPr="000B521F" w:rsidRDefault="000A6C11" w:rsidP="0059011D">
      <w:pPr>
        <w:numPr>
          <w:ilvl w:val="0"/>
          <w:numId w:val="82"/>
        </w:numPr>
        <w:spacing w:after="120" w:line="240" w:lineRule="auto"/>
        <w:jc w:val="both"/>
        <w:rPr>
          <w:rFonts w:ascii="Times New Roman" w:hAnsi="Times New Roman" w:cs="Times New Roman"/>
          <w:sz w:val="24"/>
          <w:szCs w:val="24"/>
        </w:rPr>
      </w:pPr>
      <w:r w:rsidRPr="000B521F">
        <w:rPr>
          <w:rFonts w:ascii="Times New Roman" w:hAnsi="Times New Roman" w:cs="Times New Roman"/>
          <w:b/>
          <w:sz w:val="24"/>
          <w:szCs w:val="24"/>
        </w:rPr>
        <w:t>Problematická absorpce finančních prostředků</w:t>
      </w:r>
      <w:r w:rsidRPr="000B521F">
        <w:rPr>
          <w:rFonts w:ascii="Times New Roman" w:hAnsi="Times New Roman" w:cs="Times New Roman"/>
          <w:sz w:val="24"/>
          <w:szCs w:val="24"/>
        </w:rPr>
        <w:t xml:space="preserve"> do VaVaI v méně rozvinutých regionech ČR a předpokládaná nedostatečná udržitelnost většiny institucí a aktivit VaVaI alokovaných mimo pražský region. Narušování vytvořených vazeb mezi výzkumnými pracovišti z důvodu dvourychlostního financování VaVaI v ČR, kdy </w:t>
      </w:r>
      <w:r w:rsidRPr="000B521F">
        <w:rPr>
          <w:rFonts w:ascii="Times New Roman" w:hAnsi="Times New Roman" w:cs="Times New Roman"/>
          <w:sz w:val="24"/>
          <w:szCs w:val="24"/>
        </w:rPr>
        <w:lastRenderedPageBreak/>
        <w:t>mimopražská pracoviště jsou intenzivně podporována ze strukturálních fondů, zatímco pražská pracoviště udržují setrvalý stav, případně se jejich financování z národních zdrojů snižuje. Přitom je zřejmé, že pražské vysoké školy a výzkumné instituce mají ve výzkumu a vývoji vyšší výkonnost a že činnost nově podpořených regionálních výzkumných center bude teprve nabíhat. Základem pro český výzkum, vývoj a inovace jsou výzkumné aktivity alokované v hlavním městě Praze.</w:t>
      </w:r>
    </w:p>
    <w:p w:rsidR="008206A4" w:rsidRPr="000B521F" w:rsidRDefault="000A6C11" w:rsidP="0059011D">
      <w:pPr>
        <w:numPr>
          <w:ilvl w:val="0"/>
          <w:numId w:val="82"/>
        </w:num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Vzhledem k požadavku v rámci ex-ante kondicionalit k TC 1 na existenci regionálních inovačních strategií podle konceptu inteligentní specializace, je nanejvýš žádoucí, aby na realizaci uvedené strategie, kterou hl. m. Praha zpracovává, byl k dispozici odpovídající objem prostředků, který by zajistil dostatečně významné efekty její implementace.</w:t>
      </w:r>
    </w:p>
    <w:p w:rsidR="008206A4" w:rsidRPr="000B521F" w:rsidRDefault="000A6C11" w:rsidP="0059011D">
      <w:pPr>
        <w:numPr>
          <w:ilvl w:val="0"/>
          <w:numId w:val="82"/>
        </w:numPr>
        <w:spacing w:after="120" w:line="240" w:lineRule="auto"/>
        <w:jc w:val="both"/>
        <w:rPr>
          <w:rFonts w:ascii="Times New Roman" w:hAnsi="Times New Roman" w:cs="Times New Roman"/>
          <w:sz w:val="24"/>
          <w:szCs w:val="24"/>
        </w:rPr>
      </w:pPr>
      <w:r w:rsidRPr="000B521F">
        <w:rPr>
          <w:rFonts w:ascii="Times New Roman" w:hAnsi="Times New Roman" w:cs="Times New Roman"/>
          <w:b/>
          <w:sz w:val="24"/>
          <w:szCs w:val="24"/>
        </w:rPr>
        <w:t>Nutnost stimulovat podnikatelské výdaje na VaVaI</w:t>
      </w:r>
      <w:r w:rsidRPr="000B521F">
        <w:rPr>
          <w:rFonts w:ascii="Times New Roman" w:hAnsi="Times New Roman" w:cs="Times New Roman"/>
          <w:sz w:val="24"/>
          <w:szCs w:val="24"/>
        </w:rPr>
        <w:t xml:space="preserve"> ze strany veřejné správy rovnoměrněji v celé ČR. Absorpční kapacita v období 2007</w:t>
      </w:r>
      <w:r w:rsidR="00D446F4">
        <w:rPr>
          <w:rFonts w:ascii="Times New Roman" w:hAnsi="Times New Roman" w:cs="Times New Roman"/>
          <w:color w:val="000000"/>
          <w:sz w:val="24"/>
          <w:szCs w:val="24"/>
        </w:rPr>
        <w:t>–</w:t>
      </w:r>
      <w:r w:rsidRPr="000B521F">
        <w:rPr>
          <w:rFonts w:ascii="Times New Roman" w:hAnsi="Times New Roman" w:cs="Times New Roman"/>
          <w:sz w:val="24"/>
          <w:szCs w:val="24"/>
        </w:rPr>
        <w:t xml:space="preserve">2013 nabízející podporu mimo Prahu dokládá zájem podnikatelského sektoru. Podíl výdajů na VaV v podnikatelském sektoru dosáhl v roce 2011 v Praze 0,9 % HDP a je tak nižší než je průměr ČR (1,1 %). Stimulace poptávky aplikační sféry (podnikatelského sektoru a veřejné správy) přispěje ke zvýšení efektivity podpory určené veřejnému výzkumnému sektoru. Pro dosažení významného dopadu podpory bude potřeba dostatečná alokace pro realizaci vhodných aktivit na území Prahy,  např. aktivity typu inovační poptávky (PCP). </w:t>
      </w:r>
    </w:p>
    <w:p w:rsidR="008206A4" w:rsidRPr="000B521F" w:rsidRDefault="000A6C11" w:rsidP="0059011D">
      <w:pPr>
        <w:numPr>
          <w:ilvl w:val="0"/>
          <w:numId w:val="82"/>
        </w:numPr>
        <w:spacing w:after="120" w:line="240" w:lineRule="auto"/>
        <w:jc w:val="both"/>
        <w:rPr>
          <w:rFonts w:ascii="Times New Roman" w:hAnsi="Times New Roman" w:cs="Times New Roman"/>
          <w:sz w:val="24"/>
          <w:szCs w:val="24"/>
        </w:rPr>
      </w:pPr>
      <w:r w:rsidRPr="000B521F">
        <w:rPr>
          <w:rFonts w:ascii="Times New Roman" w:hAnsi="Times New Roman" w:cs="Times New Roman"/>
          <w:b/>
          <w:sz w:val="24"/>
          <w:szCs w:val="24"/>
        </w:rPr>
        <w:t xml:space="preserve">Hlavní slabinou oblasti VaVaI v Praze je </w:t>
      </w:r>
      <w:r w:rsidRPr="000B521F">
        <w:rPr>
          <w:rFonts w:ascii="Times New Roman" w:hAnsi="Times New Roman" w:cs="Times New Roman"/>
          <w:sz w:val="24"/>
          <w:szCs w:val="24"/>
        </w:rPr>
        <w:t>kromě podfinancování také</w:t>
      </w:r>
      <w:r w:rsidRPr="000B521F">
        <w:rPr>
          <w:rFonts w:ascii="Times New Roman" w:hAnsi="Times New Roman" w:cs="Times New Roman"/>
          <w:b/>
          <w:sz w:val="24"/>
          <w:szCs w:val="24"/>
        </w:rPr>
        <w:t xml:space="preserve"> vysoká míra fragmentovanosti</w:t>
      </w:r>
      <w:r w:rsidR="003027B2" w:rsidRPr="000B521F">
        <w:rPr>
          <w:rFonts w:ascii="Times New Roman" w:hAnsi="Times New Roman" w:cs="Times New Roman"/>
          <w:b/>
          <w:sz w:val="24"/>
          <w:szCs w:val="24"/>
        </w:rPr>
        <w:t xml:space="preserve"> </w:t>
      </w:r>
      <w:r w:rsidRPr="000B521F">
        <w:rPr>
          <w:rFonts w:ascii="Times New Roman" w:hAnsi="Times New Roman" w:cs="Times New Roman"/>
          <w:sz w:val="24"/>
          <w:szCs w:val="24"/>
        </w:rPr>
        <w:t>způsobená vysokým počtem a pestrou strukturou subjektů aktivních v oblasti VaVaI. Tím je dána potřeba stimulace a facilitace spolupráce a vzájemných vazeb, zejména napříč sektory a obory, a to za aktivní účasti lokální samosprávy.</w:t>
      </w:r>
    </w:p>
    <w:p w:rsidR="008206A4" w:rsidRPr="000B521F" w:rsidRDefault="000A6C11" w:rsidP="0059011D">
      <w:pPr>
        <w:numPr>
          <w:ilvl w:val="0"/>
          <w:numId w:val="83"/>
        </w:num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Zachování regionální a mezinárodní konkurenceschopnosti hl. m. Prahy v oblastech VaVaI. V oblasti výzkumu, vývoje a inovací je tato skutečnost o to výraznější kvůli výše zmíněné 60 % koncentraci výzkumných kapacit v Praze. Proto lze na území hl. m. Prahy očekávat vysoký podíl </w:t>
      </w:r>
      <w:r w:rsidRPr="000B521F">
        <w:rPr>
          <w:rFonts w:ascii="Times New Roman" w:hAnsi="Times New Roman" w:cs="Times New Roman"/>
          <w:b/>
          <w:sz w:val="24"/>
          <w:szCs w:val="24"/>
        </w:rPr>
        <w:t>projektů s nadregionálním či celostátním dopadem</w:t>
      </w:r>
      <w:r w:rsidRPr="000B521F">
        <w:rPr>
          <w:rFonts w:ascii="Times New Roman" w:hAnsi="Times New Roman" w:cs="Times New Roman"/>
          <w:sz w:val="24"/>
          <w:szCs w:val="24"/>
        </w:rPr>
        <w:t>.</w:t>
      </w:r>
    </w:p>
    <w:p w:rsidR="000A6C11" w:rsidRPr="000B521F" w:rsidRDefault="000A6C11" w:rsidP="0059011D">
      <w:pPr>
        <w:spacing w:after="120" w:line="240" w:lineRule="auto"/>
        <w:ind w:left="720"/>
        <w:rPr>
          <w:rFonts w:ascii="Times New Roman" w:hAnsi="Times New Roman" w:cs="Times New Roman"/>
          <w:bCs/>
          <w:sz w:val="24"/>
          <w:szCs w:val="24"/>
          <w:lang w:eastAsia="cs-CZ"/>
        </w:rPr>
      </w:pPr>
    </w:p>
    <w:p w:rsidR="000A6C11" w:rsidRPr="000B521F" w:rsidRDefault="000A6C11" w:rsidP="0059011D">
      <w:pPr>
        <w:spacing w:after="120" w:line="240" w:lineRule="auto"/>
        <w:rPr>
          <w:rFonts w:ascii="Times New Roman" w:hAnsi="Times New Roman" w:cs="Times New Roman"/>
          <w:bCs/>
          <w:i/>
          <w:sz w:val="24"/>
          <w:szCs w:val="24"/>
          <w:lang w:eastAsia="cs-CZ"/>
        </w:rPr>
      </w:pPr>
      <w:r w:rsidRPr="000B521F">
        <w:rPr>
          <w:rFonts w:ascii="Times New Roman" w:hAnsi="Times New Roman" w:cs="Times New Roman"/>
          <w:bCs/>
          <w:i/>
          <w:sz w:val="24"/>
          <w:szCs w:val="24"/>
          <w:lang w:eastAsia="cs-CZ"/>
        </w:rPr>
        <w:t>(ii) Oblast podpory vzdělávání</w:t>
      </w:r>
    </w:p>
    <w:p w:rsidR="008206A4" w:rsidRPr="000B521F" w:rsidRDefault="000A6C11" w:rsidP="0059011D">
      <w:pPr>
        <w:numPr>
          <w:ilvl w:val="0"/>
          <w:numId w:val="83"/>
        </w:numPr>
        <w:spacing w:after="120" w:line="240" w:lineRule="auto"/>
        <w:jc w:val="both"/>
        <w:rPr>
          <w:rFonts w:ascii="Times New Roman" w:hAnsi="Times New Roman" w:cs="Times New Roman"/>
          <w:sz w:val="24"/>
          <w:szCs w:val="24"/>
        </w:rPr>
      </w:pPr>
      <w:r w:rsidRPr="000B521F">
        <w:rPr>
          <w:rFonts w:ascii="Times New Roman" w:hAnsi="Times New Roman" w:cs="Times New Roman"/>
          <w:b/>
          <w:sz w:val="24"/>
          <w:szCs w:val="24"/>
        </w:rPr>
        <w:t xml:space="preserve">Nutnost reagovat na podfinancování </w:t>
      </w:r>
      <w:r w:rsidRPr="000B521F">
        <w:rPr>
          <w:rFonts w:ascii="Times New Roman" w:hAnsi="Times New Roman" w:cs="Times New Roman"/>
          <w:sz w:val="24"/>
          <w:szCs w:val="24"/>
        </w:rPr>
        <w:t>sektoru vzdělávání s ohledem na omezenou alokaci prostředků z fondů EU na území hl. m. Prahy v současném programovém období 2007–2013, přičemž tento fakt byl zohledněn Evropskou komisí již v programovém období 2007–2013 pro transfer prostředků z konvergenčních regionů do regionu hl. m. Prahy pro podporu vysokých škol v rámci OP Výzkum a vývoj pro inovace s ohledem také na skutečnost, že pražské vysoké školy navštěvuje vysoký podíl studentů z méně rozvinutých regionů celé ČR.</w:t>
      </w:r>
    </w:p>
    <w:p w:rsidR="008206A4" w:rsidRPr="000B521F" w:rsidRDefault="000A6C11" w:rsidP="0059011D">
      <w:pPr>
        <w:numPr>
          <w:ilvl w:val="0"/>
          <w:numId w:val="84"/>
        </w:num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Finanční prostředky na jednoho studenta vysoké školy se sídlem v Praze představují v současném programovém období přibližně </w:t>
      </w:r>
      <w:r w:rsidRPr="000B521F">
        <w:rPr>
          <w:rFonts w:ascii="Times New Roman" w:hAnsi="Times New Roman" w:cs="Times New Roman"/>
          <w:b/>
          <w:sz w:val="24"/>
          <w:szCs w:val="24"/>
        </w:rPr>
        <w:t xml:space="preserve">5 000 Kč </w:t>
      </w:r>
      <w:r w:rsidRPr="000B521F">
        <w:rPr>
          <w:rFonts w:ascii="Times New Roman" w:hAnsi="Times New Roman" w:cs="Times New Roman"/>
          <w:sz w:val="24"/>
          <w:szCs w:val="24"/>
        </w:rPr>
        <w:t xml:space="preserve">a téměř </w:t>
      </w:r>
      <w:r w:rsidRPr="000B521F">
        <w:rPr>
          <w:rFonts w:ascii="Times New Roman" w:hAnsi="Times New Roman" w:cs="Times New Roman"/>
          <w:b/>
          <w:sz w:val="24"/>
          <w:szCs w:val="24"/>
        </w:rPr>
        <w:t>30 000 Kč</w:t>
      </w:r>
      <w:r w:rsidRPr="000B521F">
        <w:rPr>
          <w:rFonts w:ascii="Times New Roman" w:hAnsi="Times New Roman" w:cs="Times New Roman"/>
          <w:sz w:val="24"/>
          <w:szCs w:val="24"/>
        </w:rPr>
        <w:t xml:space="preserve"> na jednoho studenta vysoké školy se sídlem mimo hlavní město Praha. Přitom 40 % všech studentů českých vysokých škol studuje právě v Praze. Dalším příkladem vysokých nároků na zvýšení a zkvalitnění kapacit  pražského výzkumu, vývoje a vzdělávání jsou pražské vysoké školy a výzkumné instituce, které budou muset vychovávat absolventy a výzkumné </w:t>
      </w:r>
      <w:r w:rsidRPr="000B521F">
        <w:rPr>
          <w:rFonts w:ascii="Times New Roman" w:hAnsi="Times New Roman" w:cs="Times New Roman"/>
          <w:sz w:val="24"/>
          <w:szCs w:val="24"/>
        </w:rPr>
        <w:lastRenderedPageBreak/>
        <w:t>pracovníky pro velká centra budovaná v současném programovém období ve středočeském regionu (s očekávaným vytvořením cca 1400 nových pracovních míst).</w:t>
      </w:r>
    </w:p>
    <w:p w:rsidR="008206A4" w:rsidRPr="000B521F" w:rsidRDefault="000A6C11" w:rsidP="0059011D">
      <w:pPr>
        <w:pStyle w:val="Odstavecseseznamem1"/>
        <w:numPr>
          <w:ilvl w:val="0"/>
          <w:numId w:val="85"/>
        </w:numPr>
        <w:tabs>
          <w:tab w:val="left" w:pos="630"/>
        </w:tabs>
        <w:spacing w:after="0"/>
        <w:ind w:left="1440"/>
      </w:pPr>
      <w:r w:rsidRPr="000B521F">
        <w:t>V Pozičním dokumentu v listopadu 2012 EK uvedla jako prioritu investice do modernizace zařízení vysokoškolského vzdělávání za účelem zlepšení kvality vzdělávání a posílení výzkumné kapacity. Jak je výše uvedeno, pražské vysoké školy představují významný podíl těchto kapacit v ČR a v současném období byly v přístupu k podpoře ze strukturálních fondů EU znevýhodněny.</w:t>
      </w:r>
    </w:p>
    <w:p w:rsidR="000A6C11" w:rsidRPr="000B521F" w:rsidRDefault="000A6C11" w:rsidP="0059011D">
      <w:pPr>
        <w:pStyle w:val="Odstavecseseznamem1"/>
        <w:tabs>
          <w:tab w:val="left" w:pos="630"/>
        </w:tabs>
        <w:ind w:left="0"/>
      </w:pPr>
    </w:p>
    <w:p w:rsidR="008206A4" w:rsidRPr="000B521F" w:rsidRDefault="000A6C11" w:rsidP="0059011D">
      <w:pPr>
        <w:numPr>
          <w:ilvl w:val="0"/>
          <w:numId w:val="86"/>
        </w:numPr>
        <w:tabs>
          <w:tab w:val="clear" w:pos="720"/>
          <w:tab w:val="num" w:pos="1134"/>
        </w:tabs>
        <w:spacing w:after="120" w:line="240" w:lineRule="auto"/>
        <w:ind w:left="1134" w:hanging="425"/>
        <w:jc w:val="both"/>
        <w:rPr>
          <w:rFonts w:ascii="Times New Roman" w:hAnsi="Times New Roman" w:cs="Times New Roman"/>
          <w:b/>
          <w:sz w:val="24"/>
          <w:szCs w:val="24"/>
        </w:rPr>
      </w:pPr>
      <w:r w:rsidRPr="000B521F">
        <w:rPr>
          <w:rFonts w:ascii="Times New Roman" w:hAnsi="Times New Roman" w:cs="Times New Roman"/>
          <w:b/>
          <w:sz w:val="24"/>
          <w:szCs w:val="24"/>
        </w:rPr>
        <w:t>Zachování regionální a mezinárodní konkurenceschopnosti hl. m. Prahy v oblasti vzdělávání.</w:t>
      </w:r>
    </w:p>
    <w:p w:rsidR="008206A4" w:rsidRPr="000B521F" w:rsidRDefault="000A6C11" w:rsidP="0059011D">
      <w:pPr>
        <w:numPr>
          <w:ilvl w:val="2"/>
          <w:numId w:val="86"/>
        </w:numPr>
        <w:tabs>
          <w:tab w:val="num" w:pos="1418"/>
        </w:tabs>
        <w:spacing w:after="120" w:line="240" w:lineRule="auto"/>
        <w:ind w:left="1418" w:hanging="284"/>
        <w:jc w:val="both"/>
        <w:rPr>
          <w:rFonts w:ascii="Times New Roman" w:hAnsi="Times New Roman" w:cs="Times New Roman"/>
          <w:sz w:val="24"/>
          <w:szCs w:val="24"/>
        </w:rPr>
      </w:pPr>
      <w:r w:rsidRPr="000B521F">
        <w:rPr>
          <w:rFonts w:ascii="Times New Roman" w:hAnsi="Times New Roman" w:cs="Times New Roman"/>
          <w:sz w:val="24"/>
          <w:szCs w:val="24"/>
        </w:rPr>
        <w:t xml:space="preserve">Vysoké školy a výzkumné instituce na území hl. m. Prahy se potýkají se zastaralou infrastrukturou v oblasti vědy a výzkumu, což omezuje využití stávajících kapacit. Přesun do nově se rozvíjejících mimopražských infrastruktur je v podmínkách ČR značně nepravděpodobný a existuje hrozba přesunu těchto kapacit mimo ČR a/nebo mimo sektor VaV.  </w:t>
      </w:r>
    </w:p>
    <w:p w:rsidR="000A6C11" w:rsidRPr="000B521F" w:rsidRDefault="000A6C11" w:rsidP="0059011D">
      <w:pPr>
        <w:spacing w:after="120" w:line="240" w:lineRule="auto"/>
        <w:rPr>
          <w:rFonts w:ascii="Times New Roman" w:hAnsi="Times New Roman" w:cs="Times New Roman"/>
          <w:sz w:val="24"/>
          <w:szCs w:val="24"/>
        </w:rPr>
      </w:pPr>
    </w:p>
    <w:p w:rsidR="008206A4" w:rsidRPr="000B521F" w:rsidRDefault="000A6C11" w:rsidP="0059011D">
      <w:pPr>
        <w:numPr>
          <w:ilvl w:val="0"/>
          <w:numId w:val="83"/>
        </w:numPr>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Nutnost zajistit koherenci zásadních intervencí v předškolním, základním a středním vzdělávání mezi regiony a hl. m. Praha:</w:t>
      </w:r>
    </w:p>
    <w:p w:rsidR="008206A4" w:rsidRPr="000B521F" w:rsidRDefault="000A6C11" w:rsidP="0059011D">
      <w:pPr>
        <w:numPr>
          <w:ilvl w:val="0"/>
          <w:numId w:val="84"/>
        </w:num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Zvýšení kvality středního vzdělávání je celorepublikovým cílem a synergické působení v regionech a hl. m. Praha je zásadní zejména při podpoře spolupráce středních škol zaměstnavatelů, nebo při podpoře kvality v unikátních oborech vzdělání, nebo oborech vzdělání vhodných pro žáky s postižením, které se koncentrují v hl. m. Praha.</w:t>
      </w:r>
    </w:p>
    <w:p w:rsidR="008206A4" w:rsidRPr="000B521F" w:rsidRDefault="000A6C11" w:rsidP="0059011D">
      <w:pPr>
        <w:numPr>
          <w:ilvl w:val="0"/>
          <w:numId w:val="84"/>
        </w:num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Zcela zásadní je udržet soulad mezi regiony a hl. m. Praha v základním vzdělávání v rozvoji inkluzívního vzdělávání a implementace komplexního hodnocení a strategického řízení škol k lepším výsledkům žáků v klíčových kompetencích a poskytnout školám cílenou podporu pro rozvoj v těchto oblastech.V řešení kvality a dostupnosti předškolního a základního vzdělávání je nutné postupovat společně na území hl. m. Praha a v jeho suburbánních oblastech, ze kterých dojíždějí rodiče dětí do hl. m. Praha pracovat, a kde je problém dostupnosti předškolního a základního vzdělávání nejvyšší v ČR. Transfer prostředků pro předškolní a základní vzdělávání umožní podpořit komplexní řešení.</w:t>
      </w:r>
    </w:p>
    <w:p w:rsidR="000A6C11" w:rsidRPr="000B521F" w:rsidRDefault="000A6C11" w:rsidP="0059011D">
      <w:pPr>
        <w:pStyle w:val="Azkladn"/>
        <w:ind w:left="1418"/>
        <w:rPr>
          <w:sz w:val="24"/>
        </w:rPr>
      </w:pPr>
      <w:r w:rsidRPr="000B521F">
        <w:rPr>
          <w:sz w:val="24"/>
        </w:rPr>
        <w:t xml:space="preserve">Kapacity mateřských škol na území Prahy jsou zcela naplněné, počty dětí na třídu v mateřské škole jsou v Praze největší ze všech krajů (24,7 oproti republikovému průměru 23,7 v roce 2011), pražské mateřské školy často uplatňují výjimku z maximálního počtu dětí ve třídách (zvýšení limitu na 28 dětí), stoupá počet odmítnutých žádostí (o více než 450 % za posledních 5 let). Naprosto nedostatečná je nabídka zařízení péče o děti mladší tří let (jeslí), které umožňují rychlý návrat rodičů na trh práce a působí proti ztrátě uplatnitelnosti. </w:t>
      </w:r>
    </w:p>
    <w:p w:rsidR="00A41CA8" w:rsidRDefault="000A6C11" w:rsidP="0059011D">
      <w:pPr>
        <w:spacing w:after="120" w:line="240" w:lineRule="auto"/>
        <w:ind w:left="1418" w:hanging="2"/>
        <w:jc w:val="both"/>
        <w:rPr>
          <w:rFonts w:ascii="Times New Roman" w:hAnsi="Times New Roman" w:cs="Times New Roman"/>
          <w:sz w:val="24"/>
          <w:szCs w:val="24"/>
        </w:rPr>
      </w:pPr>
      <w:r w:rsidRPr="000B521F">
        <w:rPr>
          <w:rFonts w:ascii="Times New Roman" w:hAnsi="Times New Roman" w:cs="Times New Roman"/>
          <w:sz w:val="24"/>
          <w:szCs w:val="24"/>
        </w:rPr>
        <w:t>S posunem dětí do dalších stupňů vzdělávání vzniká tlak na systém základního školství. Již v současnosti je přitom průměrný počet žáků na třídu v Praze největší ze všech krajů (19,94 oproti republikovému průměru 18,8 v roce 2011). Tato skutečnost výrazně omezuje kvalitu výuky v hl. m. Praze s přihlédnutím na podstatně menší příležitosti k interakci žáků s vyučujícími.</w:t>
      </w:r>
      <w:bookmarkStart w:id="44" w:name="_Toc350333616"/>
      <w:bookmarkEnd w:id="4"/>
    </w:p>
    <w:p w:rsidR="001E193D" w:rsidRPr="000B521F" w:rsidRDefault="001E193D" w:rsidP="0059011D">
      <w:pPr>
        <w:spacing w:after="120" w:line="240" w:lineRule="auto"/>
        <w:ind w:left="1418" w:hanging="2"/>
        <w:jc w:val="both"/>
        <w:rPr>
          <w:rFonts w:ascii="Times New Roman" w:hAnsi="Times New Roman" w:cs="Times New Roman"/>
          <w:sz w:val="24"/>
          <w:szCs w:val="24"/>
        </w:rPr>
      </w:pPr>
    </w:p>
    <w:p w:rsidR="00507842" w:rsidRPr="000B521F" w:rsidRDefault="00456ABF" w:rsidP="0059011D">
      <w:pPr>
        <w:pStyle w:val="Nadpis2"/>
        <w:numPr>
          <w:ilvl w:val="0"/>
          <w:numId w:val="0"/>
        </w:numPr>
      </w:pPr>
      <w:bookmarkStart w:id="45" w:name="_Toc374702870"/>
      <w:r w:rsidRPr="000B521F">
        <w:t>Priority financování České republiky</w:t>
      </w:r>
      <w:bookmarkEnd w:id="44"/>
      <w:bookmarkEnd w:id="45"/>
    </w:p>
    <w:p w:rsidR="00CF3AFC" w:rsidRPr="000B521F" w:rsidRDefault="00CF3AFC" w:rsidP="0059011D">
      <w:pPr>
        <w:spacing w:after="120" w:line="240" w:lineRule="auto"/>
        <w:jc w:val="both"/>
        <w:rPr>
          <w:rFonts w:ascii="Times New Roman" w:hAnsi="Times New Roman" w:cs="Times New Roman"/>
          <w:sz w:val="24"/>
          <w:szCs w:val="24"/>
          <w:lang w:eastAsia="cs-CZ"/>
        </w:rPr>
      </w:pPr>
      <w:r w:rsidRPr="000B521F">
        <w:rPr>
          <w:rFonts w:ascii="Times New Roman" w:hAnsi="Times New Roman" w:cs="Times New Roman"/>
          <w:sz w:val="24"/>
          <w:szCs w:val="24"/>
          <w:lang w:eastAsia="cs-CZ"/>
        </w:rPr>
        <w:t xml:space="preserve">Na základě provedené analýzy disparit, rozvojových potřeb a potenciálu ČR byly </w:t>
      </w:r>
      <w:r w:rsidRPr="000B521F">
        <w:rPr>
          <w:rFonts w:ascii="Times New Roman" w:hAnsi="Times New Roman" w:cs="Times New Roman"/>
          <w:b/>
          <w:sz w:val="24"/>
          <w:szCs w:val="24"/>
          <w:lang w:eastAsia="cs-CZ"/>
        </w:rPr>
        <w:t>nadefinovány následující hlavní strategické cíle</w:t>
      </w:r>
      <w:r w:rsidRPr="000B521F">
        <w:rPr>
          <w:rFonts w:ascii="Times New Roman" w:hAnsi="Times New Roman" w:cs="Times New Roman"/>
          <w:sz w:val="24"/>
          <w:szCs w:val="24"/>
          <w:lang w:eastAsia="cs-CZ"/>
        </w:rPr>
        <w:t>, k jejichž dosažení musí věcné zaměření pro programové období 2014</w:t>
      </w:r>
      <w:r w:rsidR="00D446F4">
        <w:rPr>
          <w:rFonts w:ascii="Times New Roman" w:hAnsi="Times New Roman" w:cs="Times New Roman"/>
          <w:color w:val="000000"/>
          <w:sz w:val="24"/>
          <w:szCs w:val="24"/>
        </w:rPr>
        <w:t>–</w:t>
      </w:r>
      <w:r w:rsidRPr="000B521F">
        <w:rPr>
          <w:rFonts w:ascii="Times New Roman" w:hAnsi="Times New Roman" w:cs="Times New Roman"/>
          <w:sz w:val="24"/>
          <w:szCs w:val="24"/>
          <w:lang w:eastAsia="cs-CZ"/>
        </w:rPr>
        <w:t>2020 v ČR směřovat:</w:t>
      </w:r>
    </w:p>
    <w:p w:rsidR="00CF3AFC" w:rsidRPr="000B521F" w:rsidRDefault="00CF3AFC" w:rsidP="0059011D">
      <w:pPr>
        <w:pBdr>
          <w:top w:val="single" w:sz="4" w:space="1" w:color="auto"/>
          <w:left w:val="single" w:sz="4" w:space="4" w:color="auto"/>
          <w:bottom w:val="single" w:sz="4" w:space="1" w:color="auto"/>
          <w:right w:val="single" w:sz="4" w:space="4" w:color="auto"/>
        </w:pBdr>
        <w:spacing w:after="120" w:line="240" w:lineRule="auto"/>
        <w:ind w:left="567" w:hanging="283"/>
        <w:jc w:val="both"/>
        <w:rPr>
          <w:rFonts w:ascii="Times New Roman" w:hAnsi="Times New Roman" w:cs="Times New Roman"/>
          <w:b/>
          <w:sz w:val="24"/>
          <w:szCs w:val="24"/>
          <w:lang w:eastAsia="cs-CZ"/>
        </w:rPr>
      </w:pPr>
      <w:r w:rsidRPr="000B521F">
        <w:rPr>
          <w:rFonts w:ascii="Times New Roman" w:hAnsi="Times New Roman" w:cs="Times New Roman"/>
          <w:sz w:val="24"/>
          <w:szCs w:val="24"/>
          <w:lang w:eastAsia="cs-CZ"/>
        </w:rPr>
        <w:t>•</w:t>
      </w:r>
      <w:r w:rsidRPr="000B521F">
        <w:rPr>
          <w:rFonts w:ascii="Times New Roman" w:hAnsi="Times New Roman" w:cs="Times New Roman"/>
          <w:b/>
          <w:sz w:val="24"/>
          <w:szCs w:val="24"/>
          <w:lang w:eastAsia="cs-CZ"/>
        </w:rPr>
        <w:tab/>
        <w:t>Vytvoření kvalitního podnikatelské prostředí, které podpoří konkurenceschopnost ČR na evropském i globálním trhu, povede k zakládání nových podniků, zvýší inovační schopnost stávajících podniků a posílí atraktivitu ČR pro domácí a zahraniční investory.</w:t>
      </w:r>
    </w:p>
    <w:p w:rsidR="008206A4" w:rsidRPr="000B521F" w:rsidRDefault="00CF3AFC" w:rsidP="0059011D">
      <w:pPr>
        <w:pStyle w:val="Odstavecseseznamem"/>
        <w:numPr>
          <w:ilvl w:val="1"/>
          <w:numId w:val="15"/>
        </w:numPr>
        <w:pBdr>
          <w:top w:val="single" w:sz="4" w:space="1" w:color="auto"/>
          <w:left w:val="single" w:sz="4" w:space="4" w:color="auto"/>
          <w:bottom w:val="single" w:sz="4" w:space="1" w:color="auto"/>
          <w:right w:val="single" w:sz="4" w:space="4" w:color="auto"/>
        </w:pBdr>
        <w:tabs>
          <w:tab w:val="left" w:pos="567"/>
        </w:tabs>
        <w:spacing w:after="120" w:line="240" w:lineRule="auto"/>
        <w:ind w:left="567" w:hanging="283"/>
        <w:jc w:val="both"/>
        <w:rPr>
          <w:rFonts w:ascii="Times New Roman" w:hAnsi="Times New Roman" w:cs="Times New Roman"/>
          <w:b/>
          <w:sz w:val="24"/>
          <w:szCs w:val="24"/>
          <w:lang w:eastAsia="cs-CZ"/>
        </w:rPr>
      </w:pPr>
      <w:r w:rsidRPr="000B521F">
        <w:rPr>
          <w:rFonts w:ascii="Times New Roman" w:hAnsi="Times New Roman" w:cs="Times New Roman"/>
          <w:b/>
          <w:sz w:val="24"/>
          <w:szCs w:val="24"/>
          <w:lang w:eastAsia="cs-CZ"/>
        </w:rPr>
        <w:t>Zajištění inkluzívní společnosti vytvářející podmínky pro plnohodnotné uplatnění všech skupin obyvatelstva, zvýšení zaměstnanosti s důrazem na dnes vyloučené skupiny a podpora kvalitních podmínek pro život obyvatel.</w:t>
      </w:r>
    </w:p>
    <w:p w:rsidR="00CF3AFC" w:rsidRPr="000B521F" w:rsidRDefault="00CF3AFC" w:rsidP="0059011D">
      <w:pPr>
        <w:spacing w:after="120" w:line="240" w:lineRule="auto"/>
        <w:jc w:val="both"/>
        <w:rPr>
          <w:rFonts w:ascii="Times New Roman" w:hAnsi="Times New Roman" w:cs="Times New Roman"/>
          <w:sz w:val="24"/>
          <w:szCs w:val="24"/>
          <w:lang w:eastAsia="cs-CZ"/>
        </w:rPr>
      </w:pPr>
    </w:p>
    <w:p w:rsidR="00CF3AFC" w:rsidRPr="000B521F" w:rsidRDefault="00CF3AFC" w:rsidP="0059011D">
      <w:pPr>
        <w:spacing w:after="120" w:line="240" w:lineRule="auto"/>
        <w:jc w:val="both"/>
        <w:rPr>
          <w:rFonts w:ascii="Times New Roman" w:hAnsi="Times New Roman" w:cs="Times New Roman"/>
          <w:b/>
          <w:sz w:val="24"/>
          <w:szCs w:val="24"/>
          <w:lang w:eastAsia="cs-CZ"/>
        </w:rPr>
      </w:pPr>
      <w:r w:rsidRPr="000B521F">
        <w:rPr>
          <w:rFonts w:ascii="Times New Roman" w:hAnsi="Times New Roman" w:cs="Times New Roman"/>
          <w:sz w:val="24"/>
          <w:szCs w:val="24"/>
          <w:lang w:eastAsia="cs-CZ"/>
        </w:rPr>
        <w:t xml:space="preserve">Na základě  identifikovaných problémů a potřeb rozvoje a v souladu s hlavními strategickými cíli byly stanoveny následující hlavní </w:t>
      </w:r>
      <w:r w:rsidRPr="000B521F">
        <w:rPr>
          <w:rFonts w:ascii="Times New Roman" w:hAnsi="Times New Roman" w:cs="Times New Roman"/>
          <w:b/>
          <w:sz w:val="24"/>
          <w:szCs w:val="24"/>
          <w:lang w:eastAsia="cs-CZ"/>
        </w:rPr>
        <w:t>priority financování pro ČR pro programové období 2014–2020:</w:t>
      </w:r>
    </w:p>
    <w:p w:rsidR="008206A4" w:rsidRPr="000B521F" w:rsidRDefault="00CF3AFC" w:rsidP="0059011D">
      <w:pPr>
        <w:pStyle w:val="Odstavecseseznamem"/>
        <w:numPr>
          <w:ilvl w:val="0"/>
          <w:numId w:val="16"/>
        </w:numPr>
        <w:spacing w:after="120" w:line="240" w:lineRule="auto"/>
        <w:ind w:left="502"/>
        <w:jc w:val="both"/>
        <w:rPr>
          <w:rFonts w:ascii="Times New Roman" w:hAnsi="Times New Roman" w:cs="Times New Roman"/>
          <w:b/>
          <w:sz w:val="24"/>
          <w:szCs w:val="24"/>
          <w:lang w:eastAsia="cs-CZ"/>
        </w:rPr>
      </w:pPr>
      <w:r w:rsidRPr="000B521F">
        <w:rPr>
          <w:rFonts w:ascii="Times New Roman" w:hAnsi="Times New Roman" w:cs="Times New Roman"/>
          <w:b/>
          <w:sz w:val="24"/>
          <w:szCs w:val="24"/>
          <w:lang w:eastAsia="cs-CZ"/>
        </w:rPr>
        <w:t>Účinné a efektivní služby zaměstnanosti, které přispějí ke zvýšení zaměstna</w:t>
      </w:r>
      <w:r w:rsidR="00323BAE">
        <w:rPr>
          <w:rFonts w:ascii="Times New Roman" w:hAnsi="Times New Roman" w:cs="Times New Roman"/>
          <w:b/>
          <w:sz w:val="24"/>
          <w:szCs w:val="24"/>
          <w:lang w:eastAsia="cs-CZ"/>
        </w:rPr>
        <w:t>nosti zejména ohrožených skupin.</w:t>
      </w:r>
    </w:p>
    <w:p w:rsidR="008206A4" w:rsidRPr="000B521F" w:rsidRDefault="00CF3AFC" w:rsidP="0059011D">
      <w:pPr>
        <w:pStyle w:val="Odstavecseseznamem"/>
        <w:numPr>
          <w:ilvl w:val="0"/>
          <w:numId w:val="16"/>
        </w:numPr>
        <w:spacing w:after="120" w:line="240" w:lineRule="auto"/>
        <w:ind w:left="502"/>
        <w:jc w:val="both"/>
        <w:rPr>
          <w:rFonts w:ascii="Times New Roman" w:hAnsi="Times New Roman" w:cs="Times New Roman"/>
          <w:b/>
          <w:sz w:val="24"/>
          <w:szCs w:val="24"/>
          <w:lang w:eastAsia="cs-CZ"/>
        </w:rPr>
      </w:pPr>
      <w:r w:rsidRPr="000B521F">
        <w:rPr>
          <w:rFonts w:ascii="Times New Roman" w:hAnsi="Times New Roman" w:cs="Times New Roman"/>
          <w:b/>
          <w:sz w:val="24"/>
          <w:szCs w:val="24"/>
          <w:lang w:eastAsia="cs-CZ"/>
        </w:rPr>
        <w:t>Kvalitní vzdělávací systém (celoživotní učení) produkující kvalifikovanou a adaptabilní pracovní sílu</w:t>
      </w:r>
      <w:r w:rsidR="00323BAE">
        <w:rPr>
          <w:rFonts w:ascii="Times New Roman" w:hAnsi="Times New Roman" w:cs="Times New Roman"/>
          <w:b/>
          <w:sz w:val="24"/>
          <w:szCs w:val="24"/>
          <w:lang w:eastAsia="cs-CZ"/>
        </w:rPr>
        <w:t>.</w:t>
      </w:r>
    </w:p>
    <w:p w:rsidR="008206A4" w:rsidRPr="000B521F" w:rsidRDefault="00CF3AFC" w:rsidP="0059011D">
      <w:pPr>
        <w:pStyle w:val="Odstavecseseznamem"/>
        <w:numPr>
          <w:ilvl w:val="0"/>
          <w:numId w:val="16"/>
        </w:numPr>
        <w:spacing w:after="120" w:line="240" w:lineRule="auto"/>
        <w:ind w:left="502"/>
        <w:jc w:val="both"/>
        <w:rPr>
          <w:rFonts w:ascii="Times New Roman" w:hAnsi="Times New Roman" w:cs="Times New Roman"/>
          <w:b/>
          <w:sz w:val="24"/>
          <w:szCs w:val="24"/>
          <w:lang w:eastAsia="cs-CZ"/>
        </w:rPr>
      </w:pPr>
      <w:r w:rsidRPr="000B521F">
        <w:rPr>
          <w:rFonts w:ascii="Times New Roman" w:hAnsi="Times New Roman" w:cs="Times New Roman"/>
          <w:b/>
          <w:sz w:val="24"/>
          <w:szCs w:val="24"/>
          <w:lang w:eastAsia="cs-CZ"/>
        </w:rPr>
        <w:t>Výzkumný a inovační systém propojený s aplikační sférou a směřující ke</w:t>
      </w:r>
      <w:r w:rsidR="00323BAE">
        <w:rPr>
          <w:rFonts w:ascii="Times New Roman" w:hAnsi="Times New Roman" w:cs="Times New Roman"/>
          <w:b/>
          <w:sz w:val="24"/>
          <w:szCs w:val="24"/>
          <w:lang w:eastAsia="cs-CZ"/>
        </w:rPr>
        <w:t xml:space="preserve"> komerčně využitelným výsledkům.</w:t>
      </w:r>
    </w:p>
    <w:p w:rsidR="008206A4" w:rsidRPr="000B521F" w:rsidRDefault="00CF3AFC" w:rsidP="0059011D">
      <w:pPr>
        <w:pStyle w:val="Odstavecseseznamem"/>
        <w:numPr>
          <w:ilvl w:val="0"/>
          <w:numId w:val="16"/>
        </w:numPr>
        <w:spacing w:after="120" w:line="240" w:lineRule="auto"/>
        <w:ind w:left="502"/>
        <w:jc w:val="both"/>
        <w:rPr>
          <w:rFonts w:ascii="Times New Roman" w:hAnsi="Times New Roman" w:cs="Times New Roman"/>
          <w:b/>
          <w:sz w:val="24"/>
          <w:szCs w:val="24"/>
          <w:lang w:eastAsia="cs-CZ"/>
        </w:rPr>
      </w:pPr>
      <w:r w:rsidRPr="000B521F">
        <w:rPr>
          <w:rFonts w:ascii="Times New Roman" w:hAnsi="Times New Roman" w:cs="Times New Roman"/>
          <w:b/>
          <w:sz w:val="24"/>
          <w:szCs w:val="24"/>
          <w:lang w:eastAsia="cs-CZ"/>
        </w:rPr>
        <w:t>Podniky využívající výsledků VaV, konkurenceschopné na globálním trhu a přispívající</w:t>
      </w:r>
      <w:r w:rsidR="00323BAE">
        <w:rPr>
          <w:rFonts w:ascii="Times New Roman" w:hAnsi="Times New Roman" w:cs="Times New Roman"/>
          <w:b/>
          <w:sz w:val="24"/>
          <w:szCs w:val="24"/>
          <w:lang w:eastAsia="cs-CZ"/>
        </w:rPr>
        <w:t xml:space="preserve"> k nízkouhlíkovému hospodářství.</w:t>
      </w:r>
    </w:p>
    <w:p w:rsidR="008206A4" w:rsidRPr="000B521F" w:rsidRDefault="00CF3AFC" w:rsidP="0059011D">
      <w:pPr>
        <w:pStyle w:val="Odstavecseseznamem"/>
        <w:numPr>
          <w:ilvl w:val="0"/>
          <w:numId w:val="16"/>
        </w:numPr>
        <w:spacing w:after="120" w:line="240" w:lineRule="auto"/>
        <w:ind w:left="502"/>
        <w:jc w:val="both"/>
        <w:rPr>
          <w:rFonts w:ascii="Times New Roman" w:hAnsi="Times New Roman" w:cs="Times New Roman"/>
          <w:b/>
          <w:sz w:val="24"/>
          <w:szCs w:val="24"/>
          <w:lang w:eastAsia="cs-CZ"/>
        </w:rPr>
      </w:pPr>
      <w:r w:rsidRPr="000B521F">
        <w:rPr>
          <w:rFonts w:ascii="Times New Roman" w:hAnsi="Times New Roman" w:cs="Times New Roman"/>
          <w:b/>
          <w:sz w:val="24"/>
          <w:szCs w:val="24"/>
          <w:lang w:eastAsia="cs-CZ"/>
        </w:rPr>
        <w:t xml:space="preserve">Udržitelná infrastruktura umožňující konkurenceschopnost ekonomiky </w:t>
      </w:r>
      <w:r w:rsidR="00323BAE">
        <w:rPr>
          <w:rFonts w:ascii="Times New Roman" w:hAnsi="Times New Roman" w:cs="Times New Roman"/>
          <w:b/>
          <w:sz w:val="24"/>
          <w:szCs w:val="24"/>
          <w:lang w:eastAsia="cs-CZ"/>
        </w:rPr>
        <w:t>a odpovídající obslužnost území.</w:t>
      </w:r>
    </w:p>
    <w:p w:rsidR="008206A4" w:rsidRPr="000B521F" w:rsidRDefault="00CF3AFC" w:rsidP="0059011D">
      <w:pPr>
        <w:pStyle w:val="Odstavecseseznamem"/>
        <w:numPr>
          <w:ilvl w:val="0"/>
          <w:numId w:val="16"/>
        </w:numPr>
        <w:spacing w:after="120" w:line="240" w:lineRule="auto"/>
        <w:ind w:left="502"/>
        <w:jc w:val="both"/>
        <w:rPr>
          <w:rFonts w:ascii="Times New Roman" w:hAnsi="Times New Roman" w:cs="Times New Roman"/>
          <w:b/>
          <w:sz w:val="24"/>
          <w:szCs w:val="24"/>
          <w:lang w:eastAsia="cs-CZ"/>
        </w:rPr>
      </w:pPr>
      <w:r w:rsidRPr="000B521F">
        <w:rPr>
          <w:rFonts w:ascii="Times New Roman" w:hAnsi="Times New Roman" w:cs="Times New Roman"/>
          <w:b/>
          <w:sz w:val="24"/>
          <w:szCs w:val="24"/>
          <w:lang w:eastAsia="cs-CZ"/>
        </w:rPr>
        <w:t>Transparentní a efektivní veřejná správa s nízkou mírou adm</w:t>
      </w:r>
      <w:r w:rsidR="00323BAE">
        <w:rPr>
          <w:rFonts w:ascii="Times New Roman" w:hAnsi="Times New Roman" w:cs="Times New Roman"/>
          <w:b/>
          <w:sz w:val="24"/>
          <w:szCs w:val="24"/>
          <w:lang w:eastAsia="cs-CZ"/>
        </w:rPr>
        <w:t>inistrativní a regulační zátěže.</w:t>
      </w:r>
    </w:p>
    <w:p w:rsidR="008206A4" w:rsidRPr="000B521F" w:rsidRDefault="00CF3AFC" w:rsidP="0059011D">
      <w:pPr>
        <w:pStyle w:val="Odstavecseseznamem"/>
        <w:numPr>
          <w:ilvl w:val="0"/>
          <w:numId w:val="16"/>
        </w:numPr>
        <w:spacing w:after="120" w:line="240" w:lineRule="auto"/>
        <w:ind w:left="502"/>
        <w:jc w:val="both"/>
        <w:rPr>
          <w:rFonts w:ascii="Times New Roman" w:hAnsi="Times New Roman" w:cs="Times New Roman"/>
          <w:b/>
          <w:sz w:val="24"/>
          <w:szCs w:val="24"/>
          <w:lang w:eastAsia="cs-CZ"/>
        </w:rPr>
      </w:pPr>
      <w:r w:rsidRPr="000B521F">
        <w:rPr>
          <w:rFonts w:ascii="Times New Roman" w:hAnsi="Times New Roman" w:cs="Times New Roman"/>
          <w:b/>
          <w:sz w:val="24"/>
          <w:szCs w:val="24"/>
          <w:lang w:eastAsia="cs-CZ"/>
        </w:rPr>
        <w:t>Sociální systém začleňující sociálně vyloučené skupiny a půs</w:t>
      </w:r>
      <w:r w:rsidR="00323BAE">
        <w:rPr>
          <w:rFonts w:ascii="Times New Roman" w:hAnsi="Times New Roman" w:cs="Times New Roman"/>
          <w:b/>
          <w:sz w:val="24"/>
          <w:szCs w:val="24"/>
          <w:lang w:eastAsia="cs-CZ"/>
        </w:rPr>
        <w:t>obící preventivně proti chudobě.</w:t>
      </w:r>
    </w:p>
    <w:p w:rsidR="008206A4" w:rsidRPr="000B521F" w:rsidRDefault="00CF3AFC" w:rsidP="0059011D">
      <w:pPr>
        <w:pStyle w:val="Odstavecseseznamem"/>
        <w:numPr>
          <w:ilvl w:val="0"/>
          <w:numId w:val="16"/>
        </w:numPr>
        <w:spacing w:after="120" w:line="240" w:lineRule="auto"/>
        <w:ind w:left="502"/>
        <w:jc w:val="both"/>
        <w:rPr>
          <w:rFonts w:ascii="Times New Roman" w:hAnsi="Times New Roman" w:cs="Times New Roman"/>
          <w:b/>
          <w:sz w:val="24"/>
          <w:szCs w:val="24"/>
          <w:lang w:eastAsia="cs-CZ"/>
        </w:rPr>
      </w:pPr>
      <w:r w:rsidRPr="000B521F">
        <w:rPr>
          <w:rFonts w:ascii="Times New Roman" w:hAnsi="Times New Roman" w:cs="Times New Roman"/>
          <w:b/>
          <w:sz w:val="24"/>
          <w:szCs w:val="24"/>
          <w:lang w:eastAsia="cs-CZ"/>
        </w:rPr>
        <w:t>Ochrana životního prostředí a krajiny a přizpůsobení se změně klim</w:t>
      </w:r>
      <w:r w:rsidR="00D446F4">
        <w:rPr>
          <w:rFonts w:ascii="Times New Roman" w:hAnsi="Times New Roman" w:cs="Times New Roman"/>
          <w:b/>
          <w:sz w:val="24"/>
          <w:szCs w:val="24"/>
          <w:lang w:eastAsia="cs-CZ"/>
        </w:rPr>
        <w:t>atu.</w:t>
      </w:r>
    </w:p>
    <w:p w:rsidR="0096409F" w:rsidRPr="000B521F" w:rsidRDefault="0096409F" w:rsidP="0059011D">
      <w:pPr>
        <w:spacing w:after="120" w:line="240" w:lineRule="auto"/>
        <w:jc w:val="both"/>
        <w:rPr>
          <w:rFonts w:ascii="Times New Roman" w:hAnsi="Times New Roman" w:cs="Times New Roman"/>
          <w:sz w:val="24"/>
          <w:szCs w:val="24"/>
          <w:lang w:eastAsia="cs-CZ"/>
        </w:rPr>
      </w:pPr>
    </w:p>
    <w:p w:rsidR="00F74DA3" w:rsidRPr="000B521F" w:rsidRDefault="00F74DA3" w:rsidP="0059011D">
      <w:pPr>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Účinné a efektivní služby zaměstnanosti, které přispějí ke zvýšení zaměstnanosti zejména ohrožených skupin</w:t>
      </w:r>
    </w:p>
    <w:p w:rsidR="00775B18" w:rsidRPr="000B521F" w:rsidRDefault="00775B18" w:rsidP="0059011D">
      <w:pPr>
        <w:overflowPunct w:val="0"/>
        <w:autoSpaceDE w:val="0"/>
        <w:autoSpaceDN w:val="0"/>
        <w:adjustRightInd w:val="0"/>
        <w:spacing w:after="120" w:line="240" w:lineRule="auto"/>
        <w:jc w:val="both"/>
        <w:textAlignment w:val="baseline"/>
        <w:rPr>
          <w:rFonts w:ascii="Times New Roman" w:hAnsi="Times New Roman" w:cs="Times New Roman"/>
          <w:sz w:val="24"/>
          <w:szCs w:val="24"/>
        </w:rPr>
      </w:pPr>
      <w:r w:rsidRPr="000B521F">
        <w:rPr>
          <w:rFonts w:ascii="Times New Roman" w:hAnsi="Times New Roman" w:cs="Times New Roman"/>
          <w:sz w:val="24"/>
          <w:szCs w:val="24"/>
        </w:rPr>
        <w:t>Priorita financování vychází z problémové oblasti Trh práce</w:t>
      </w:r>
      <w:r w:rsidR="002C2719" w:rsidRPr="000B521F">
        <w:rPr>
          <w:rFonts w:ascii="Times New Roman" w:hAnsi="Times New Roman" w:cs="Times New Roman"/>
          <w:sz w:val="24"/>
          <w:szCs w:val="24"/>
        </w:rPr>
        <w:t>, respektive z</w:t>
      </w:r>
      <w:r w:rsidRPr="000B521F">
        <w:rPr>
          <w:rFonts w:ascii="Times New Roman" w:hAnsi="Times New Roman" w:cs="Times New Roman"/>
          <w:sz w:val="24"/>
          <w:szCs w:val="24"/>
        </w:rPr>
        <w:t xml:space="preserve"> problémů a potřeb rozvoje definovaných v této oblasti. </w:t>
      </w:r>
      <w:r w:rsidR="002E2124" w:rsidRPr="000B521F">
        <w:rPr>
          <w:rFonts w:ascii="Times New Roman" w:hAnsi="Times New Roman" w:cs="Times New Roman"/>
          <w:sz w:val="24"/>
          <w:szCs w:val="24"/>
        </w:rPr>
        <w:t>P</w:t>
      </w:r>
      <w:r w:rsidRPr="000B521F">
        <w:rPr>
          <w:rFonts w:ascii="Times New Roman" w:hAnsi="Times New Roman" w:cs="Times New Roman"/>
          <w:sz w:val="24"/>
          <w:szCs w:val="24"/>
        </w:rPr>
        <w:t>odpora</w:t>
      </w:r>
      <w:r w:rsidR="005D47AE" w:rsidRPr="000B521F">
        <w:rPr>
          <w:rFonts w:ascii="Times New Roman" w:hAnsi="Times New Roman" w:cs="Times New Roman"/>
          <w:sz w:val="24"/>
          <w:szCs w:val="24"/>
        </w:rPr>
        <w:t xml:space="preserve"> ESIF</w:t>
      </w:r>
      <w:r w:rsidRPr="000B521F">
        <w:rPr>
          <w:rFonts w:ascii="Times New Roman" w:hAnsi="Times New Roman" w:cs="Times New Roman"/>
          <w:sz w:val="24"/>
          <w:szCs w:val="24"/>
        </w:rPr>
        <w:t xml:space="preserve"> </w:t>
      </w:r>
      <w:r w:rsidR="002E2124" w:rsidRPr="000B521F">
        <w:rPr>
          <w:rFonts w:ascii="Times New Roman" w:hAnsi="Times New Roman" w:cs="Times New Roman"/>
          <w:sz w:val="24"/>
          <w:szCs w:val="24"/>
        </w:rPr>
        <w:t xml:space="preserve"> bude směřovat především ke zvýšení dostupnosti a kvality </w:t>
      </w:r>
      <w:r w:rsidRPr="000B521F">
        <w:rPr>
          <w:rFonts w:ascii="Times New Roman" w:hAnsi="Times New Roman" w:cs="Times New Roman"/>
          <w:sz w:val="24"/>
          <w:szCs w:val="24"/>
        </w:rPr>
        <w:t>služeb zaměstnanosti s důrazem na obtížně zaměstnatelné skupiny osob,</w:t>
      </w:r>
      <w:r w:rsidR="002E2124" w:rsidRPr="000B521F">
        <w:rPr>
          <w:rFonts w:ascii="Times New Roman" w:hAnsi="Times New Roman" w:cs="Times New Roman"/>
          <w:sz w:val="24"/>
          <w:szCs w:val="24"/>
        </w:rPr>
        <w:t xml:space="preserve"> ke zvýšení souladu</w:t>
      </w:r>
      <w:r w:rsidR="002C2719" w:rsidRPr="000B521F">
        <w:rPr>
          <w:rFonts w:ascii="Times New Roman" w:hAnsi="Times New Roman" w:cs="Times New Roman"/>
          <w:sz w:val="24"/>
          <w:szCs w:val="24"/>
        </w:rPr>
        <w:t xml:space="preserve"> </w:t>
      </w:r>
      <w:r w:rsidR="002E2124" w:rsidRPr="000B521F">
        <w:rPr>
          <w:rFonts w:ascii="Times New Roman" w:hAnsi="Times New Roman" w:cs="Times New Roman"/>
          <w:sz w:val="24"/>
          <w:szCs w:val="24"/>
        </w:rPr>
        <w:t>kompetencí</w:t>
      </w:r>
      <w:r w:rsidR="002C2719" w:rsidRPr="000B521F">
        <w:rPr>
          <w:rFonts w:ascii="Times New Roman" w:hAnsi="Times New Roman" w:cs="Times New Roman"/>
          <w:sz w:val="24"/>
          <w:szCs w:val="24"/>
        </w:rPr>
        <w:t xml:space="preserve"> pracovní síly s požadavky trhu práce </w:t>
      </w:r>
      <w:r w:rsidRPr="000B521F">
        <w:rPr>
          <w:rFonts w:ascii="Times New Roman" w:hAnsi="Times New Roman" w:cs="Times New Roman"/>
          <w:sz w:val="24"/>
          <w:szCs w:val="24"/>
        </w:rPr>
        <w:t>zejména prostřednictvím dalšího vzdělávání a služeb kariérního poradenství a</w:t>
      </w:r>
      <w:r w:rsidR="002E2124" w:rsidRPr="000B521F">
        <w:rPr>
          <w:rFonts w:ascii="Times New Roman" w:hAnsi="Times New Roman" w:cs="Times New Roman"/>
          <w:sz w:val="24"/>
          <w:szCs w:val="24"/>
        </w:rPr>
        <w:t xml:space="preserve"> ke</w:t>
      </w:r>
      <w:r w:rsidRPr="000B521F">
        <w:rPr>
          <w:rFonts w:ascii="Times New Roman" w:hAnsi="Times New Roman" w:cs="Times New Roman"/>
          <w:sz w:val="24"/>
          <w:szCs w:val="24"/>
        </w:rPr>
        <w:t xml:space="preserve"> zlepš</w:t>
      </w:r>
      <w:r w:rsidR="002E2124" w:rsidRPr="000B521F">
        <w:rPr>
          <w:rFonts w:ascii="Times New Roman" w:hAnsi="Times New Roman" w:cs="Times New Roman"/>
          <w:sz w:val="24"/>
          <w:szCs w:val="24"/>
        </w:rPr>
        <w:t>ení</w:t>
      </w:r>
      <w:r w:rsidRPr="000B521F">
        <w:rPr>
          <w:rFonts w:ascii="Times New Roman" w:hAnsi="Times New Roman" w:cs="Times New Roman"/>
          <w:sz w:val="24"/>
          <w:szCs w:val="24"/>
        </w:rPr>
        <w:t xml:space="preserve"> postavení žen na trhu práce včetně zajištění příznivějších podmínek pro sladění pracovního a soukromého života.  Zaměření priority financování odpovídá tematickému cíli 8. </w:t>
      </w:r>
    </w:p>
    <w:p w:rsidR="00F74DA3" w:rsidRPr="000B521F" w:rsidRDefault="00F74DA3" w:rsidP="0059011D">
      <w:pPr>
        <w:spacing w:after="120" w:line="240" w:lineRule="auto"/>
        <w:jc w:val="both"/>
        <w:rPr>
          <w:rFonts w:ascii="Times New Roman" w:hAnsi="Times New Roman" w:cs="Times New Roman"/>
          <w:sz w:val="24"/>
          <w:szCs w:val="24"/>
        </w:rPr>
      </w:pPr>
    </w:p>
    <w:p w:rsidR="00F74DA3" w:rsidRPr="000B521F" w:rsidRDefault="00F74DA3" w:rsidP="0059011D">
      <w:pPr>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Kvalitní systém celoživotního učení produkující kvalifikovanou a adaptabilní pracovní sílu</w:t>
      </w:r>
    </w:p>
    <w:p w:rsidR="00775B18" w:rsidRPr="000B521F" w:rsidRDefault="00775B18" w:rsidP="0059011D">
      <w:pPr>
        <w:overflowPunct w:val="0"/>
        <w:autoSpaceDE w:val="0"/>
        <w:autoSpaceDN w:val="0"/>
        <w:adjustRightInd w:val="0"/>
        <w:spacing w:after="120" w:line="240" w:lineRule="auto"/>
        <w:jc w:val="both"/>
        <w:textAlignment w:val="baseline"/>
        <w:rPr>
          <w:rFonts w:ascii="Times New Roman" w:hAnsi="Times New Roman" w:cs="Times New Roman"/>
          <w:sz w:val="24"/>
          <w:szCs w:val="24"/>
        </w:rPr>
      </w:pPr>
      <w:r w:rsidRPr="000B521F">
        <w:rPr>
          <w:rFonts w:ascii="Times New Roman" w:hAnsi="Times New Roman" w:cs="Times New Roman"/>
          <w:sz w:val="24"/>
          <w:szCs w:val="24"/>
        </w:rPr>
        <w:lastRenderedPageBreak/>
        <w:t xml:space="preserve">V rámci této priority financování bude podpora fondů ESIF zaměřena na </w:t>
      </w:r>
      <w:r w:rsidR="005D47AE" w:rsidRPr="000B521F">
        <w:rPr>
          <w:rFonts w:ascii="Times New Roman" w:hAnsi="Times New Roman" w:cs="Times New Roman"/>
          <w:sz w:val="24"/>
          <w:szCs w:val="24"/>
        </w:rPr>
        <w:t>řešení hlavních problémů</w:t>
      </w:r>
      <w:r w:rsidRPr="000B521F">
        <w:rPr>
          <w:rFonts w:ascii="Times New Roman" w:hAnsi="Times New Roman" w:cs="Times New Roman"/>
          <w:sz w:val="24"/>
          <w:szCs w:val="24"/>
        </w:rPr>
        <w:t xml:space="preserve"> identifikovan</w:t>
      </w:r>
      <w:r w:rsidR="005D47AE" w:rsidRPr="000B521F">
        <w:rPr>
          <w:rFonts w:ascii="Times New Roman" w:hAnsi="Times New Roman" w:cs="Times New Roman"/>
          <w:sz w:val="24"/>
          <w:szCs w:val="24"/>
        </w:rPr>
        <w:t>ých</w:t>
      </w:r>
      <w:r w:rsidRPr="000B521F">
        <w:rPr>
          <w:rFonts w:ascii="Times New Roman" w:hAnsi="Times New Roman" w:cs="Times New Roman"/>
          <w:sz w:val="24"/>
          <w:szCs w:val="24"/>
        </w:rPr>
        <w:t xml:space="preserve"> v kapitole Vzdělávání a částečně také Zaměstnanost. Cílem je </w:t>
      </w:r>
      <w:r w:rsidR="005D47AE" w:rsidRPr="000B521F">
        <w:rPr>
          <w:rFonts w:ascii="Times New Roman" w:hAnsi="Times New Roman" w:cs="Times New Roman"/>
          <w:sz w:val="24"/>
          <w:szCs w:val="24"/>
        </w:rPr>
        <w:t xml:space="preserve">zvýšení kvality </w:t>
      </w:r>
      <w:r w:rsidRPr="000B521F">
        <w:rPr>
          <w:rFonts w:ascii="Times New Roman" w:hAnsi="Times New Roman" w:cs="Times New Roman"/>
          <w:sz w:val="24"/>
          <w:szCs w:val="24"/>
        </w:rPr>
        <w:t>vzdělávání</w:t>
      </w:r>
      <w:r w:rsidR="005D47AE" w:rsidRPr="000B521F">
        <w:rPr>
          <w:rFonts w:ascii="Times New Roman" w:hAnsi="Times New Roman" w:cs="Times New Roman"/>
          <w:sz w:val="24"/>
          <w:szCs w:val="24"/>
        </w:rPr>
        <w:t xml:space="preserve"> a jeho souladu s požadavky trhu práce</w:t>
      </w:r>
      <w:r w:rsidRPr="000B521F">
        <w:rPr>
          <w:rFonts w:ascii="Times New Roman" w:hAnsi="Times New Roman" w:cs="Times New Roman"/>
          <w:sz w:val="24"/>
          <w:szCs w:val="24"/>
        </w:rPr>
        <w:t>, zajištění individuálního přístupu k žákům a studentům a zajištění rovného přístupu ke vzdělávání</w:t>
      </w:r>
      <w:r w:rsidR="005D47AE" w:rsidRPr="000B521F">
        <w:rPr>
          <w:rFonts w:ascii="Times New Roman" w:hAnsi="Times New Roman" w:cs="Times New Roman"/>
          <w:sz w:val="24"/>
          <w:szCs w:val="24"/>
        </w:rPr>
        <w:t>.</w:t>
      </w:r>
      <w:r w:rsidRPr="000B521F">
        <w:rPr>
          <w:rFonts w:ascii="Times New Roman" w:hAnsi="Times New Roman" w:cs="Times New Roman"/>
          <w:sz w:val="24"/>
          <w:szCs w:val="24"/>
        </w:rPr>
        <w:t xml:space="preserve"> Konkrétní zaměření investic bude reflektovat definované potřeby rozvoje v uvedené kapitole. Zaměření priority financován</w:t>
      </w:r>
      <w:r w:rsidR="00357561" w:rsidRPr="000B521F">
        <w:rPr>
          <w:rFonts w:ascii="Times New Roman" w:hAnsi="Times New Roman" w:cs="Times New Roman"/>
          <w:sz w:val="24"/>
          <w:szCs w:val="24"/>
        </w:rPr>
        <w:t>í</w:t>
      </w:r>
      <w:r w:rsidRPr="000B521F">
        <w:rPr>
          <w:rFonts w:ascii="Times New Roman" w:hAnsi="Times New Roman" w:cs="Times New Roman"/>
          <w:sz w:val="24"/>
          <w:szCs w:val="24"/>
        </w:rPr>
        <w:t xml:space="preserve"> odpovídá Tematick</w:t>
      </w:r>
      <w:r w:rsidR="00357561" w:rsidRPr="000B521F">
        <w:rPr>
          <w:rFonts w:ascii="Times New Roman" w:hAnsi="Times New Roman" w:cs="Times New Roman"/>
          <w:sz w:val="24"/>
          <w:szCs w:val="24"/>
        </w:rPr>
        <w:t>ým</w:t>
      </w:r>
      <w:r w:rsidRPr="000B521F">
        <w:rPr>
          <w:rFonts w:ascii="Times New Roman" w:hAnsi="Times New Roman" w:cs="Times New Roman"/>
          <w:sz w:val="24"/>
          <w:szCs w:val="24"/>
        </w:rPr>
        <w:t xml:space="preserve"> cíl</w:t>
      </w:r>
      <w:r w:rsidR="00357561" w:rsidRPr="000B521F">
        <w:rPr>
          <w:rFonts w:ascii="Times New Roman" w:hAnsi="Times New Roman" w:cs="Times New Roman"/>
          <w:sz w:val="24"/>
          <w:szCs w:val="24"/>
        </w:rPr>
        <w:t>ům</w:t>
      </w:r>
      <w:r w:rsidRPr="000B521F">
        <w:rPr>
          <w:rFonts w:ascii="Times New Roman" w:hAnsi="Times New Roman" w:cs="Times New Roman"/>
          <w:sz w:val="24"/>
          <w:szCs w:val="24"/>
        </w:rPr>
        <w:t xml:space="preserve">  8,</w:t>
      </w:r>
      <w:r w:rsidR="00357561" w:rsidRPr="000B521F">
        <w:rPr>
          <w:rFonts w:ascii="Times New Roman" w:hAnsi="Times New Roman" w:cs="Times New Roman"/>
          <w:sz w:val="24"/>
          <w:szCs w:val="24"/>
        </w:rPr>
        <w:t xml:space="preserve"> 9 a 10</w:t>
      </w:r>
      <w:r w:rsidRPr="000B521F">
        <w:rPr>
          <w:rFonts w:ascii="Times New Roman" w:hAnsi="Times New Roman" w:cs="Times New Roman"/>
          <w:sz w:val="24"/>
          <w:szCs w:val="24"/>
        </w:rPr>
        <w:t xml:space="preserve"> v je</w:t>
      </w:r>
      <w:r w:rsidR="00357561" w:rsidRPr="000B521F">
        <w:rPr>
          <w:rFonts w:ascii="Times New Roman" w:hAnsi="Times New Roman" w:cs="Times New Roman"/>
          <w:sz w:val="24"/>
          <w:szCs w:val="24"/>
        </w:rPr>
        <w:t>jichž</w:t>
      </w:r>
      <w:r w:rsidRPr="000B521F">
        <w:rPr>
          <w:rFonts w:ascii="Times New Roman" w:hAnsi="Times New Roman" w:cs="Times New Roman"/>
          <w:sz w:val="24"/>
          <w:szCs w:val="24"/>
        </w:rPr>
        <w:t xml:space="preserve"> rámci jsou níže stanoveny předpokládané výsledky.</w:t>
      </w:r>
    </w:p>
    <w:p w:rsidR="00775B18" w:rsidRPr="000B521F" w:rsidRDefault="00775B18" w:rsidP="0059011D">
      <w:pPr>
        <w:spacing w:after="120" w:line="240" w:lineRule="auto"/>
        <w:jc w:val="both"/>
        <w:rPr>
          <w:rFonts w:ascii="Times New Roman" w:hAnsi="Times New Roman" w:cs="Times New Roman"/>
          <w:b/>
          <w:sz w:val="24"/>
          <w:szCs w:val="24"/>
        </w:rPr>
      </w:pPr>
    </w:p>
    <w:p w:rsidR="00F74DA3" w:rsidRPr="000B521F" w:rsidRDefault="00F74DA3" w:rsidP="0059011D">
      <w:pPr>
        <w:autoSpaceDE w:val="0"/>
        <w:autoSpaceDN w:val="0"/>
        <w:adjustRightInd w:val="0"/>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Výzkumný a inovační systém propojený s aplikační sférou a směřující ke komerčně využitelným výsledkům</w:t>
      </w:r>
    </w:p>
    <w:p w:rsidR="00775B18" w:rsidRPr="000B521F" w:rsidRDefault="00775B18" w:rsidP="0059011D">
      <w:pPr>
        <w:overflowPunct w:val="0"/>
        <w:autoSpaceDE w:val="0"/>
        <w:autoSpaceDN w:val="0"/>
        <w:adjustRightInd w:val="0"/>
        <w:spacing w:after="120" w:line="240" w:lineRule="auto"/>
        <w:jc w:val="both"/>
        <w:textAlignment w:val="baseline"/>
        <w:rPr>
          <w:rFonts w:ascii="Times New Roman" w:hAnsi="Times New Roman" w:cs="Times New Roman"/>
          <w:sz w:val="24"/>
          <w:szCs w:val="24"/>
        </w:rPr>
      </w:pPr>
      <w:r w:rsidRPr="000B521F">
        <w:rPr>
          <w:rFonts w:ascii="Times New Roman" w:hAnsi="Times New Roman" w:cs="Times New Roman"/>
          <w:sz w:val="24"/>
          <w:szCs w:val="24"/>
        </w:rPr>
        <w:t>Další priorita financování navazuje na problémovou oblast Výzkumný a inovační systém. Cílem podpory v rámci priority je zlepšení situace v následujících oblastech vycházejících z definovaných problémů v uvedené kapitole: zvýšit kvalitu a zajistit větší mezinárodní otevřenost výzkumu včetně zajištění kvalitních lidských zdrojů a zavedení systému strategického řízení do oblasti VaV založeného na hodnocení kvality, dále pak posílit relevanci výzkumu pro praxi a zejména zajistit uplatnění výsledků výzkumu v inovacích, a v neposlední řadě posílit orientaci výzkumu na řešení společenských výzev. Investice budou zaměřeny na naplnění konkrétních identifikovaných rozvojových potřeb. Zaměření investic odpovídá tematickému cíli 1.</w:t>
      </w:r>
    </w:p>
    <w:p w:rsidR="00F74DA3" w:rsidRPr="000B521F" w:rsidRDefault="00F74DA3" w:rsidP="0059011D">
      <w:pPr>
        <w:autoSpaceDE w:val="0"/>
        <w:autoSpaceDN w:val="0"/>
        <w:adjustRightInd w:val="0"/>
        <w:spacing w:after="120" w:line="240" w:lineRule="auto"/>
        <w:rPr>
          <w:rFonts w:ascii="Times New Roman" w:hAnsi="Times New Roman" w:cs="Times New Roman"/>
          <w:sz w:val="24"/>
          <w:szCs w:val="24"/>
        </w:rPr>
      </w:pPr>
    </w:p>
    <w:p w:rsidR="00F74DA3" w:rsidRPr="000B521F" w:rsidRDefault="00F74DA3" w:rsidP="0059011D">
      <w:pPr>
        <w:autoSpaceDE w:val="0"/>
        <w:autoSpaceDN w:val="0"/>
        <w:adjustRightInd w:val="0"/>
        <w:spacing w:after="120" w:line="240" w:lineRule="auto"/>
        <w:rPr>
          <w:rFonts w:ascii="Times New Roman" w:hAnsi="Times New Roman" w:cs="Times New Roman"/>
          <w:b/>
          <w:sz w:val="24"/>
          <w:szCs w:val="24"/>
        </w:rPr>
      </w:pPr>
      <w:r w:rsidRPr="000B521F">
        <w:rPr>
          <w:rFonts w:ascii="Times New Roman" w:hAnsi="Times New Roman" w:cs="Times New Roman"/>
          <w:b/>
          <w:sz w:val="24"/>
          <w:szCs w:val="24"/>
        </w:rPr>
        <w:t>Podniky využívající výsledků VaV, konkurenceschopné na globálním trhu a přispívající k nízkouhlíkovému hospodářství</w:t>
      </w:r>
    </w:p>
    <w:p w:rsidR="00775B18" w:rsidRPr="000B521F" w:rsidRDefault="00775B18"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V rámci této priority financování bude podpora ESIF zaměřena na hlavní nedostatky identifikované v kapitole Konkurenceschopné podniky. Zaměření podpory bude reflektovat stanovené potřeby rozvoje. Cílem je kromě posílení endogenního podnikatelského sektoru prostřednictvím zvýšení aspirace firem v oblasti zavádění technologických i netechnologických inovací také zvýšení motivace k podnikání zlepšením podnikatelské kultury a celkového podnikatelského prostředí. Dalším cílem je také snížení vysoké energetické a materiálové náročnosti podniků a přispění ke snižování vlivu ekonomiky na životní prostředí klimatické změny. Zaměření priority financování odpovídá TC 1, 3 a 4. </w:t>
      </w:r>
    </w:p>
    <w:p w:rsidR="00F74DA3" w:rsidRPr="000B521F" w:rsidRDefault="00F74DA3" w:rsidP="0059011D">
      <w:pPr>
        <w:pStyle w:val="Odstavecseseznamem"/>
        <w:spacing w:line="240" w:lineRule="auto"/>
        <w:ind w:left="0"/>
        <w:jc w:val="both"/>
        <w:rPr>
          <w:rFonts w:ascii="Times New Roman" w:hAnsi="Times New Roman" w:cs="Times New Roman"/>
          <w:sz w:val="24"/>
          <w:szCs w:val="24"/>
        </w:rPr>
      </w:pPr>
    </w:p>
    <w:p w:rsidR="00F74DA3" w:rsidRPr="000B521F" w:rsidRDefault="00F74DA3" w:rsidP="0059011D">
      <w:pPr>
        <w:pStyle w:val="Odstavecseseznamem"/>
        <w:spacing w:line="240" w:lineRule="auto"/>
        <w:ind w:left="0"/>
        <w:jc w:val="both"/>
        <w:rPr>
          <w:rFonts w:ascii="Times New Roman" w:hAnsi="Times New Roman" w:cs="Times New Roman"/>
          <w:b/>
          <w:sz w:val="24"/>
          <w:szCs w:val="24"/>
        </w:rPr>
      </w:pPr>
      <w:r w:rsidRPr="000B521F">
        <w:rPr>
          <w:rFonts w:ascii="Times New Roman" w:hAnsi="Times New Roman" w:cs="Times New Roman"/>
          <w:b/>
          <w:sz w:val="24"/>
          <w:szCs w:val="24"/>
        </w:rPr>
        <w:t>Udržitelná infrastruktura umožňující konkurenceschopnost ekonomiky a odpovídající obslužnost území</w:t>
      </w:r>
    </w:p>
    <w:p w:rsidR="0000100B" w:rsidRPr="000B521F" w:rsidRDefault="0000100B" w:rsidP="0059011D">
      <w:pPr>
        <w:overflowPunct w:val="0"/>
        <w:autoSpaceDE w:val="0"/>
        <w:autoSpaceDN w:val="0"/>
        <w:adjustRightInd w:val="0"/>
        <w:spacing w:after="120" w:line="240" w:lineRule="auto"/>
        <w:jc w:val="both"/>
        <w:textAlignment w:val="baseline"/>
        <w:rPr>
          <w:rFonts w:ascii="Times New Roman" w:hAnsi="Times New Roman" w:cs="Times New Roman"/>
          <w:sz w:val="24"/>
          <w:szCs w:val="24"/>
        </w:rPr>
      </w:pPr>
      <w:r w:rsidRPr="000B521F">
        <w:rPr>
          <w:rFonts w:ascii="Times New Roman" w:hAnsi="Times New Roman" w:cs="Times New Roman"/>
          <w:sz w:val="24"/>
          <w:szCs w:val="24"/>
        </w:rPr>
        <w:t xml:space="preserve">V rámci této priority financování bude podpora fondů ESIF zaměřena na hlavní nedostatky identifikované v kapitolách Dopravní infrastruktura a dostupnost/mobilita, ICT infrastruktura a Energetická infrastruktura. Cílem je rozšíření páteřní dopravní sítě (zejména TEN-T) včetně ITS na silnicích, zlepšení napojení regionů a center nižších úrovní na páteřní infrastrukturu, zvýšení úrovně interoperability železnice a multimodality dopravy jako celku, zlepšení dopravních infrastrukturních podmínek a zvýšení atraktivity veřejné dopravy a </w:t>
      </w:r>
      <w:r w:rsidR="000144E0" w:rsidRPr="000B521F">
        <w:rPr>
          <w:rFonts w:ascii="Times New Roman" w:hAnsi="Times New Roman" w:cs="Times New Roman"/>
          <w:sz w:val="24"/>
          <w:szCs w:val="24"/>
        </w:rPr>
        <w:t xml:space="preserve">nemotorové </w:t>
      </w:r>
      <w:r w:rsidRPr="000B521F">
        <w:rPr>
          <w:rFonts w:ascii="Times New Roman" w:hAnsi="Times New Roman" w:cs="Times New Roman"/>
          <w:sz w:val="24"/>
          <w:szCs w:val="24"/>
        </w:rPr>
        <w:t xml:space="preserve">dopravy ve městech, aglomeracích a regionech, dále zvýšení pokrytí vysokorychlostním internetem především ve venkovských oblastech a zvýšení nabídky ICT služeb a dále zvýšení podílu obnovitelných zdrojů energie na spotřebě, modernizace a zvýšení kapacity přenosové a distribuční soustav elektrické energie, snížení ztrát tepelné energie v rozvodných zařízeních a využití potenciálu kombinované výroby elektřiny a tepla. Konkrétní zaměření investic bude reflektovat definované potřeby rozvoje v uvedených kapitolách. Zaměření priorit financování </w:t>
      </w:r>
      <w:r w:rsidRPr="000B521F">
        <w:rPr>
          <w:rFonts w:ascii="Times New Roman" w:hAnsi="Times New Roman" w:cs="Times New Roman"/>
          <w:sz w:val="24"/>
          <w:szCs w:val="24"/>
        </w:rPr>
        <w:lastRenderedPageBreak/>
        <w:t>odpovídá Tematickým cílům 2, 4 (energetické úspory, potažmo mitigační opatření vázající se na změnu klimatu) a 7, v jejichž rámci jsou níže stanoveny předpokládané výsledky.</w:t>
      </w:r>
    </w:p>
    <w:p w:rsidR="00F74DA3" w:rsidRPr="000B521F" w:rsidRDefault="00F74DA3" w:rsidP="0059011D">
      <w:pPr>
        <w:overflowPunct w:val="0"/>
        <w:autoSpaceDE w:val="0"/>
        <w:autoSpaceDN w:val="0"/>
        <w:adjustRightInd w:val="0"/>
        <w:spacing w:after="120" w:line="240" w:lineRule="auto"/>
        <w:jc w:val="both"/>
        <w:textAlignment w:val="baseline"/>
        <w:rPr>
          <w:rFonts w:ascii="Times New Roman" w:hAnsi="Times New Roman" w:cs="Times New Roman"/>
          <w:sz w:val="24"/>
          <w:szCs w:val="24"/>
        </w:rPr>
      </w:pPr>
    </w:p>
    <w:p w:rsidR="00F74DA3" w:rsidRPr="000B521F" w:rsidRDefault="00F74DA3" w:rsidP="0059011D">
      <w:pPr>
        <w:tabs>
          <w:tab w:val="left" w:pos="-4820"/>
        </w:tabs>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Transparentní a efektivní veřejná správa s nízkou mírou administrativní a regulační zátěže</w:t>
      </w:r>
    </w:p>
    <w:p w:rsidR="005B2E5C" w:rsidRPr="000B521F" w:rsidRDefault="005B2E5C"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Priorita financování odráží hlavní identifikované problémy veřejné správy v ČR. Mezi ně patří  vysoká administrativní zátěž zejména podnikatelských činností a nepřehledné a nestabilní regulatorní prostředí. Dalšími problémy </w:t>
      </w:r>
      <w:r w:rsidR="003A029C" w:rsidRPr="000B521F">
        <w:rPr>
          <w:rFonts w:ascii="Times New Roman" w:hAnsi="Times New Roman" w:cs="Times New Roman"/>
          <w:sz w:val="24"/>
          <w:szCs w:val="24"/>
        </w:rPr>
        <w:t xml:space="preserve">veřejné správy </w:t>
      </w:r>
      <w:r w:rsidRPr="000B521F">
        <w:rPr>
          <w:rFonts w:ascii="Times New Roman" w:hAnsi="Times New Roman" w:cs="Times New Roman"/>
          <w:sz w:val="24"/>
          <w:szCs w:val="24"/>
        </w:rPr>
        <w:t xml:space="preserve">jsou nízká odbornost jejího výkonu a nedostatečná transparentnost. Zmíněné nedostatky ve svých důsledcích snižují efektivitu (účinnost) veřejné správy. Priorita financování se rovněž zaměřuje na dokončení elektronizace </w:t>
      </w:r>
      <w:r w:rsidR="003A029C" w:rsidRPr="000B521F">
        <w:rPr>
          <w:rFonts w:ascii="Times New Roman" w:hAnsi="Times New Roman" w:cs="Times New Roman"/>
          <w:sz w:val="24"/>
          <w:szCs w:val="24"/>
        </w:rPr>
        <w:t>veřejné správy</w:t>
      </w:r>
      <w:r w:rsidRPr="000B521F">
        <w:rPr>
          <w:rFonts w:ascii="Times New Roman" w:hAnsi="Times New Roman" w:cs="Times New Roman"/>
          <w:sz w:val="24"/>
          <w:szCs w:val="24"/>
        </w:rPr>
        <w:t xml:space="preserve">, na plné zprovoznění a vzájemnou komunikaci informačních registrů a celkový rozvoj informačních systémů </w:t>
      </w:r>
      <w:r w:rsidR="003A029C" w:rsidRPr="000B521F">
        <w:rPr>
          <w:rFonts w:ascii="Times New Roman" w:hAnsi="Times New Roman" w:cs="Times New Roman"/>
          <w:sz w:val="24"/>
          <w:szCs w:val="24"/>
        </w:rPr>
        <w:t>veřejné správy</w:t>
      </w:r>
      <w:r w:rsidRPr="000B521F">
        <w:rPr>
          <w:rFonts w:ascii="Times New Roman" w:hAnsi="Times New Roman" w:cs="Times New Roman"/>
          <w:sz w:val="24"/>
          <w:szCs w:val="24"/>
        </w:rPr>
        <w:t xml:space="preserve">, což povede mj. ke zvýšení četnosti elektronizovaných procesů a služeb ve </w:t>
      </w:r>
      <w:r w:rsidR="003A029C" w:rsidRPr="000B521F">
        <w:rPr>
          <w:rFonts w:ascii="Times New Roman" w:hAnsi="Times New Roman" w:cs="Times New Roman"/>
          <w:sz w:val="24"/>
          <w:szCs w:val="24"/>
        </w:rPr>
        <w:t>veřejné správě</w:t>
      </w:r>
      <w:r w:rsidRPr="000B521F">
        <w:rPr>
          <w:rFonts w:ascii="Times New Roman" w:hAnsi="Times New Roman" w:cs="Times New Roman"/>
          <w:sz w:val="24"/>
          <w:szCs w:val="24"/>
        </w:rPr>
        <w:t xml:space="preserve">. Prostřednictvím financování této priority přispějí fondy ESI i k rozvoji specializovaných informačních systémů pro potřeby ústřední i územní veřejné správy a složek IZS. </w:t>
      </w:r>
    </w:p>
    <w:p w:rsidR="00F74DA3" w:rsidRPr="000B521F" w:rsidRDefault="00F74DA3" w:rsidP="0059011D">
      <w:pPr>
        <w:tabs>
          <w:tab w:val="left" w:pos="-4820"/>
        </w:tabs>
        <w:spacing w:after="120" w:line="240" w:lineRule="auto"/>
        <w:jc w:val="both"/>
        <w:rPr>
          <w:rFonts w:ascii="Times New Roman" w:hAnsi="Times New Roman" w:cs="Times New Roman"/>
          <w:sz w:val="24"/>
          <w:szCs w:val="24"/>
        </w:rPr>
      </w:pPr>
    </w:p>
    <w:p w:rsidR="00F74DA3" w:rsidRPr="000B521F" w:rsidRDefault="00F74DA3" w:rsidP="0059011D">
      <w:pPr>
        <w:tabs>
          <w:tab w:val="left" w:pos="-4820"/>
        </w:tabs>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Sociální systém začleňující sociálně vyloučené skupiny a působící preventivně proti chudobě</w:t>
      </w:r>
    </w:p>
    <w:p w:rsidR="005B2E5C" w:rsidRPr="000B521F" w:rsidRDefault="005B2E5C"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Priorita financování vychází z problémové oblasti „Sociální začleňování, boj s chudobou a systém péče o zdraví“ specifikované v kapitole 1.1. Z hlediska sociálního systému odráží priorita především potřebu čelit riziku i důsledkům nezaměstnanosti a chudoby, dále pak zajistit přístup k sociálním </w:t>
      </w:r>
      <w:r w:rsidR="003A029C" w:rsidRPr="000B521F">
        <w:rPr>
          <w:rFonts w:ascii="Times New Roman" w:hAnsi="Times New Roman" w:cs="Times New Roman"/>
          <w:sz w:val="24"/>
          <w:szCs w:val="24"/>
        </w:rPr>
        <w:t xml:space="preserve">službám </w:t>
      </w:r>
      <w:r w:rsidRPr="000B521F">
        <w:rPr>
          <w:rFonts w:ascii="Times New Roman" w:hAnsi="Times New Roman" w:cs="Times New Roman"/>
          <w:sz w:val="24"/>
          <w:szCs w:val="24"/>
        </w:rPr>
        <w:t>a pomáhat při začleňování do sociálních vztahů. Priorita se tak zaměřuje na zvýšení uplatnitelnosti osob sociálně vyloučených a osob ohrožených sociálním vyloučením a chudobou na trhu práce. Priorita je rovněž zaměřena na zajištění efektivního, dostupného, dlouhodobě udržitelného a kvalitního systému sociálních služeb.  Určitým specifikem, které tato priorita řeší, je problematika existence sociálně vyloučených lokalit včetně předcházení jejich vzniku. Priorita rovněž odráží potřebu zabezpečit kvalitní a dostupn</w:t>
      </w:r>
      <w:r w:rsidR="003A029C" w:rsidRPr="000B521F">
        <w:rPr>
          <w:rFonts w:ascii="Times New Roman" w:hAnsi="Times New Roman" w:cs="Times New Roman"/>
          <w:sz w:val="24"/>
          <w:szCs w:val="24"/>
        </w:rPr>
        <w:t>ou</w:t>
      </w:r>
      <w:r w:rsidRPr="000B521F">
        <w:rPr>
          <w:rFonts w:ascii="Times New Roman" w:hAnsi="Times New Roman" w:cs="Times New Roman"/>
          <w:sz w:val="24"/>
          <w:szCs w:val="24"/>
        </w:rPr>
        <w:t xml:space="preserve"> zdravotní péč</w:t>
      </w:r>
      <w:r w:rsidR="003A029C" w:rsidRPr="000B521F">
        <w:rPr>
          <w:rFonts w:ascii="Times New Roman" w:hAnsi="Times New Roman" w:cs="Times New Roman"/>
          <w:sz w:val="24"/>
          <w:szCs w:val="24"/>
        </w:rPr>
        <w:t>i</w:t>
      </w:r>
      <w:r w:rsidRPr="000B521F">
        <w:rPr>
          <w:rFonts w:ascii="Times New Roman" w:hAnsi="Times New Roman" w:cs="Times New Roman"/>
          <w:sz w:val="24"/>
          <w:szCs w:val="24"/>
        </w:rPr>
        <w:t xml:space="preserve">, řešit prevenci a podporu zdravého životního stylu, což představuje jeden z předpokladů pro aktivní účast obyvatelstva na trhu práce, kvality života a snížení sociálního vyloučení. </w:t>
      </w:r>
    </w:p>
    <w:p w:rsidR="00147E55" w:rsidRPr="000B521F" w:rsidRDefault="00147E55" w:rsidP="0059011D">
      <w:pPr>
        <w:tabs>
          <w:tab w:val="left" w:pos="-4820"/>
        </w:tabs>
        <w:spacing w:after="120" w:line="240" w:lineRule="auto"/>
        <w:jc w:val="both"/>
        <w:rPr>
          <w:rFonts w:ascii="Times New Roman" w:hAnsi="Times New Roman" w:cs="Times New Roman"/>
          <w:b/>
          <w:sz w:val="24"/>
          <w:szCs w:val="24"/>
        </w:rPr>
      </w:pPr>
    </w:p>
    <w:p w:rsidR="00F74DA3" w:rsidRPr="000B521F" w:rsidRDefault="00F74DA3" w:rsidP="0059011D">
      <w:pPr>
        <w:tabs>
          <w:tab w:val="left" w:pos="-4820"/>
        </w:tabs>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Ochrana životního prostředí a krajiny a přizpůsobení se změně klimatu</w:t>
      </w:r>
    </w:p>
    <w:p w:rsidR="0000100B" w:rsidRPr="000B521F" w:rsidRDefault="0000100B" w:rsidP="0059011D">
      <w:pPr>
        <w:tabs>
          <w:tab w:val="left" w:pos="-4820"/>
        </w:tabs>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V rámci této priority financování bude podpora fondů ESIF zaměřena na hlavní nedostatky identifikované v kapitolách Ochrana životního prostředí a Změna klimatu a prevence rizik a katastrof. V oblasti týkající se životního prostředí je cílem především snížení znečištění ovzduší, zvýšení jakosti vod a zlepšení nakládání s odpady, dále pak snížení energetické náročnosti urbanizovaných území, zvýšení biodiverzity a ochrana krajiny a ekosystémů, zvýšení ochrany a kvality půdy. V oblasti týkající se změny klimatu je cílem zvýšení adaptace krajiny </w:t>
      </w:r>
      <w:r w:rsidR="009B01A8" w:rsidRPr="000B521F">
        <w:rPr>
          <w:rFonts w:ascii="Times New Roman" w:hAnsi="Times New Roman" w:cs="Times New Roman"/>
          <w:sz w:val="24"/>
          <w:szCs w:val="24"/>
        </w:rPr>
        <w:t xml:space="preserve">a měst </w:t>
      </w:r>
      <w:r w:rsidRPr="000B521F">
        <w:rPr>
          <w:rFonts w:ascii="Times New Roman" w:hAnsi="Times New Roman" w:cs="Times New Roman"/>
          <w:sz w:val="24"/>
          <w:szCs w:val="24"/>
        </w:rPr>
        <w:t>na projevy klimatické změny (přírodě blízká a technická opatření, změny v rámci zemědělského a lesního hospodaření</w:t>
      </w:r>
      <w:r w:rsidR="009B01A8" w:rsidRPr="000B521F">
        <w:rPr>
          <w:rFonts w:ascii="Times New Roman" w:hAnsi="Times New Roman" w:cs="Times New Roman"/>
          <w:sz w:val="24"/>
          <w:szCs w:val="24"/>
        </w:rPr>
        <w:t>, opatření související s adaptací na změny klimatu zahrnout jako součást dalších investic</w:t>
      </w:r>
      <w:r w:rsidRPr="000B521F">
        <w:rPr>
          <w:rFonts w:ascii="Times New Roman" w:hAnsi="Times New Roman" w:cs="Times New Roman"/>
          <w:sz w:val="24"/>
          <w:szCs w:val="24"/>
        </w:rPr>
        <w:t xml:space="preserve">), dále pak zlepšení různých varovných a reakčních systémů týkajících se různých katastrof a zejména živelných pohrom souvisejících se změnou klimatu. Konkrétní zaměření investic bude reflektovat definované potřeby rozvoje v uvedených kapitolách. Zaměření priorit financování odpovídá Tematickým cílům 4 (energetické úspory, potažmo mitigační opatření vázající se na změnu klimatu), 5 (adaptační </w:t>
      </w:r>
      <w:r w:rsidRPr="000B521F">
        <w:rPr>
          <w:rFonts w:ascii="Times New Roman" w:hAnsi="Times New Roman" w:cs="Times New Roman"/>
          <w:sz w:val="24"/>
          <w:szCs w:val="24"/>
        </w:rPr>
        <w:lastRenderedPageBreak/>
        <w:t>opatření vázající se na změnu klimatu) a 7, v jejichž rámci jsou níže stanoveny předpokládané výsledky.</w:t>
      </w:r>
    </w:p>
    <w:p w:rsidR="00CF3AFC" w:rsidRDefault="00CF3AFC" w:rsidP="0059011D">
      <w:pPr>
        <w:spacing w:after="120" w:line="240" w:lineRule="auto"/>
        <w:jc w:val="both"/>
        <w:rPr>
          <w:rFonts w:ascii="Times New Roman" w:hAnsi="Times New Roman" w:cs="Times New Roman"/>
          <w:sz w:val="24"/>
          <w:szCs w:val="24"/>
          <w:lang w:eastAsia="cs-CZ"/>
        </w:rPr>
      </w:pPr>
      <w:r w:rsidRPr="000B521F">
        <w:rPr>
          <w:rFonts w:ascii="Times New Roman" w:hAnsi="Times New Roman" w:cs="Times New Roman"/>
          <w:sz w:val="24"/>
          <w:szCs w:val="24"/>
          <w:lang w:eastAsia="cs-CZ"/>
        </w:rPr>
        <w:t>Rozpracování priorit financování do tematických cílů je dále předmětem části 1.3 Dohody.</w:t>
      </w:r>
    </w:p>
    <w:p w:rsidR="00323BAE" w:rsidRPr="000B521F" w:rsidRDefault="00323BAE" w:rsidP="0059011D">
      <w:pPr>
        <w:spacing w:after="120" w:line="240" w:lineRule="auto"/>
        <w:jc w:val="both"/>
        <w:rPr>
          <w:rFonts w:ascii="Times New Roman" w:hAnsi="Times New Roman" w:cs="Times New Roman"/>
          <w:sz w:val="24"/>
          <w:szCs w:val="24"/>
          <w:lang w:eastAsia="cs-CZ"/>
        </w:rPr>
      </w:pPr>
    </w:p>
    <w:p w:rsidR="00507842" w:rsidRPr="000B521F" w:rsidRDefault="00507842" w:rsidP="0059011D">
      <w:pPr>
        <w:pStyle w:val="Nadpis2"/>
      </w:pPr>
      <w:bookmarkStart w:id="46" w:name="_Toc350333617"/>
      <w:bookmarkStart w:id="47" w:name="_Toc374702871"/>
      <w:r w:rsidRPr="000B521F">
        <w:t>Souhrn ex ante evaluací programů, popřípadě klíčová zjištění ex ante evaluací Dohody</w:t>
      </w:r>
      <w:bookmarkEnd w:id="46"/>
      <w:bookmarkEnd w:id="47"/>
    </w:p>
    <w:p w:rsidR="00462840" w:rsidRPr="000B521F" w:rsidRDefault="00462840"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Ex ante hodnocení je prováděno externím dodavatelem v souladu </w:t>
      </w:r>
      <w:r w:rsidR="00BE31D3" w:rsidRPr="00BE31D3">
        <w:rPr>
          <w:rFonts w:ascii="Times New Roman" w:hAnsi="Times New Roman" w:cs="Times New Roman"/>
          <w:sz w:val="24"/>
          <w:szCs w:val="24"/>
        </w:rPr>
        <w:t>se smlouvou na plnění veřejné zakázky</w:t>
      </w:r>
      <w:r w:rsidR="00BE31D3" w:rsidRPr="00BE31D3" w:rsidDel="00BE31D3">
        <w:rPr>
          <w:rFonts w:ascii="Times New Roman" w:hAnsi="Times New Roman" w:cs="Times New Roman"/>
          <w:sz w:val="24"/>
          <w:szCs w:val="24"/>
        </w:rPr>
        <w:t xml:space="preserve"> </w:t>
      </w:r>
      <w:r w:rsidRPr="000B521F">
        <w:rPr>
          <w:rFonts w:ascii="Times New Roman" w:hAnsi="Times New Roman" w:cs="Times New Roman"/>
          <w:sz w:val="24"/>
          <w:szCs w:val="24"/>
        </w:rPr>
        <w:t>a to průběžně se zpracováním Dohody.  Probíhá ve vazbě na ex ante evaluace programů pro využívání fondů ESI způsobem, který zajišťuje vzájemnou</w:t>
      </w:r>
      <w:r w:rsidR="003027B2" w:rsidRPr="000B521F">
        <w:rPr>
          <w:rFonts w:ascii="Times New Roman" w:hAnsi="Times New Roman" w:cs="Times New Roman"/>
          <w:sz w:val="24"/>
          <w:szCs w:val="24"/>
        </w:rPr>
        <w:t xml:space="preserve"> </w:t>
      </w:r>
      <w:r w:rsidRPr="000B521F">
        <w:rPr>
          <w:rFonts w:ascii="Times New Roman" w:hAnsi="Times New Roman" w:cs="Times New Roman"/>
          <w:sz w:val="24"/>
          <w:szCs w:val="24"/>
        </w:rPr>
        <w:t>koordinovanost a informovanost o hlavních krocích</w:t>
      </w:r>
      <w:r w:rsidR="003027B2" w:rsidRPr="000B521F">
        <w:rPr>
          <w:rFonts w:ascii="Times New Roman" w:hAnsi="Times New Roman" w:cs="Times New Roman"/>
          <w:sz w:val="24"/>
          <w:szCs w:val="24"/>
        </w:rPr>
        <w:t xml:space="preserve"> </w:t>
      </w:r>
      <w:r w:rsidRPr="000B521F">
        <w:rPr>
          <w:rFonts w:ascii="Times New Roman" w:hAnsi="Times New Roman" w:cs="Times New Roman"/>
          <w:sz w:val="24"/>
          <w:szCs w:val="24"/>
        </w:rPr>
        <w:t>probíhajících hodnocení a jejich výsledcích.</w:t>
      </w:r>
    </w:p>
    <w:p w:rsidR="00462840" w:rsidRPr="000B521F" w:rsidRDefault="00462840"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Hodnocení je rozděleno do několika etap. Prvním důležitým výstupem je průběžná zpráva ex ante hodnotitele k návrhu Dohody z července 2013, která se zaměřuje na klíčové otázky analýzy problémů a potřeb, strategii Dohody, rozdělení dle tematických cílů a zapojení partnerů do přípravy Dohody. V návaznosti na další fázi hodnocení (zpracování závěrečné zprávy k této verzi Dohody) budou aktualizována i klíčová zjištění v této kapitole.</w:t>
      </w:r>
    </w:p>
    <w:p w:rsidR="00462840" w:rsidRPr="000B521F" w:rsidRDefault="00462840" w:rsidP="0059011D">
      <w:pPr>
        <w:pStyle w:val="Nadpis3"/>
        <w:spacing w:after="120"/>
        <w:rPr>
          <w:rFonts w:ascii="Times New Roman" w:hAnsi="Times New Roman" w:cs="Times New Roman"/>
        </w:rPr>
      </w:pPr>
      <w:bookmarkStart w:id="48" w:name="_Toc374702872"/>
      <w:r w:rsidRPr="000B521F">
        <w:rPr>
          <w:rFonts w:ascii="Times New Roman" w:hAnsi="Times New Roman" w:cs="Times New Roman"/>
        </w:rPr>
        <w:t>Stručné shrnutí hlavních závěrů k analýze problémů a potřeb, strategii Dohody a rozdělení podle tematických cílů</w:t>
      </w:r>
      <w:bookmarkEnd w:id="48"/>
    </w:p>
    <w:p w:rsidR="00462840" w:rsidRPr="000B521F" w:rsidRDefault="00462840"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S ohledem na zjištění v analýze problémů a potřeb doporučil hodnotitel zpřesnění a aktualizaci identifikovaných potřeb. Současně prověřil vazby na strategické dokumenty, pro které rovněž formuloval doporučení k úpravám podle jednotlivých věcně zaměřených oblastí.</w:t>
      </w:r>
    </w:p>
    <w:p w:rsidR="00462840" w:rsidRPr="000B521F" w:rsidRDefault="00462840" w:rsidP="0059011D">
      <w:pPr>
        <w:spacing w:after="120" w:line="240" w:lineRule="auto"/>
        <w:jc w:val="both"/>
        <w:rPr>
          <w:rFonts w:ascii="Times New Roman" w:hAnsi="Times New Roman" w:cs="Times New Roman"/>
          <w:bCs/>
          <w:color w:val="000000"/>
          <w:sz w:val="24"/>
          <w:szCs w:val="24"/>
        </w:rPr>
      </w:pPr>
      <w:r w:rsidRPr="000B521F">
        <w:rPr>
          <w:rFonts w:ascii="Times New Roman" w:hAnsi="Times New Roman" w:cs="Times New Roman"/>
          <w:bCs/>
          <w:sz w:val="24"/>
          <w:szCs w:val="24"/>
        </w:rPr>
        <w:t>Podle ex ante hodnotitele celkový přístup k formulaci strategické části Dohody</w:t>
      </w:r>
      <w:r w:rsidR="003027B2" w:rsidRPr="000B521F">
        <w:rPr>
          <w:rFonts w:ascii="Times New Roman" w:hAnsi="Times New Roman" w:cs="Times New Roman"/>
          <w:bCs/>
          <w:sz w:val="24"/>
          <w:szCs w:val="24"/>
        </w:rPr>
        <w:t xml:space="preserve"> </w:t>
      </w:r>
      <w:r w:rsidRPr="000B521F">
        <w:rPr>
          <w:rFonts w:ascii="Times New Roman" w:hAnsi="Times New Roman" w:cs="Times New Roman"/>
          <w:bCs/>
          <w:sz w:val="24"/>
          <w:szCs w:val="24"/>
        </w:rPr>
        <w:t xml:space="preserve">respektuje, s ohledem na požadovaný rozsah a obsah </w:t>
      </w:r>
      <w:r w:rsidRPr="000B521F">
        <w:rPr>
          <w:rFonts w:ascii="Times New Roman" w:hAnsi="Times New Roman" w:cs="Times New Roman"/>
          <w:bCs/>
          <w:color w:val="000000"/>
          <w:sz w:val="24"/>
          <w:szCs w:val="24"/>
        </w:rPr>
        <w:t xml:space="preserve">Dohody základní principy tvorby strategie. Dílčí připomínky se týkaly především potřeby upřesnění intervenční logiky, funkčních vazeb, v některých případech neúplného pokrytí potřeb. Dále nedostatečného provázání některých identifikovaných problémů/potřeb a vymezených očekávaných výsledků. </w:t>
      </w:r>
    </w:p>
    <w:p w:rsidR="00462840" w:rsidRPr="000B521F" w:rsidRDefault="00462840" w:rsidP="0059011D">
      <w:pPr>
        <w:spacing w:after="120" w:line="240" w:lineRule="auto"/>
        <w:jc w:val="both"/>
        <w:rPr>
          <w:rFonts w:ascii="Times New Roman" w:hAnsi="Times New Roman" w:cs="Times New Roman"/>
          <w:bCs/>
          <w:color w:val="000000"/>
          <w:sz w:val="24"/>
          <w:szCs w:val="24"/>
        </w:rPr>
      </w:pPr>
      <w:r w:rsidRPr="000B521F">
        <w:rPr>
          <w:rFonts w:ascii="Times New Roman" w:hAnsi="Times New Roman" w:cs="Times New Roman"/>
          <w:bCs/>
          <w:color w:val="000000"/>
          <w:sz w:val="24"/>
          <w:szCs w:val="24"/>
        </w:rPr>
        <w:t>Z pohledu věcných témat byla nejzávažnější doporučení formulována pro oblast výzkumu, vývoje a inovací a jejich vazby na konkurenceschopnost podniků a dále připomínky k neopodstatněnému zúžení problémů/potřeb energetické infrastruktury ve srovnání s jejím celkovým vymezením v analýze, zejména chybějící potřeby v oblasti teplárenství, plynárenství a energetiky v dopravě. V oblasti veřejné správy spatřuje evaluátor problém v jejím úzkém pojetí (princip partnerství, víceúrovňová správa, podpora vzdělávání apod.) nedostatečném/absenci uchopení problematiky účinnosti institucí.</w:t>
      </w:r>
      <w:r w:rsidRPr="000B521F">
        <w:rPr>
          <w:rFonts w:ascii="Times New Roman" w:hAnsi="Times New Roman" w:cs="Times New Roman"/>
          <w:sz w:val="24"/>
          <w:szCs w:val="24"/>
        </w:rPr>
        <w:t xml:space="preserve">  Ve všech oblastech doporučuje lépe navázat na </w:t>
      </w:r>
      <w:r w:rsidRPr="000B521F">
        <w:rPr>
          <w:rFonts w:ascii="Times New Roman" w:hAnsi="Times New Roman" w:cs="Times New Roman"/>
          <w:bCs/>
          <w:color w:val="000000"/>
          <w:sz w:val="24"/>
          <w:szCs w:val="24"/>
        </w:rPr>
        <w:t>zkušenosti a výsledky programového období 2007–2013.</w:t>
      </w:r>
    </w:p>
    <w:p w:rsidR="00462840" w:rsidRPr="000B521F" w:rsidRDefault="00462840" w:rsidP="0059011D">
      <w:pPr>
        <w:spacing w:after="120" w:line="240" w:lineRule="auto"/>
        <w:jc w:val="both"/>
        <w:rPr>
          <w:rFonts w:ascii="Times New Roman" w:hAnsi="Times New Roman" w:cs="Times New Roman"/>
          <w:bCs/>
          <w:color w:val="000000"/>
          <w:sz w:val="24"/>
          <w:szCs w:val="24"/>
        </w:rPr>
      </w:pPr>
      <w:r w:rsidRPr="000B521F">
        <w:rPr>
          <w:rFonts w:ascii="Times New Roman" w:hAnsi="Times New Roman" w:cs="Times New Roman"/>
          <w:bCs/>
          <w:color w:val="000000"/>
          <w:sz w:val="24"/>
          <w:szCs w:val="24"/>
        </w:rPr>
        <w:t>V návaznosti na provedené ex ante hodnocení analýzy problémů a potřeb a strategické části  došlo k řadě úprav a doplnění Dohody. V následujícím textu jsou uvedena zjištění a způsob zapracování reakce u tří výše uvedených oblastí:</w:t>
      </w:r>
    </w:p>
    <w:p w:rsidR="00462840" w:rsidRPr="000B521F" w:rsidRDefault="00462840" w:rsidP="0059011D">
      <w:pPr>
        <w:pStyle w:val="Prosttext"/>
        <w:spacing w:after="120"/>
        <w:jc w:val="both"/>
        <w:rPr>
          <w:rFonts w:ascii="Times New Roman" w:hAnsi="Times New Roman"/>
          <w:sz w:val="24"/>
          <w:szCs w:val="24"/>
        </w:rPr>
      </w:pPr>
      <w:r w:rsidRPr="000B521F">
        <w:rPr>
          <w:rFonts w:ascii="Times New Roman" w:hAnsi="Times New Roman"/>
          <w:sz w:val="24"/>
          <w:szCs w:val="24"/>
        </w:rPr>
        <w:t>V oblasti výzkumu s vazbou na konkurenceschopné podniky hodnotitelé především upozornili na nutnost zřetelně podle významu hierarchizovat jak argumenty v analytické části, tak i navržené oblasti podpory a poskytli v tomto směru</w:t>
      </w:r>
      <w:r w:rsidR="003027B2" w:rsidRPr="000B521F">
        <w:rPr>
          <w:rFonts w:ascii="Times New Roman" w:hAnsi="Times New Roman"/>
          <w:sz w:val="24"/>
          <w:szCs w:val="24"/>
        </w:rPr>
        <w:t xml:space="preserve"> </w:t>
      </w:r>
      <w:r w:rsidRPr="000B521F">
        <w:rPr>
          <w:rFonts w:ascii="Times New Roman" w:hAnsi="Times New Roman"/>
          <w:sz w:val="24"/>
          <w:szCs w:val="24"/>
        </w:rPr>
        <w:t xml:space="preserve">konkrétní doporučení. Na základě doporučení ex ante hodnotitelů byly významně přepracovány tři části textu. Výrazně upravena byla především část věnovaná „Hlavním identifikovaným problémům a z nich vyplývajícím potřebám rozvoje“. Text byl upraven tak, aby byla posílena strategická orientace budoucího zaměření podpory, odstraněny byl  některé duplicity. Zcela přepracována byla také část věnovaná územní dimenzi, včetně doplnění vysvětlení, jak bude územní dimenze podpory </w:t>
      </w:r>
      <w:r w:rsidRPr="000B521F">
        <w:rPr>
          <w:rFonts w:ascii="Times New Roman" w:hAnsi="Times New Roman"/>
          <w:sz w:val="24"/>
          <w:szCs w:val="24"/>
        </w:rPr>
        <w:lastRenderedPageBreak/>
        <w:t>zajištěna v rámci realizace strategie inteligentní specializace.  Konečně byla na základě doporučení ex ante hodnotitelů  přepracována část věnovaná posunům ve srovnání s koncepcí podpory v současném programovém období, a to tak, že jsou v textu konkrétně specifikovány připravované změny, zejména ve vazbě na strategii inteligentní specializace, na podporu KET a v dalších oblastech. Byla provedena úprava textu Dohody s cílem text zpřesnit a lépe podložit argumenty.  Upravena byla i oblast vzdělávání</w:t>
      </w:r>
      <w:r w:rsidR="003027B2" w:rsidRPr="000B521F">
        <w:rPr>
          <w:rFonts w:ascii="Times New Roman" w:hAnsi="Times New Roman"/>
          <w:sz w:val="24"/>
          <w:szCs w:val="24"/>
        </w:rPr>
        <w:t xml:space="preserve"> </w:t>
      </w:r>
      <w:r w:rsidRPr="000B521F">
        <w:rPr>
          <w:rFonts w:ascii="Times New Roman" w:hAnsi="Times New Roman"/>
          <w:sz w:val="24"/>
          <w:szCs w:val="24"/>
        </w:rPr>
        <w:t>a to zejména</w:t>
      </w:r>
      <w:r w:rsidR="003027B2" w:rsidRPr="000B521F">
        <w:rPr>
          <w:rFonts w:ascii="Times New Roman" w:hAnsi="Times New Roman"/>
          <w:sz w:val="24"/>
          <w:szCs w:val="24"/>
        </w:rPr>
        <w:t xml:space="preserve"> </w:t>
      </w:r>
      <w:r w:rsidR="00C0364B" w:rsidRPr="000B521F">
        <w:rPr>
          <w:rFonts w:ascii="Times New Roman" w:hAnsi="Times New Roman"/>
          <w:sz w:val="24"/>
          <w:szCs w:val="24"/>
        </w:rPr>
        <w:t>z hlediska terciár</w:t>
      </w:r>
      <w:r w:rsidRPr="000B521F">
        <w:rPr>
          <w:rFonts w:ascii="Times New Roman" w:hAnsi="Times New Roman"/>
          <w:sz w:val="24"/>
          <w:szCs w:val="24"/>
        </w:rPr>
        <w:t>ního vzdělávání.</w:t>
      </w:r>
    </w:p>
    <w:p w:rsidR="00462840" w:rsidRPr="000B521F" w:rsidRDefault="00462840" w:rsidP="0059011D">
      <w:pPr>
        <w:pStyle w:val="Prosttext"/>
        <w:spacing w:after="120"/>
        <w:jc w:val="both"/>
        <w:rPr>
          <w:rFonts w:ascii="Times New Roman" w:hAnsi="Times New Roman"/>
          <w:sz w:val="24"/>
          <w:szCs w:val="24"/>
        </w:rPr>
      </w:pPr>
      <w:r w:rsidRPr="000B521F">
        <w:rPr>
          <w:rFonts w:ascii="Times New Roman" w:hAnsi="Times New Roman"/>
          <w:sz w:val="24"/>
          <w:szCs w:val="24"/>
        </w:rPr>
        <w:t>V oblasti energetické infrastruktury poskytl ex ante tým připomínky týkající se neopodstatněného zúžení problémů/potřeb energetické infrastruktury ve srovnání s jejím celkovým vymezením v základní charakteristice, zejména chybějící potřeby v oblasti teplárenství, plynárenství a energetiky v dopravě. V souladu s připomínkami došlo k jednoznačné strukturaci základní charakteristiky a zejména problémů a potřeb na obnovitelné zdroje energie, elektroenergetické sítě (přenosovou soustavu a distribuční soustavu), systémy zásobování teplem a systémy kombinované výroby elektřiny a tepla. Tím byl rovněž splněn podnět na členění potřeb na Least CostPlanning (zdroje a přenosová soustava) a na Demand</w:t>
      </w:r>
      <w:r w:rsidR="003027B2" w:rsidRPr="000B521F">
        <w:rPr>
          <w:rFonts w:ascii="Times New Roman" w:hAnsi="Times New Roman"/>
          <w:sz w:val="24"/>
          <w:szCs w:val="24"/>
        </w:rPr>
        <w:t xml:space="preserve"> </w:t>
      </w:r>
      <w:r w:rsidRPr="000B521F">
        <w:rPr>
          <w:rFonts w:ascii="Times New Roman" w:hAnsi="Times New Roman"/>
          <w:sz w:val="24"/>
          <w:szCs w:val="24"/>
        </w:rPr>
        <w:t>Side Management (distribuční soustava a spotřeba energie). Plynárenství není zahrnuto do Dohody vůbec, neboť u něj ČR nepočítá se spolufinancováním z fondů ESI. Problematika energetiky v dopravě je pak řešena v problémové oblasti dopravní infrastruktura.</w:t>
      </w:r>
    </w:p>
    <w:p w:rsidR="00462840" w:rsidRPr="000B521F" w:rsidRDefault="00462840"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V  oblasti veřejná správa bylo hodnotiteli poukázáno na nejasný vztah u problematiky ICT a integrovaného záchranného systému. V této souvislosti došlo k úpravě zaměření problémové oblasti tak, že oblast integrovaného záchranného systému byla zařazena pod problémovou oblast životní prostředí (změna klimatu) a oblast ICT je ve vztahu k veřejné správě zaměřena pouze na ochranu bezpečnosti ICT systémů a rozvoj digitalizace. V rámci posouzení hodnotitelé dále upozornili na absenci účinnosti institucí a doporučili rozšířit celou část veřejné správy a zmíněnou problematiku. V úpravě textu DoP bylo toto zohledněno jak v základní charakteristice, tak i v identifikovaných problémech a potřebách. Na doporučení hodnotitele jednoznačněji specifikovat vybrané potřeby bylo reagováno rozšířením zdůvodnění identifikovaných problémů (v návaznosti na základní charakteristiku) a zároveň došlo ke spojení/sloučení nízké digitalizace veřejné správy a nedostatečné ochrany ICT systémů (i s ohledem na zmíněné vyřešení vztahu mezi problémovou oblastí infrastruktura). Pokud jde o úzké zacílení problémové oblasti z pohledu hodnotitele, navržené potřeby reagují na klíčové problémy v oblasti veřejné správy, které je možné podporovat z fondů ESI v rámci principu koncentrace. Z hlediska územního vymezení problémů, na který hodnotitel upozornil ve zprávě, byla problémová oblast rozšířena o subkapitolu „Rozdíly v úrovních veřejné správy“ reagující na jednotlivé stupně veřejné správy (tj. státní správa a dvoustupňový systém územní samosprávy). </w:t>
      </w:r>
    </w:p>
    <w:p w:rsidR="00462840" w:rsidRPr="000B521F" w:rsidRDefault="00462840" w:rsidP="0059011D">
      <w:pPr>
        <w:pStyle w:val="Nadpis3"/>
        <w:spacing w:after="120"/>
        <w:rPr>
          <w:rFonts w:ascii="Times New Roman" w:hAnsi="Times New Roman" w:cs="Times New Roman"/>
        </w:rPr>
      </w:pPr>
      <w:bookmarkStart w:id="49" w:name="_Toc374702873"/>
      <w:r w:rsidRPr="000B521F">
        <w:rPr>
          <w:rFonts w:ascii="Times New Roman" w:hAnsi="Times New Roman" w:cs="Times New Roman"/>
        </w:rPr>
        <w:t>Zapojení partnerů</w:t>
      </w:r>
      <w:bookmarkEnd w:id="49"/>
    </w:p>
    <w:p w:rsidR="00462840" w:rsidRPr="000B521F" w:rsidRDefault="00462840"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K zapojení partnerů v rámci procesu vypracování Dohody podle čl. 5 obecného nařízení se vyjádřil hodnotitel pozitivně. Nástroje a platformy spolupráce s partnery lze podle názoru hodnotitele považovat za adekvátní a dostatečné vzhledem k širokému zapojení partnerů a jejich možnostem podílet se na přípravě Dohody, respektive aktivně ovlivňovat její přípravu. V rámci procesu přípravy Dohody o partnerství jsou vytvořeny předpoklady a nastaveny mechanismy pro zapojení partnerů ve fázi přípravy, implementace a evaluace a zajištěny předpoklady pro udržení navázaných partnerství. V rámci evaluované verze textu Dohody není přímo popsán způsob podpory partnerů, během evaluace však byly identifikovány nástroje sloužící k podpoře partnerů a tyto lze považovat za adekvátní.</w:t>
      </w:r>
    </w:p>
    <w:p w:rsidR="005B7D59" w:rsidRPr="000B521F" w:rsidRDefault="005B7D59" w:rsidP="0059011D">
      <w:pPr>
        <w:spacing w:after="120" w:line="240" w:lineRule="auto"/>
        <w:rPr>
          <w:rFonts w:ascii="Times New Roman" w:hAnsi="Times New Roman" w:cs="Times New Roman"/>
          <w:sz w:val="24"/>
          <w:szCs w:val="24"/>
          <w:lang w:eastAsia="cs-CZ"/>
        </w:rPr>
      </w:pPr>
    </w:p>
    <w:p w:rsidR="00507842" w:rsidRPr="000B521F" w:rsidRDefault="00507842" w:rsidP="0059011D">
      <w:pPr>
        <w:pStyle w:val="Nadpis2"/>
      </w:pPr>
      <w:bookmarkStart w:id="50" w:name="_Toc350333624"/>
      <w:bookmarkStart w:id="51" w:name="_Toc374702874"/>
      <w:r w:rsidRPr="000B521F">
        <w:lastRenderedPageBreak/>
        <w:t>Vybrané tematické cíle a souhrn hlavních výsledků, očekávaných pro každý z fondů a pro každý tematický cíl</w:t>
      </w:r>
      <w:bookmarkEnd w:id="50"/>
      <w:bookmarkEnd w:id="51"/>
    </w:p>
    <w:p w:rsidR="00D8323C" w:rsidRPr="000B521F" w:rsidRDefault="00D8323C"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Na základě identifikovaných potřeb rozvoje a vydefinovaných priorit financování a s vazbou na Poziční dokument a Národní program reforem byly v ČR vybrány k podpoře všechny tematické cíle. Každý tematický cíl reprezentuje klíčovou složku pro dosahování konkurenceschopnosti ČR a cílů strategie Evropa 2020 a nelze jej proto opomenout. Zároveň je však pro lepší zacílení na výsledky a dosažení kritické masy nezbytná koncentrace na klíčové problémy, která se odehrává v rámci jednotlivých tematických cílů na úrovni investičních priorit.</w:t>
      </w:r>
    </w:p>
    <w:p w:rsidR="00147E55" w:rsidRPr="000B521F" w:rsidRDefault="00147E55" w:rsidP="0059011D">
      <w:pPr>
        <w:spacing w:after="120" w:line="240" w:lineRule="auto"/>
        <w:jc w:val="both"/>
        <w:rPr>
          <w:rFonts w:ascii="Times New Roman" w:hAnsi="Times New Roman" w:cs="Times New Roman"/>
          <w:b/>
          <w:sz w:val="24"/>
          <w:szCs w:val="24"/>
          <w:lang w:eastAsia="cs-CZ"/>
        </w:rPr>
      </w:pPr>
    </w:p>
    <w:p w:rsidR="00141215" w:rsidRPr="000B521F" w:rsidRDefault="00141215" w:rsidP="0059011D">
      <w:pPr>
        <w:spacing w:after="120" w:line="240" w:lineRule="auto"/>
        <w:jc w:val="both"/>
        <w:rPr>
          <w:rFonts w:ascii="Times New Roman" w:hAnsi="Times New Roman" w:cs="Times New Roman"/>
          <w:b/>
          <w:color w:val="4F81BD"/>
          <w:sz w:val="24"/>
          <w:szCs w:val="24"/>
          <w:lang w:eastAsia="cs-CZ"/>
        </w:rPr>
      </w:pPr>
      <w:r w:rsidRPr="000B521F">
        <w:rPr>
          <w:rFonts w:ascii="Times New Roman" w:hAnsi="Times New Roman" w:cs="Times New Roman"/>
          <w:b/>
          <w:sz w:val="24"/>
          <w:szCs w:val="24"/>
          <w:lang w:eastAsia="cs-CZ"/>
        </w:rPr>
        <w:t xml:space="preserve">Výběr tematických cíl vyplývá z identifikovaných problémů a potřeb v rámci analytické části </w:t>
      </w:r>
      <w:r w:rsidR="00636962" w:rsidRPr="000B521F">
        <w:rPr>
          <w:rFonts w:ascii="Times New Roman" w:hAnsi="Times New Roman" w:cs="Times New Roman"/>
          <w:b/>
          <w:sz w:val="24"/>
          <w:szCs w:val="24"/>
          <w:lang w:eastAsia="cs-CZ"/>
        </w:rPr>
        <w:t xml:space="preserve">a z nich vyplývajících priorit financování ČR, </w:t>
      </w:r>
      <w:r w:rsidRPr="000B521F">
        <w:rPr>
          <w:rFonts w:ascii="Times New Roman" w:hAnsi="Times New Roman" w:cs="Times New Roman"/>
          <w:b/>
          <w:sz w:val="24"/>
          <w:szCs w:val="24"/>
          <w:lang w:eastAsia="cs-CZ"/>
        </w:rPr>
        <w:t xml:space="preserve">z relevantních cílů strategie Evropa 2020, specifických doporučení Rady a souvisejících opatření Národního programu reforem </w:t>
      </w:r>
      <w:r w:rsidRPr="000B521F">
        <w:rPr>
          <w:rFonts w:ascii="Times New Roman" w:hAnsi="Times New Roman" w:cs="Times New Roman"/>
          <w:sz w:val="24"/>
          <w:szCs w:val="24"/>
          <w:lang w:eastAsia="cs-CZ"/>
        </w:rPr>
        <w:t xml:space="preserve">(viz níže uvedená tabulka </w:t>
      </w:r>
      <w:r w:rsidR="00AA5AB8" w:rsidRPr="000B521F">
        <w:rPr>
          <w:rFonts w:ascii="Times New Roman" w:hAnsi="Times New Roman" w:cs="Times New Roman"/>
          <w:sz w:val="24"/>
          <w:szCs w:val="24"/>
          <w:lang w:eastAsia="cs-CZ"/>
        </w:rPr>
        <w:t>1-1</w:t>
      </w:r>
      <w:r w:rsidRPr="000B521F">
        <w:rPr>
          <w:rFonts w:ascii="Times New Roman" w:hAnsi="Times New Roman" w:cs="Times New Roman"/>
          <w:sz w:val="24"/>
          <w:szCs w:val="24"/>
          <w:lang w:eastAsia="cs-CZ"/>
        </w:rPr>
        <w:t>).</w:t>
      </w:r>
    </w:p>
    <w:p w:rsidR="00141215" w:rsidRPr="000B521F" w:rsidRDefault="00141215" w:rsidP="0059011D">
      <w:pPr>
        <w:spacing w:after="120" w:line="240" w:lineRule="auto"/>
        <w:jc w:val="both"/>
        <w:rPr>
          <w:rFonts w:ascii="Times New Roman" w:hAnsi="Times New Roman" w:cs="Times New Roman"/>
          <w:sz w:val="24"/>
          <w:szCs w:val="24"/>
        </w:rPr>
      </w:pPr>
    </w:p>
    <w:p w:rsidR="00AD7FC6" w:rsidRPr="000B521F" w:rsidRDefault="00AD7FC6" w:rsidP="0059011D">
      <w:pPr>
        <w:spacing w:after="120" w:line="240" w:lineRule="auto"/>
        <w:jc w:val="both"/>
        <w:rPr>
          <w:rFonts w:ascii="Times New Roman" w:hAnsi="Times New Roman" w:cs="Times New Roman"/>
          <w:sz w:val="24"/>
          <w:szCs w:val="24"/>
        </w:rPr>
      </w:pPr>
    </w:p>
    <w:p w:rsidR="00141215" w:rsidRPr="000B521F" w:rsidRDefault="00141215" w:rsidP="0059011D">
      <w:pPr>
        <w:spacing w:after="120" w:line="240" w:lineRule="auto"/>
        <w:jc w:val="both"/>
        <w:rPr>
          <w:rFonts w:ascii="Times New Roman" w:hAnsi="Times New Roman" w:cs="Times New Roman"/>
          <w:sz w:val="24"/>
          <w:szCs w:val="24"/>
        </w:rPr>
        <w:sectPr w:rsidR="00141215" w:rsidRPr="000B521F" w:rsidSect="00075442">
          <w:footerReference w:type="default" r:id="rId9"/>
          <w:headerReference w:type="first" r:id="rId10"/>
          <w:type w:val="continuous"/>
          <w:pgSz w:w="11906" w:h="16838"/>
          <w:pgMar w:top="1418" w:right="1418" w:bottom="1418" w:left="1418" w:header="708" w:footer="708" w:gutter="0"/>
          <w:cols w:space="708"/>
          <w:docGrid w:linePitch="360"/>
        </w:sectPr>
      </w:pPr>
    </w:p>
    <w:p w:rsidR="00AD7FC6" w:rsidRPr="000B521F" w:rsidRDefault="00AD7FC6" w:rsidP="0059011D">
      <w:pPr>
        <w:pStyle w:val="Tabulka"/>
        <w:spacing w:before="120" w:after="60"/>
        <w:rPr>
          <w:szCs w:val="20"/>
        </w:rPr>
      </w:pPr>
      <w:r w:rsidRPr="000B521F">
        <w:rPr>
          <w:szCs w:val="20"/>
        </w:rPr>
        <w:lastRenderedPageBreak/>
        <w:t xml:space="preserve">Tabulka </w:t>
      </w:r>
      <w:r w:rsidR="00AA5AB8" w:rsidRPr="000B521F">
        <w:rPr>
          <w:szCs w:val="20"/>
        </w:rPr>
        <w:t>1-1</w:t>
      </w:r>
      <w:r w:rsidR="00323BAE">
        <w:rPr>
          <w:szCs w:val="20"/>
        </w:rPr>
        <w:t>:</w:t>
      </w:r>
      <w:r w:rsidRPr="000B521F">
        <w:rPr>
          <w:szCs w:val="20"/>
        </w:rPr>
        <w:t xml:space="preserve"> </w:t>
      </w:r>
      <w:r w:rsidR="00141215" w:rsidRPr="000B521F">
        <w:rPr>
          <w:szCs w:val="20"/>
        </w:rPr>
        <w:t xml:space="preserve">Zdůvodnění výběru tematických cílů na základě problémových oblastí, </w:t>
      </w:r>
      <w:r w:rsidRPr="000B521F">
        <w:rPr>
          <w:szCs w:val="20"/>
        </w:rPr>
        <w:t>NPR, strategie Evropa 2020, specif</w:t>
      </w:r>
      <w:r w:rsidR="00636962" w:rsidRPr="000B521F">
        <w:rPr>
          <w:szCs w:val="20"/>
        </w:rPr>
        <w:t>.</w:t>
      </w:r>
      <w:r w:rsidRPr="000B521F">
        <w:rPr>
          <w:szCs w:val="20"/>
        </w:rPr>
        <w:t xml:space="preserve"> doporučení Rady</w:t>
      </w:r>
      <w:r w:rsidR="00636962" w:rsidRPr="000B521F">
        <w:rPr>
          <w:szCs w:val="20"/>
        </w:rPr>
        <w:t xml:space="preserve"> a</w:t>
      </w:r>
      <w:r w:rsidRPr="000B521F">
        <w:rPr>
          <w:szCs w:val="20"/>
        </w:rPr>
        <w:t xml:space="preserve"> priorit financování ČR</w:t>
      </w:r>
    </w:p>
    <w:tbl>
      <w:tblPr>
        <w:tblpPr w:leftFromText="141" w:rightFromText="141" w:vertAnchor="page" w:tblpY="1909"/>
        <w:tblW w:w="13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928"/>
        <w:gridCol w:w="3402"/>
        <w:gridCol w:w="1928"/>
        <w:gridCol w:w="2494"/>
        <w:gridCol w:w="2608"/>
      </w:tblGrid>
      <w:tr w:rsidR="0015622A" w:rsidRPr="000B521F" w:rsidTr="00761093">
        <w:trPr>
          <w:trHeight w:val="496"/>
          <w:tblHeader/>
        </w:trPr>
        <w:tc>
          <w:tcPr>
            <w:tcW w:w="1384" w:type="dxa"/>
            <w:shd w:val="clear" w:color="auto" w:fill="8DB3E2" w:themeFill="text2" w:themeFillTint="66"/>
            <w:hideMark/>
          </w:tcPr>
          <w:p w:rsidR="00AD7FC6" w:rsidRPr="000B521F" w:rsidRDefault="00AD7FC6" w:rsidP="0059011D">
            <w:pPr>
              <w:spacing w:after="120" w:line="240" w:lineRule="auto"/>
              <w:jc w:val="center"/>
              <w:rPr>
                <w:rFonts w:ascii="Times New Roman" w:hAnsi="Times New Roman" w:cs="Times New Roman"/>
                <w:b/>
                <w:bCs/>
                <w:sz w:val="20"/>
                <w:szCs w:val="20"/>
              </w:rPr>
            </w:pPr>
            <w:r w:rsidRPr="000B521F">
              <w:rPr>
                <w:rFonts w:ascii="Times New Roman" w:hAnsi="Times New Roman" w:cs="Times New Roman"/>
                <w:b/>
                <w:bCs/>
                <w:sz w:val="20"/>
                <w:szCs w:val="20"/>
              </w:rPr>
              <w:t>Problémové oblasti Dohody</w:t>
            </w:r>
          </w:p>
        </w:tc>
        <w:tc>
          <w:tcPr>
            <w:tcW w:w="1928" w:type="dxa"/>
            <w:shd w:val="clear" w:color="auto" w:fill="8DB3E2" w:themeFill="text2" w:themeFillTint="66"/>
            <w:hideMark/>
          </w:tcPr>
          <w:p w:rsidR="00AD7FC6" w:rsidRPr="000B521F" w:rsidRDefault="00AD7FC6" w:rsidP="0059011D">
            <w:pPr>
              <w:spacing w:after="120" w:line="240" w:lineRule="auto"/>
              <w:jc w:val="center"/>
              <w:rPr>
                <w:rFonts w:ascii="Times New Roman" w:hAnsi="Times New Roman" w:cs="Times New Roman"/>
                <w:b/>
                <w:bCs/>
                <w:sz w:val="20"/>
                <w:szCs w:val="20"/>
              </w:rPr>
            </w:pPr>
            <w:r w:rsidRPr="000B521F">
              <w:rPr>
                <w:rFonts w:ascii="Times New Roman" w:hAnsi="Times New Roman" w:cs="Times New Roman"/>
                <w:b/>
                <w:bCs/>
                <w:sz w:val="20"/>
                <w:szCs w:val="20"/>
              </w:rPr>
              <w:t>NPR 2013</w:t>
            </w:r>
          </w:p>
        </w:tc>
        <w:tc>
          <w:tcPr>
            <w:tcW w:w="3402" w:type="dxa"/>
            <w:shd w:val="clear" w:color="auto" w:fill="8DB3E2" w:themeFill="text2" w:themeFillTint="66"/>
          </w:tcPr>
          <w:p w:rsidR="00AD7FC6" w:rsidRPr="000B521F" w:rsidRDefault="00AD7FC6" w:rsidP="0059011D">
            <w:pPr>
              <w:spacing w:after="120" w:line="240" w:lineRule="auto"/>
              <w:jc w:val="center"/>
              <w:rPr>
                <w:rFonts w:ascii="Times New Roman" w:hAnsi="Times New Roman" w:cs="Times New Roman"/>
                <w:b/>
                <w:bCs/>
                <w:sz w:val="20"/>
                <w:szCs w:val="20"/>
              </w:rPr>
            </w:pPr>
            <w:r w:rsidRPr="000B521F">
              <w:rPr>
                <w:rFonts w:ascii="Times New Roman" w:hAnsi="Times New Roman" w:cs="Times New Roman"/>
                <w:b/>
                <w:bCs/>
                <w:sz w:val="20"/>
                <w:szCs w:val="20"/>
              </w:rPr>
              <w:t>Cíle strategie Evropa 2020</w:t>
            </w:r>
          </w:p>
        </w:tc>
        <w:tc>
          <w:tcPr>
            <w:tcW w:w="1928" w:type="dxa"/>
            <w:shd w:val="clear" w:color="auto" w:fill="8DB3E2" w:themeFill="text2" w:themeFillTint="66"/>
            <w:hideMark/>
          </w:tcPr>
          <w:p w:rsidR="00AD7FC6" w:rsidRPr="000B521F" w:rsidRDefault="00AD7FC6" w:rsidP="0059011D">
            <w:pPr>
              <w:spacing w:after="120" w:line="240" w:lineRule="auto"/>
              <w:jc w:val="center"/>
              <w:rPr>
                <w:rFonts w:ascii="Times New Roman" w:hAnsi="Times New Roman" w:cs="Times New Roman"/>
                <w:b/>
                <w:bCs/>
                <w:sz w:val="20"/>
                <w:szCs w:val="20"/>
              </w:rPr>
            </w:pPr>
            <w:r w:rsidRPr="000B521F">
              <w:rPr>
                <w:rFonts w:ascii="Times New Roman" w:hAnsi="Times New Roman" w:cs="Times New Roman"/>
                <w:b/>
                <w:bCs/>
                <w:sz w:val="20"/>
                <w:szCs w:val="20"/>
              </w:rPr>
              <w:t>Specifická doporučení rady</w:t>
            </w:r>
            <w:r w:rsidRPr="000B521F">
              <w:rPr>
                <w:rStyle w:val="Znakapoznpodarou"/>
                <w:rFonts w:ascii="Times New Roman" w:hAnsi="Times New Roman" w:cs="Times New Roman"/>
                <w:b/>
                <w:bCs/>
                <w:sz w:val="20"/>
                <w:szCs w:val="20"/>
              </w:rPr>
              <w:footnoteReference w:id="77"/>
            </w:r>
          </w:p>
        </w:tc>
        <w:tc>
          <w:tcPr>
            <w:tcW w:w="2494" w:type="dxa"/>
            <w:shd w:val="clear" w:color="auto" w:fill="8DB3E2" w:themeFill="text2" w:themeFillTint="66"/>
            <w:hideMark/>
          </w:tcPr>
          <w:p w:rsidR="00AD7FC6" w:rsidRPr="000B521F" w:rsidRDefault="00AD7FC6" w:rsidP="0059011D">
            <w:pPr>
              <w:spacing w:after="120" w:line="240" w:lineRule="auto"/>
              <w:jc w:val="center"/>
              <w:rPr>
                <w:rFonts w:ascii="Times New Roman" w:hAnsi="Times New Roman" w:cs="Times New Roman"/>
                <w:b/>
                <w:bCs/>
                <w:sz w:val="20"/>
                <w:szCs w:val="20"/>
              </w:rPr>
            </w:pPr>
            <w:r w:rsidRPr="000B521F">
              <w:rPr>
                <w:rFonts w:ascii="Times New Roman" w:hAnsi="Times New Roman" w:cs="Times New Roman"/>
                <w:b/>
                <w:bCs/>
                <w:sz w:val="20"/>
                <w:szCs w:val="20"/>
              </w:rPr>
              <w:t>Priority financování ČR</w:t>
            </w:r>
          </w:p>
        </w:tc>
        <w:tc>
          <w:tcPr>
            <w:tcW w:w="2608" w:type="dxa"/>
            <w:shd w:val="clear" w:color="auto" w:fill="8DB3E2" w:themeFill="text2" w:themeFillTint="66"/>
            <w:hideMark/>
          </w:tcPr>
          <w:p w:rsidR="00AD7FC6" w:rsidRPr="000B521F" w:rsidRDefault="00AD7FC6" w:rsidP="0059011D">
            <w:pPr>
              <w:spacing w:after="120" w:line="240" w:lineRule="auto"/>
              <w:jc w:val="center"/>
              <w:rPr>
                <w:rFonts w:ascii="Times New Roman" w:hAnsi="Times New Roman" w:cs="Times New Roman"/>
                <w:b/>
                <w:bCs/>
                <w:sz w:val="20"/>
                <w:szCs w:val="20"/>
              </w:rPr>
            </w:pPr>
            <w:r w:rsidRPr="000B521F">
              <w:rPr>
                <w:rFonts w:ascii="Times New Roman" w:hAnsi="Times New Roman" w:cs="Times New Roman"/>
                <w:b/>
                <w:bCs/>
                <w:sz w:val="20"/>
                <w:szCs w:val="20"/>
              </w:rPr>
              <w:t>Tematické cíle z nařízení EU</w:t>
            </w:r>
          </w:p>
        </w:tc>
      </w:tr>
      <w:tr w:rsidR="0015622A" w:rsidRPr="000B521F" w:rsidTr="00761093">
        <w:trPr>
          <w:trHeight w:val="2771"/>
        </w:trPr>
        <w:tc>
          <w:tcPr>
            <w:tcW w:w="1384" w:type="dxa"/>
            <w:shd w:val="clear" w:color="auto" w:fill="C6D9F1" w:themeFill="text2" w:themeFillTint="33"/>
            <w:hideMark/>
          </w:tcPr>
          <w:p w:rsidR="00AD7FC6" w:rsidRPr="000B521F" w:rsidRDefault="00AD7FC6" w:rsidP="0059011D">
            <w:pPr>
              <w:spacing w:after="120" w:line="240" w:lineRule="auto"/>
              <w:rPr>
                <w:rFonts w:ascii="Times New Roman" w:hAnsi="Times New Roman" w:cs="Times New Roman"/>
                <w:b/>
                <w:bCs/>
                <w:sz w:val="20"/>
                <w:szCs w:val="20"/>
              </w:rPr>
            </w:pPr>
            <w:r w:rsidRPr="000B521F">
              <w:rPr>
                <w:rFonts w:ascii="Times New Roman" w:hAnsi="Times New Roman" w:cs="Times New Roman"/>
                <w:b/>
                <w:bCs/>
                <w:sz w:val="20"/>
                <w:szCs w:val="20"/>
              </w:rPr>
              <w:t>1. Konkurence-schopnost ekonomiky</w:t>
            </w:r>
          </w:p>
        </w:tc>
        <w:tc>
          <w:tcPr>
            <w:tcW w:w="1928" w:type="dxa"/>
            <w:shd w:val="clear" w:color="auto" w:fill="auto"/>
            <w:hideMark/>
          </w:tcPr>
          <w:p w:rsidR="00AD7FC6" w:rsidRPr="000B521F" w:rsidRDefault="00AD7FC6" w:rsidP="0059011D">
            <w:pPr>
              <w:spacing w:after="120" w:line="240" w:lineRule="auto"/>
              <w:rPr>
                <w:rFonts w:ascii="Times New Roman" w:hAnsi="Times New Roman" w:cs="Times New Roman"/>
                <w:sz w:val="16"/>
                <w:szCs w:val="16"/>
              </w:rPr>
            </w:pPr>
            <w:r w:rsidRPr="000B521F">
              <w:rPr>
                <w:rFonts w:ascii="Times New Roman" w:hAnsi="Times New Roman" w:cs="Times New Roman"/>
                <w:iCs/>
                <w:sz w:val="16"/>
                <w:szCs w:val="16"/>
              </w:rPr>
              <w:t>2. Atraktivní podnikatelské prostředí a rozvoj infrastruktury pro český průmysl;</w:t>
            </w:r>
          </w:p>
          <w:p w:rsidR="00AD7FC6" w:rsidRPr="000B521F" w:rsidRDefault="00AD7FC6" w:rsidP="0059011D">
            <w:pPr>
              <w:spacing w:after="120" w:line="240" w:lineRule="auto"/>
              <w:rPr>
                <w:rFonts w:ascii="Times New Roman" w:hAnsi="Times New Roman" w:cs="Times New Roman"/>
                <w:sz w:val="16"/>
                <w:szCs w:val="16"/>
              </w:rPr>
            </w:pPr>
            <w:r w:rsidRPr="000B521F">
              <w:rPr>
                <w:rFonts w:ascii="Times New Roman" w:hAnsi="Times New Roman" w:cs="Times New Roman"/>
                <w:iCs/>
                <w:sz w:val="16"/>
                <w:szCs w:val="16"/>
              </w:rPr>
              <w:t>3. Fungující trh práce, vzdělávací systém a sociální začleňování jako předpoklady konkurenceschopné ekonomiky</w:t>
            </w:r>
          </w:p>
          <w:p w:rsidR="00AD7FC6" w:rsidRPr="000B521F" w:rsidRDefault="00AD7FC6" w:rsidP="0059011D">
            <w:pPr>
              <w:spacing w:after="120" w:line="240" w:lineRule="auto"/>
              <w:rPr>
                <w:rFonts w:ascii="Times New Roman" w:hAnsi="Times New Roman" w:cs="Times New Roman"/>
                <w:sz w:val="16"/>
                <w:szCs w:val="16"/>
              </w:rPr>
            </w:pPr>
            <w:r w:rsidRPr="000B521F">
              <w:rPr>
                <w:rFonts w:ascii="Times New Roman" w:hAnsi="Times New Roman" w:cs="Times New Roman"/>
                <w:iCs/>
                <w:sz w:val="16"/>
                <w:szCs w:val="16"/>
              </w:rPr>
              <w:t>4. Růst založený na inovacích a výzkumu</w:t>
            </w:r>
            <w:r w:rsidRPr="000B521F">
              <w:rPr>
                <w:rFonts w:ascii="Times New Roman" w:hAnsi="Times New Roman" w:cs="Times New Roman"/>
                <w:sz w:val="16"/>
                <w:szCs w:val="16"/>
              </w:rPr>
              <w:t>.</w:t>
            </w:r>
          </w:p>
        </w:tc>
        <w:tc>
          <w:tcPr>
            <w:tcW w:w="3402" w:type="dxa"/>
            <w:shd w:val="clear" w:color="auto" w:fill="auto"/>
          </w:tcPr>
          <w:p w:rsidR="00AD7FC6" w:rsidRPr="000B521F" w:rsidRDefault="00AD7FC6" w:rsidP="0059011D">
            <w:pPr>
              <w:spacing w:after="120" w:line="240" w:lineRule="auto"/>
              <w:rPr>
                <w:rFonts w:ascii="Times New Roman" w:hAnsi="Times New Roman" w:cs="Times New Roman"/>
                <w:sz w:val="16"/>
                <w:szCs w:val="16"/>
              </w:rPr>
            </w:pPr>
            <w:r w:rsidRPr="000B521F">
              <w:rPr>
                <w:rFonts w:ascii="Times New Roman" w:hAnsi="Times New Roman" w:cs="Times New Roman"/>
                <w:sz w:val="16"/>
                <w:szCs w:val="16"/>
              </w:rPr>
              <w:t>1. Zvýšit zaměstnanost u osob ve věku 20 až 64 let ze současných 69 % na nejméně 75 %.</w:t>
            </w:r>
          </w:p>
          <w:p w:rsidR="00AD7FC6" w:rsidRPr="000B521F" w:rsidRDefault="00AD7FC6" w:rsidP="0059011D">
            <w:pPr>
              <w:spacing w:after="120" w:line="240" w:lineRule="auto"/>
              <w:rPr>
                <w:rFonts w:ascii="Times New Roman" w:hAnsi="Times New Roman" w:cs="Times New Roman"/>
                <w:sz w:val="16"/>
                <w:szCs w:val="16"/>
              </w:rPr>
            </w:pPr>
            <w:r w:rsidRPr="000B521F">
              <w:rPr>
                <w:rFonts w:ascii="Times New Roman" w:hAnsi="Times New Roman" w:cs="Times New Roman"/>
                <w:sz w:val="16"/>
                <w:szCs w:val="16"/>
              </w:rPr>
              <w:t>2. Dosáhnout cíle investovat do výzkumu a vývoje 3 % HDP, zejména zlepšováním podmínek pro investice soukromého sektoru do výzkumu a vývoje, a vytvořit nový ukazatel pro sledování inovací.</w:t>
            </w:r>
          </w:p>
          <w:p w:rsidR="00AD7FC6" w:rsidRPr="000B521F" w:rsidRDefault="00AD7FC6" w:rsidP="0059011D">
            <w:pPr>
              <w:spacing w:after="120" w:line="240" w:lineRule="auto"/>
              <w:rPr>
                <w:rFonts w:ascii="Times New Roman" w:hAnsi="Times New Roman" w:cs="Times New Roman"/>
                <w:sz w:val="16"/>
                <w:szCs w:val="16"/>
              </w:rPr>
            </w:pPr>
            <w:r w:rsidRPr="000B521F">
              <w:rPr>
                <w:rFonts w:ascii="Times New Roman" w:hAnsi="Times New Roman" w:cs="Times New Roman"/>
                <w:sz w:val="16"/>
                <w:szCs w:val="16"/>
              </w:rPr>
              <w:t>3. Snížit emise skleníkových plynů oproti úrovním roku 1990 nejméně o 20 % nebo, pokud budou podmínky příznivé, o 30 %; zvýšit podíl obnovitelných zdrojů energie v naší konečné spotřebě energie na 20 % a zvýšit energetickou účinnost o 20 %.</w:t>
            </w:r>
          </w:p>
          <w:p w:rsidR="00AD7FC6" w:rsidRPr="000B521F" w:rsidRDefault="00AD7FC6" w:rsidP="0059011D">
            <w:pPr>
              <w:spacing w:after="120" w:line="240" w:lineRule="auto"/>
              <w:rPr>
                <w:rFonts w:ascii="Times New Roman" w:hAnsi="Times New Roman" w:cs="Times New Roman"/>
                <w:sz w:val="16"/>
                <w:szCs w:val="16"/>
              </w:rPr>
            </w:pPr>
            <w:r w:rsidRPr="000B521F">
              <w:rPr>
                <w:rFonts w:ascii="Times New Roman" w:hAnsi="Times New Roman" w:cs="Times New Roman"/>
                <w:sz w:val="16"/>
                <w:szCs w:val="16"/>
              </w:rPr>
              <w:t>4. Snížit podíl dětí, které předčasně ukončují školní docházku, ze současných 15 % na 10 % a zvýšit podíl obyvatel ve věku od 30 do 34 let, kteří mají ukončené terciární vzdělání, z 31 % nejméně na 40 %.</w:t>
            </w:r>
          </w:p>
        </w:tc>
        <w:tc>
          <w:tcPr>
            <w:tcW w:w="1928" w:type="dxa"/>
            <w:shd w:val="clear" w:color="auto" w:fill="auto"/>
            <w:hideMark/>
          </w:tcPr>
          <w:p w:rsidR="00AD7FC6" w:rsidRPr="000B521F" w:rsidRDefault="00AD7FC6" w:rsidP="0059011D">
            <w:pPr>
              <w:pStyle w:val="DAVA"/>
              <w:spacing w:before="20" w:after="120"/>
              <w:rPr>
                <w:rFonts w:ascii="Times New Roman" w:hAnsi="Times New Roman"/>
                <w:sz w:val="16"/>
                <w:szCs w:val="16"/>
              </w:rPr>
            </w:pPr>
            <w:r w:rsidRPr="000B521F">
              <w:rPr>
                <w:rFonts w:ascii="Times New Roman" w:hAnsi="Times New Roman"/>
                <w:sz w:val="16"/>
                <w:szCs w:val="16"/>
              </w:rPr>
              <w:t>Specifické doporučení rady č.: 4;</w:t>
            </w:r>
          </w:p>
          <w:p w:rsidR="00AD7FC6" w:rsidRPr="000B521F" w:rsidRDefault="00AD7FC6" w:rsidP="0059011D">
            <w:pPr>
              <w:pStyle w:val="DAVA"/>
              <w:spacing w:before="20" w:after="120"/>
              <w:rPr>
                <w:rFonts w:ascii="Times New Roman" w:hAnsi="Times New Roman"/>
                <w:sz w:val="16"/>
                <w:szCs w:val="16"/>
              </w:rPr>
            </w:pPr>
            <w:r w:rsidRPr="000B521F">
              <w:rPr>
                <w:rFonts w:ascii="Times New Roman" w:hAnsi="Times New Roman"/>
                <w:sz w:val="16"/>
                <w:szCs w:val="16"/>
              </w:rPr>
              <w:t>Specifické doporučení rady č.: 6;</w:t>
            </w:r>
          </w:p>
          <w:p w:rsidR="00AD7FC6" w:rsidRPr="000B521F" w:rsidRDefault="00AD7FC6" w:rsidP="0059011D">
            <w:pPr>
              <w:spacing w:after="120" w:line="240" w:lineRule="auto"/>
              <w:rPr>
                <w:rFonts w:ascii="Times New Roman" w:hAnsi="Times New Roman" w:cs="Times New Roman"/>
                <w:i/>
                <w:sz w:val="16"/>
                <w:szCs w:val="16"/>
              </w:rPr>
            </w:pPr>
            <w:r w:rsidRPr="000B521F">
              <w:rPr>
                <w:rFonts w:ascii="Times New Roman" w:hAnsi="Times New Roman" w:cs="Times New Roman"/>
                <w:i/>
                <w:sz w:val="16"/>
                <w:szCs w:val="16"/>
              </w:rPr>
              <w:t>Částečně:</w:t>
            </w:r>
          </w:p>
          <w:p w:rsidR="00AD7FC6" w:rsidRPr="000B521F" w:rsidRDefault="00AD7FC6" w:rsidP="0059011D">
            <w:pPr>
              <w:pStyle w:val="DAVA"/>
              <w:spacing w:before="20" w:after="120"/>
              <w:rPr>
                <w:rFonts w:ascii="Times New Roman" w:hAnsi="Times New Roman"/>
                <w:sz w:val="16"/>
                <w:szCs w:val="16"/>
              </w:rPr>
            </w:pPr>
            <w:r w:rsidRPr="000B521F">
              <w:rPr>
                <w:rFonts w:ascii="Times New Roman" w:hAnsi="Times New Roman"/>
                <w:sz w:val="16"/>
                <w:szCs w:val="16"/>
              </w:rPr>
              <w:t>Specifické doporučení rady č.: 3;</w:t>
            </w:r>
          </w:p>
          <w:p w:rsidR="00AD7FC6" w:rsidRPr="000B521F" w:rsidRDefault="00AD7FC6" w:rsidP="0059011D">
            <w:pPr>
              <w:pStyle w:val="DAVA"/>
              <w:spacing w:before="20" w:after="120"/>
              <w:rPr>
                <w:rFonts w:ascii="Times New Roman" w:hAnsi="Times New Roman"/>
                <w:sz w:val="16"/>
                <w:szCs w:val="16"/>
              </w:rPr>
            </w:pPr>
            <w:r w:rsidRPr="000B521F">
              <w:rPr>
                <w:rFonts w:ascii="Times New Roman" w:hAnsi="Times New Roman"/>
                <w:sz w:val="16"/>
                <w:szCs w:val="16"/>
              </w:rPr>
              <w:t>Specifické doporučení rady č.: 7.</w:t>
            </w:r>
          </w:p>
        </w:tc>
        <w:tc>
          <w:tcPr>
            <w:tcW w:w="2494" w:type="dxa"/>
            <w:shd w:val="clear" w:color="auto" w:fill="auto"/>
            <w:hideMark/>
          </w:tcPr>
          <w:p w:rsidR="00AD7FC6" w:rsidRPr="000B521F" w:rsidRDefault="00AD7FC6" w:rsidP="0059011D">
            <w:pPr>
              <w:spacing w:after="120" w:line="240" w:lineRule="auto"/>
              <w:rPr>
                <w:rFonts w:ascii="Times New Roman" w:hAnsi="Times New Roman" w:cs="Times New Roman"/>
                <w:sz w:val="16"/>
                <w:szCs w:val="16"/>
              </w:rPr>
            </w:pPr>
            <w:r w:rsidRPr="000B521F">
              <w:rPr>
                <w:rFonts w:ascii="Times New Roman" w:hAnsi="Times New Roman" w:cs="Times New Roman"/>
                <w:sz w:val="16"/>
                <w:szCs w:val="16"/>
              </w:rPr>
              <w:t>1. Účinné a efektivní služby zaměstnanosti, které přispějí ke zvýšení zaměstnanosti zejména ohrožených skupin;</w:t>
            </w:r>
          </w:p>
          <w:p w:rsidR="00AD7FC6" w:rsidRPr="000B521F" w:rsidRDefault="00AD7FC6" w:rsidP="0059011D">
            <w:pPr>
              <w:spacing w:after="120" w:line="240" w:lineRule="auto"/>
              <w:rPr>
                <w:rFonts w:ascii="Times New Roman" w:hAnsi="Times New Roman" w:cs="Times New Roman"/>
                <w:sz w:val="16"/>
                <w:szCs w:val="16"/>
              </w:rPr>
            </w:pPr>
            <w:r w:rsidRPr="000B521F">
              <w:rPr>
                <w:rFonts w:ascii="Times New Roman" w:hAnsi="Times New Roman" w:cs="Times New Roman"/>
                <w:sz w:val="16"/>
                <w:szCs w:val="16"/>
              </w:rPr>
              <w:t>2. Kvalitní vzdělávací systém (celoživotní učení) produkující kvalifikovanou a adaptabilní pracovní sílu;</w:t>
            </w:r>
          </w:p>
          <w:p w:rsidR="00AD7FC6" w:rsidRPr="000B521F" w:rsidRDefault="00AD7FC6" w:rsidP="0059011D">
            <w:pPr>
              <w:spacing w:after="120" w:line="240" w:lineRule="auto"/>
              <w:rPr>
                <w:rFonts w:ascii="Times New Roman" w:hAnsi="Times New Roman" w:cs="Times New Roman"/>
                <w:sz w:val="16"/>
                <w:szCs w:val="16"/>
              </w:rPr>
            </w:pPr>
            <w:r w:rsidRPr="000B521F">
              <w:rPr>
                <w:rFonts w:ascii="Times New Roman" w:hAnsi="Times New Roman" w:cs="Times New Roman"/>
                <w:sz w:val="16"/>
                <w:szCs w:val="16"/>
              </w:rPr>
              <w:t>3. Výzkumný a inovační systém propojený s aplikační sférou a směřující ke komerčně využitelným výsledkům;</w:t>
            </w:r>
          </w:p>
          <w:p w:rsidR="00AD7FC6" w:rsidRPr="000B521F" w:rsidRDefault="00AD7FC6" w:rsidP="0059011D">
            <w:pPr>
              <w:spacing w:after="120" w:line="240" w:lineRule="auto"/>
              <w:rPr>
                <w:rFonts w:ascii="Times New Roman" w:hAnsi="Times New Roman" w:cs="Times New Roman"/>
                <w:sz w:val="16"/>
                <w:szCs w:val="16"/>
              </w:rPr>
            </w:pPr>
            <w:r w:rsidRPr="000B521F">
              <w:rPr>
                <w:rFonts w:ascii="Times New Roman" w:hAnsi="Times New Roman" w:cs="Times New Roman"/>
                <w:sz w:val="16"/>
                <w:szCs w:val="16"/>
              </w:rPr>
              <w:t>4. Podniky využívající výsledků VaV, konkurenceschopné na globálním trhu a přispívající k nízkouhlíkovému hospodářství.</w:t>
            </w:r>
          </w:p>
        </w:tc>
        <w:tc>
          <w:tcPr>
            <w:tcW w:w="2608" w:type="dxa"/>
            <w:shd w:val="clear" w:color="auto" w:fill="auto"/>
            <w:hideMark/>
          </w:tcPr>
          <w:p w:rsidR="00AD7FC6" w:rsidRPr="000B521F" w:rsidRDefault="00AD7FC6" w:rsidP="0059011D">
            <w:pPr>
              <w:spacing w:after="120" w:line="240" w:lineRule="auto"/>
              <w:rPr>
                <w:rFonts w:ascii="Times New Roman" w:hAnsi="Times New Roman" w:cs="Times New Roman"/>
                <w:sz w:val="16"/>
                <w:szCs w:val="16"/>
              </w:rPr>
            </w:pPr>
            <w:r w:rsidRPr="000B521F">
              <w:rPr>
                <w:rFonts w:ascii="Times New Roman" w:hAnsi="Times New Roman" w:cs="Times New Roman"/>
                <w:sz w:val="16"/>
                <w:szCs w:val="16"/>
              </w:rPr>
              <w:t>1. Posílení výzkumu, technologického rozvoje a inovací;</w:t>
            </w:r>
          </w:p>
          <w:p w:rsidR="00AD7FC6" w:rsidRPr="000B521F" w:rsidRDefault="00AD7FC6" w:rsidP="0059011D">
            <w:pPr>
              <w:spacing w:after="120" w:line="240" w:lineRule="auto"/>
              <w:rPr>
                <w:rFonts w:ascii="Times New Roman" w:hAnsi="Times New Roman" w:cs="Times New Roman"/>
                <w:sz w:val="16"/>
                <w:szCs w:val="16"/>
              </w:rPr>
            </w:pPr>
            <w:r w:rsidRPr="000B521F">
              <w:rPr>
                <w:rFonts w:ascii="Times New Roman" w:hAnsi="Times New Roman" w:cs="Times New Roman"/>
                <w:sz w:val="16"/>
                <w:szCs w:val="16"/>
              </w:rPr>
              <w:t>2. zlepšení přístupu k IKT, využití a kvality IKT ;</w:t>
            </w:r>
          </w:p>
          <w:p w:rsidR="00AD7FC6" w:rsidRPr="000B521F" w:rsidRDefault="00AD7FC6" w:rsidP="0059011D">
            <w:pPr>
              <w:spacing w:after="120" w:line="240" w:lineRule="auto"/>
              <w:rPr>
                <w:rFonts w:ascii="Times New Roman" w:hAnsi="Times New Roman" w:cs="Times New Roman"/>
                <w:sz w:val="16"/>
                <w:szCs w:val="16"/>
              </w:rPr>
            </w:pPr>
            <w:r w:rsidRPr="000B521F">
              <w:rPr>
                <w:rFonts w:ascii="Times New Roman" w:hAnsi="Times New Roman" w:cs="Times New Roman"/>
                <w:sz w:val="16"/>
                <w:szCs w:val="16"/>
              </w:rPr>
              <w:t>3. Zvýšení konkurenceschopnosti malých a středních podniků, odvětví zemědělství (v případě EZFRV) a odvětví rybářství a akvakultury (v případě ENRF);</w:t>
            </w:r>
          </w:p>
          <w:p w:rsidR="00AD7FC6" w:rsidRPr="000B521F" w:rsidRDefault="00AD7FC6" w:rsidP="0059011D">
            <w:pPr>
              <w:spacing w:after="120" w:line="240" w:lineRule="auto"/>
              <w:rPr>
                <w:rFonts w:ascii="Times New Roman" w:hAnsi="Times New Roman" w:cs="Times New Roman"/>
                <w:sz w:val="16"/>
                <w:szCs w:val="16"/>
              </w:rPr>
            </w:pPr>
            <w:r w:rsidRPr="000B521F">
              <w:rPr>
                <w:rFonts w:ascii="Times New Roman" w:hAnsi="Times New Roman" w:cs="Times New Roman"/>
                <w:sz w:val="16"/>
                <w:szCs w:val="16"/>
              </w:rPr>
              <w:t>8. Podpora udržitelné a kvalitní zaměstnanosti a podpora mobility pracovních sil;</w:t>
            </w:r>
          </w:p>
          <w:p w:rsidR="00AD7FC6" w:rsidRPr="000B521F" w:rsidRDefault="00AD7FC6" w:rsidP="0059011D">
            <w:pPr>
              <w:spacing w:after="120" w:line="240" w:lineRule="auto"/>
              <w:rPr>
                <w:rFonts w:ascii="Times New Roman" w:hAnsi="Times New Roman" w:cs="Times New Roman"/>
                <w:sz w:val="16"/>
                <w:szCs w:val="16"/>
              </w:rPr>
            </w:pPr>
            <w:r w:rsidRPr="000B521F">
              <w:rPr>
                <w:rFonts w:ascii="Times New Roman" w:hAnsi="Times New Roman" w:cs="Times New Roman"/>
                <w:sz w:val="16"/>
                <w:szCs w:val="16"/>
              </w:rPr>
              <w:t>10. Investice do vzdělávání, odborného vzdělávání, včetně odborné přípravy pro získání dovedností a do celoživotního učení.</w:t>
            </w:r>
          </w:p>
        </w:tc>
      </w:tr>
      <w:tr w:rsidR="0015622A" w:rsidRPr="000B521F" w:rsidTr="00761093">
        <w:trPr>
          <w:trHeight w:val="930"/>
        </w:trPr>
        <w:tc>
          <w:tcPr>
            <w:tcW w:w="1384" w:type="dxa"/>
            <w:shd w:val="clear" w:color="auto" w:fill="C6D9F1" w:themeFill="text2" w:themeFillTint="33"/>
            <w:hideMark/>
          </w:tcPr>
          <w:p w:rsidR="00AD7FC6" w:rsidRPr="000B521F" w:rsidRDefault="00AD7FC6" w:rsidP="0059011D">
            <w:pPr>
              <w:spacing w:after="120" w:line="240" w:lineRule="auto"/>
              <w:rPr>
                <w:rFonts w:ascii="Times New Roman" w:hAnsi="Times New Roman" w:cs="Times New Roman"/>
                <w:b/>
                <w:bCs/>
                <w:sz w:val="20"/>
                <w:szCs w:val="20"/>
              </w:rPr>
            </w:pPr>
            <w:r w:rsidRPr="000B521F">
              <w:rPr>
                <w:rFonts w:ascii="Times New Roman" w:hAnsi="Times New Roman" w:cs="Times New Roman"/>
                <w:b/>
                <w:bCs/>
                <w:sz w:val="20"/>
                <w:szCs w:val="20"/>
              </w:rPr>
              <w:lastRenderedPageBreak/>
              <w:t>2. Infrastruktura</w:t>
            </w:r>
          </w:p>
        </w:tc>
        <w:tc>
          <w:tcPr>
            <w:tcW w:w="1928" w:type="dxa"/>
            <w:shd w:val="clear" w:color="auto" w:fill="auto"/>
            <w:hideMark/>
          </w:tcPr>
          <w:p w:rsidR="00AD7FC6" w:rsidRPr="000B521F" w:rsidRDefault="00AD7FC6" w:rsidP="0059011D">
            <w:pPr>
              <w:spacing w:after="120" w:line="240" w:lineRule="auto"/>
              <w:rPr>
                <w:rFonts w:ascii="Times New Roman" w:hAnsi="Times New Roman" w:cs="Times New Roman"/>
                <w:sz w:val="16"/>
                <w:szCs w:val="16"/>
              </w:rPr>
            </w:pPr>
            <w:r w:rsidRPr="000B521F">
              <w:rPr>
                <w:rFonts w:ascii="Times New Roman" w:hAnsi="Times New Roman" w:cs="Times New Roman"/>
                <w:iCs/>
                <w:sz w:val="16"/>
                <w:szCs w:val="16"/>
              </w:rPr>
              <w:t>2. Atraktivní podnikatelské prostředí a rozvoj infrastruktury pro český průmysl</w:t>
            </w:r>
          </w:p>
        </w:tc>
        <w:tc>
          <w:tcPr>
            <w:tcW w:w="3402" w:type="dxa"/>
            <w:shd w:val="clear" w:color="auto" w:fill="auto"/>
          </w:tcPr>
          <w:p w:rsidR="00AD7FC6" w:rsidRPr="000B521F" w:rsidRDefault="00AD7FC6" w:rsidP="0059011D">
            <w:pPr>
              <w:spacing w:after="120" w:line="240" w:lineRule="auto"/>
              <w:rPr>
                <w:rFonts w:ascii="Times New Roman" w:hAnsi="Times New Roman" w:cs="Times New Roman"/>
                <w:sz w:val="16"/>
                <w:szCs w:val="16"/>
              </w:rPr>
            </w:pPr>
            <w:r w:rsidRPr="000B521F">
              <w:rPr>
                <w:rFonts w:ascii="Times New Roman" w:hAnsi="Times New Roman" w:cs="Times New Roman"/>
                <w:sz w:val="16"/>
                <w:szCs w:val="16"/>
              </w:rPr>
              <w:t>3. Snížit emise skleníkových plynů oproti úrovním roku 1990 nejméně o 20 % nebo, pokud budou podmínky příznivé, o 30 %; zvýšit podíl obnovitelných zdrojů energie v naší konečné spotřebě energie na 20 % a zvýšit energetickou účinnost o 20 %.</w:t>
            </w:r>
          </w:p>
        </w:tc>
        <w:tc>
          <w:tcPr>
            <w:tcW w:w="1928" w:type="dxa"/>
            <w:shd w:val="clear" w:color="auto" w:fill="auto"/>
            <w:hideMark/>
          </w:tcPr>
          <w:p w:rsidR="00AD7FC6" w:rsidRPr="000B521F" w:rsidRDefault="00AD7FC6" w:rsidP="0059011D">
            <w:pPr>
              <w:spacing w:before="20" w:after="120" w:line="240" w:lineRule="auto"/>
              <w:rPr>
                <w:rFonts w:ascii="Times New Roman" w:hAnsi="Times New Roman" w:cs="Times New Roman"/>
                <w:sz w:val="16"/>
                <w:szCs w:val="16"/>
              </w:rPr>
            </w:pPr>
          </w:p>
        </w:tc>
        <w:tc>
          <w:tcPr>
            <w:tcW w:w="2494" w:type="dxa"/>
            <w:shd w:val="clear" w:color="auto" w:fill="auto"/>
            <w:hideMark/>
          </w:tcPr>
          <w:p w:rsidR="00AD7FC6" w:rsidRPr="000B521F" w:rsidRDefault="00AD7FC6" w:rsidP="0059011D">
            <w:pPr>
              <w:spacing w:after="120" w:line="240" w:lineRule="auto"/>
              <w:rPr>
                <w:rFonts w:ascii="Times New Roman" w:hAnsi="Times New Roman" w:cs="Times New Roman"/>
                <w:sz w:val="16"/>
                <w:szCs w:val="16"/>
              </w:rPr>
            </w:pPr>
            <w:r w:rsidRPr="000B521F">
              <w:rPr>
                <w:rFonts w:ascii="Times New Roman" w:hAnsi="Times New Roman" w:cs="Times New Roman"/>
                <w:sz w:val="16"/>
                <w:szCs w:val="16"/>
              </w:rPr>
              <w:t>5. Udržitelná infrastruktura umožňující konkurenceschopnost ekonomiky a odpovídající obslužnost území.</w:t>
            </w:r>
          </w:p>
        </w:tc>
        <w:tc>
          <w:tcPr>
            <w:tcW w:w="2608" w:type="dxa"/>
            <w:shd w:val="clear" w:color="auto" w:fill="auto"/>
            <w:hideMark/>
          </w:tcPr>
          <w:p w:rsidR="00AD7FC6" w:rsidRPr="000B521F" w:rsidRDefault="00AD7FC6" w:rsidP="0059011D">
            <w:pPr>
              <w:spacing w:after="120" w:line="240" w:lineRule="auto"/>
              <w:rPr>
                <w:rFonts w:ascii="Times New Roman" w:hAnsi="Times New Roman" w:cs="Times New Roman"/>
                <w:sz w:val="16"/>
                <w:szCs w:val="16"/>
              </w:rPr>
            </w:pPr>
            <w:r w:rsidRPr="000B521F">
              <w:rPr>
                <w:rFonts w:ascii="Times New Roman" w:hAnsi="Times New Roman" w:cs="Times New Roman"/>
                <w:sz w:val="16"/>
                <w:szCs w:val="16"/>
              </w:rPr>
              <w:t>4.  Podpora posunu směrem k nízkouhlíkovému hospodářství ve všech odvětvích;</w:t>
            </w:r>
          </w:p>
          <w:p w:rsidR="00AD7FC6" w:rsidRPr="000B521F" w:rsidRDefault="00AD7FC6" w:rsidP="0059011D">
            <w:pPr>
              <w:spacing w:after="120" w:line="240" w:lineRule="auto"/>
              <w:rPr>
                <w:rFonts w:ascii="Times New Roman" w:hAnsi="Times New Roman" w:cs="Times New Roman"/>
                <w:sz w:val="16"/>
                <w:szCs w:val="16"/>
              </w:rPr>
            </w:pPr>
            <w:r w:rsidRPr="000B521F">
              <w:rPr>
                <w:rFonts w:ascii="Times New Roman" w:hAnsi="Times New Roman" w:cs="Times New Roman"/>
                <w:sz w:val="16"/>
                <w:szCs w:val="16"/>
              </w:rPr>
              <w:t>7. Podpora udržitelné dopravy a odstraňování překážek v klíčových síťových infrastrukturách.</w:t>
            </w:r>
          </w:p>
        </w:tc>
      </w:tr>
      <w:tr w:rsidR="0015622A" w:rsidRPr="000B521F" w:rsidTr="00761093">
        <w:trPr>
          <w:trHeight w:val="135"/>
        </w:trPr>
        <w:tc>
          <w:tcPr>
            <w:tcW w:w="1384" w:type="dxa"/>
            <w:shd w:val="clear" w:color="auto" w:fill="C6D9F1" w:themeFill="text2" w:themeFillTint="33"/>
            <w:hideMark/>
          </w:tcPr>
          <w:p w:rsidR="00AD7FC6" w:rsidRPr="000B521F" w:rsidRDefault="00AD7FC6" w:rsidP="0059011D">
            <w:pPr>
              <w:spacing w:after="120" w:line="240" w:lineRule="auto"/>
              <w:rPr>
                <w:rFonts w:ascii="Times New Roman" w:hAnsi="Times New Roman" w:cs="Times New Roman"/>
                <w:b/>
                <w:bCs/>
                <w:sz w:val="20"/>
                <w:szCs w:val="20"/>
              </w:rPr>
            </w:pPr>
            <w:r w:rsidRPr="000B521F">
              <w:rPr>
                <w:rFonts w:ascii="Times New Roman" w:hAnsi="Times New Roman" w:cs="Times New Roman"/>
                <w:b/>
                <w:bCs/>
                <w:sz w:val="20"/>
                <w:szCs w:val="20"/>
              </w:rPr>
              <w:t>3. Veřejná správa</w:t>
            </w:r>
          </w:p>
        </w:tc>
        <w:tc>
          <w:tcPr>
            <w:tcW w:w="1928" w:type="dxa"/>
            <w:shd w:val="clear" w:color="auto" w:fill="auto"/>
            <w:hideMark/>
          </w:tcPr>
          <w:p w:rsidR="00AD7FC6" w:rsidRPr="000B521F" w:rsidRDefault="00AD7FC6" w:rsidP="0059011D">
            <w:pPr>
              <w:spacing w:after="120" w:line="240" w:lineRule="auto"/>
              <w:rPr>
                <w:rFonts w:ascii="Times New Roman" w:hAnsi="Times New Roman" w:cs="Times New Roman"/>
                <w:sz w:val="16"/>
                <w:szCs w:val="16"/>
              </w:rPr>
            </w:pPr>
            <w:r w:rsidRPr="000B521F">
              <w:rPr>
                <w:rFonts w:ascii="Times New Roman" w:hAnsi="Times New Roman" w:cs="Times New Roman"/>
                <w:iCs/>
                <w:sz w:val="16"/>
                <w:szCs w:val="16"/>
              </w:rPr>
              <w:t>1. Konsolidované veřejné finance a efektivní instituce</w:t>
            </w:r>
          </w:p>
        </w:tc>
        <w:tc>
          <w:tcPr>
            <w:tcW w:w="3402" w:type="dxa"/>
            <w:shd w:val="clear" w:color="auto" w:fill="auto"/>
          </w:tcPr>
          <w:p w:rsidR="00AD7FC6" w:rsidRPr="000B521F" w:rsidRDefault="00AD7FC6" w:rsidP="0059011D">
            <w:pPr>
              <w:spacing w:before="20" w:after="120" w:line="240" w:lineRule="auto"/>
              <w:rPr>
                <w:rFonts w:ascii="Times New Roman" w:hAnsi="Times New Roman" w:cs="Times New Roman"/>
                <w:sz w:val="16"/>
                <w:szCs w:val="16"/>
              </w:rPr>
            </w:pPr>
          </w:p>
        </w:tc>
        <w:tc>
          <w:tcPr>
            <w:tcW w:w="1928" w:type="dxa"/>
            <w:shd w:val="clear" w:color="auto" w:fill="auto"/>
            <w:hideMark/>
          </w:tcPr>
          <w:p w:rsidR="00AD7FC6" w:rsidRPr="000B521F" w:rsidRDefault="00AD7FC6" w:rsidP="0059011D">
            <w:pPr>
              <w:pStyle w:val="DAVA"/>
              <w:spacing w:before="20" w:after="120"/>
              <w:rPr>
                <w:rFonts w:ascii="Times New Roman" w:hAnsi="Times New Roman"/>
                <w:i/>
                <w:sz w:val="16"/>
                <w:szCs w:val="16"/>
              </w:rPr>
            </w:pPr>
            <w:r w:rsidRPr="000B521F">
              <w:rPr>
                <w:rFonts w:ascii="Times New Roman" w:hAnsi="Times New Roman"/>
                <w:i/>
                <w:sz w:val="16"/>
                <w:szCs w:val="16"/>
              </w:rPr>
              <w:t>Částečně:</w:t>
            </w:r>
          </w:p>
          <w:p w:rsidR="00AD7FC6" w:rsidRPr="000B521F" w:rsidRDefault="00AD7FC6" w:rsidP="0059011D">
            <w:pPr>
              <w:pStyle w:val="DAVA"/>
              <w:spacing w:before="20" w:after="120"/>
              <w:rPr>
                <w:rFonts w:ascii="Times New Roman" w:hAnsi="Times New Roman"/>
                <w:sz w:val="16"/>
                <w:szCs w:val="16"/>
              </w:rPr>
            </w:pPr>
            <w:r w:rsidRPr="000B521F">
              <w:rPr>
                <w:rFonts w:ascii="Times New Roman" w:hAnsi="Times New Roman"/>
                <w:sz w:val="16"/>
                <w:szCs w:val="16"/>
              </w:rPr>
              <w:t>Specifické doporučení rady č.: 5.</w:t>
            </w:r>
          </w:p>
        </w:tc>
        <w:tc>
          <w:tcPr>
            <w:tcW w:w="2494" w:type="dxa"/>
            <w:shd w:val="clear" w:color="auto" w:fill="auto"/>
            <w:hideMark/>
          </w:tcPr>
          <w:p w:rsidR="00AD7FC6" w:rsidRPr="000B521F" w:rsidRDefault="00AD7FC6" w:rsidP="0059011D">
            <w:pPr>
              <w:spacing w:after="120" w:line="240" w:lineRule="auto"/>
              <w:rPr>
                <w:rFonts w:ascii="Times New Roman" w:hAnsi="Times New Roman" w:cs="Times New Roman"/>
                <w:sz w:val="16"/>
                <w:szCs w:val="16"/>
              </w:rPr>
            </w:pPr>
            <w:r w:rsidRPr="000B521F">
              <w:rPr>
                <w:rFonts w:ascii="Times New Roman" w:hAnsi="Times New Roman" w:cs="Times New Roman"/>
                <w:sz w:val="16"/>
                <w:szCs w:val="16"/>
              </w:rPr>
              <w:t>6. Transparentní a efektivní veřejná správa s nízkou mírou administrativní a regulační zátěže</w:t>
            </w:r>
          </w:p>
        </w:tc>
        <w:tc>
          <w:tcPr>
            <w:tcW w:w="2608" w:type="dxa"/>
            <w:shd w:val="clear" w:color="auto" w:fill="auto"/>
            <w:hideMark/>
          </w:tcPr>
          <w:p w:rsidR="00AD7FC6" w:rsidRPr="000B521F" w:rsidRDefault="00AD7FC6" w:rsidP="0059011D">
            <w:pPr>
              <w:spacing w:after="120" w:line="240" w:lineRule="auto"/>
              <w:rPr>
                <w:rFonts w:ascii="Times New Roman" w:hAnsi="Times New Roman" w:cs="Times New Roman"/>
                <w:sz w:val="16"/>
                <w:szCs w:val="16"/>
              </w:rPr>
            </w:pPr>
            <w:r w:rsidRPr="000B521F">
              <w:rPr>
                <w:rFonts w:ascii="Times New Roman" w:hAnsi="Times New Roman" w:cs="Times New Roman"/>
                <w:sz w:val="16"/>
                <w:szCs w:val="16"/>
              </w:rPr>
              <w:t>11. Zvyšování institucionální kapacity veřejných orgánů a zúčastněných subjektů a zlepšování účinnosti veřejné správy.</w:t>
            </w:r>
          </w:p>
        </w:tc>
      </w:tr>
      <w:tr w:rsidR="0015622A" w:rsidRPr="000B521F" w:rsidTr="00761093">
        <w:trPr>
          <w:trHeight w:val="895"/>
        </w:trPr>
        <w:tc>
          <w:tcPr>
            <w:tcW w:w="1384" w:type="dxa"/>
            <w:shd w:val="clear" w:color="auto" w:fill="C6D9F1" w:themeFill="text2" w:themeFillTint="33"/>
            <w:hideMark/>
          </w:tcPr>
          <w:p w:rsidR="00AD7FC6" w:rsidRPr="000B521F" w:rsidRDefault="00AD7FC6" w:rsidP="0059011D">
            <w:pPr>
              <w:spacing w:after="120" w:line="240" w:lineRule="auto"/>
              <w:rPr>
                <w:rFonts w:ascii="Times New Roman" w:hAnsi="Times New Roman" w:cs="Times New Roman"/>
                <w:b/>
                <w:bCs/>
                <w:sz w:val="20"/>
                <w:szCs w:val="20"/>
              </w:rPr>
            </w:pPr>
            <w:r w:rsidRPr="000B521F">
              <w:rPr>
                <w:rFonts w:ascii="Times New Roman" w:hAnsi="Times New Roman" w:cs="Times New Roman"/>
                <w:b/>
                <w:bCs/>
                <w:sz w:val="20"/>
                <w:szCs w:val="20"/>
              </w:rPr>
              <w:t>4. Sociální začleňování, boj s chudobou a systém péče o zdraví</w:t>
            </w:r>
          </w:p>
        </w:tc>
        <w:tc>
          <w:tcPr>
            <w:tcW w:w="1928" w:type="dxa"/>
            <w:shd w:val="clear" w:color="auto" w:fill="auto"/>
            <w:hideMark/>
          </w:tcPr>
          <w:p w:rsidR="00AD7FC6" w:rsidRPr="000B521F" w:rsidRDefault="00AD7FC6" w:rsidP="0059011D">
            <w:pPr>
              <w:spacing w:after="120" w:line="240" w:lineRule="auto"/>
              <w:rPr>
                <w:rFonts w:ascii="Times New Roman" w:hAnsi="Times New Roman" w:cs="Times New Roman"/>
                <w:sz w:val="16"/>
                <w:szCs w:val="16"/>
              </w:rPr>
            </w:pPr>
            <w:r w:rsidRPr="000B521F">
              <w:rPr>
                <w:rFonts w:ascii="Times New Roman" w:hAnsi="Times New Roman" w:cs="Times New Roman"/>
                <w:iCs/>
                <w:sz w:val="16"/>
                <w:szCs w:val="16"/>
              </w:rPr>
              <w:t>1. Konsolidované veřejné finance a efektivní instituce</w:t>
            </w:r>
          </w:p>
          <w:p w:rsidR="00AD7FC6" w:rsidRPr="000B521F" w:rsidRDefault="00AD7FC6" w:rsidP="0059011D">
            <w:pPr>
              <w:spacing w:after="120" w:line="240" w:lineRule="auto"/>
              <w:rPr>
                <w:rFonts w:ascii="Times New Roman" w:hAnsi="Times New Roman" w:cs="Times New Roman"/>
                <w:sz w:val="16"/>
                <w:szCs w:val="16"/>
              </w:rPr>
            </w:pPr>
            <w:r w:rsidRPr="000B521F">
              <w:rPr>
                <w:rFonts w:ascii="Times New Roman" w:hAnsi="Times New Roman" w:cs="Times New Roman"/>
                <w:iCs/>
                <w:sz w:val="16"/>
                <w:szCs w:val="16"/>
              </w:rPr>
              <w:t>3. Fungující trh práce, vzdělávací systém a sociální začleňování jako předpoklady konkurenceschopné ekonomiky</w:t>
            </w:r>
          </w:p>
        </w:tc>
        <w:tc>
          <w:tcPr>
            <w:tcW w:w="3402" w:type="dxa"/>
            <w:shd w:val="clear" w:color="auto" w:fill="auto"/>
          </w:tcPr>
          <w:p w:rsidR="00AD7FC6" w:rsidRPr="000B521F" w:rsidRDefault="00AD7FC6" w:rsidP="0059011D">
            <w:pPr>
              <w:spacing w:after="120" w:line="240" w:lineRule="auto"/>
              <w:rPr>
                <w:rFonts w:ascii="Times New Roman" w:hAnsi="Times New Roman" w:cs="Times New Roman"/>
                <w:sz w:val="16"/>
                <w:szCs w:val="16"/>
              </w:rPr>
            </w:pPr>
            <w:r w:rsidRPr="000B521F">
              <w:rPr>
                <w:rFonts w:ascii="Times New Roman" w:hAnsi="Times New Roman" w:cs="Times New Roman"/>
                <w:sz w:val="16"/>
                <w:szCs w:val="16"/>
              </w:rPr>
              <w:t>5. Snížit o 25 % počet Evropanů, kteří žijí pod vnitrostátní hranicí chudoby, což vyvede z chudoby přes 20 milionů lidí.</w:t>
            </w:r>
          </w:p>
        </w:tc>
        <w:tc>
          <w:tcPr>
            <w:tcW w:w="1928" w:type="dxa"/>
            <w:shd w:val="clear" w:color="auto" w:fill="auto"/>
            <w:hideMark/>
          </w:tcPr>
          <w:p w:rsidR="00AD7FC6" w:rsidRPr="000B521F" w:rsidRDefault="00AD7FC6" w:rsidP="0059011D">
            <w:pPr>
              <w:spacing w:after="120" w:line="240" w:lineRule="auto"/>
              <w:rPr>
                <w:rFonts w:ascii="Times New Roman" w:hAnsi="Times New Roman" w:cs="Times New Roman"/>
                <w:i/>
                <w:sz w:val="16"/>
                <w:szCs w:val="16"/>
              </w:rPr>
            </w:pPr>
            <w:r w:rsidRPr="000B521F">
              <w:rPr>
                <w:rFonts w:ascii="Times New Roman" w:hAnsi="Times New Roman" w:cs="Times New Roman"/>
                <w:i/>
                <w:sz w:val="16"/>
                <w:szCs w:val="16"/>
              </w:rPr>
              <w:t>Částečně:</w:t>
            </w:r>
          </w:p>
          <w:p w:rsidR="00AD7FC6" w:rsidRPr="000B521F" w:rsidRDefault="00AD7FC6" w:rsidP="0059011D">
            <w:pPr>
              <w:spacing w:after="120" w:line="240" w:lineRule="auto"/>
              <w:rPr>
                <w:rFonts w:ascii="Times New Roman" w:hAnsi="Times New Roman" w:cs="Times New Roman"/>
                <w:sz w:val="16"/>
                <w:szCs w:val="16"/>
              </w:rPr>
            </w:pPr>
            <w:r w:rsidRPr="000B521F">
              <w:rPr>
                <w:rFonts w:ascii="Times New Roman" w:hAnsi="Times New Roman" w:cs="Times New Roman"/>
                <w:sz w:val="16"/>
                <w:szCs w:val="16"/>
              </w:rPr>
              <w:t>Specifické doporučení rady č.: 4.</w:t>
            </w:r>
          </w:p>
        </w:tc>
        <w:tc>
          <w:tcPr>
            <w:tcW w:w="2494" w:type="dxa"/>
            <w:shd w:val="clear" w:color="auto" w:fill="auto"/>
            <w:hideMark/>
          </w:tcPr>
          <w:p w:rsidR="00AD7FC6" w:rsidRPr="000B521F" w:rsidRDefault="00AD7FC6" w:rsidP="0059011D">
            <w:pPr>
              <w:spacing w:after="120" w:line="240" w:lineRule="auto"/>
              <w:rPr>
                <w:rFonts w:ascii="Times New Roman" w:hAnsi="Times New Roman" w:cs="Times New Roman"/>
                <w:sz w:val="16"/>
                <w:szCs w:val="16"/>
              </w:rPr>
            </w:pPr>
            <w:r w:rsidRPr="000B521F">
              <w:rPr>
                <w:rFonts w:ascii="Times New Roman" w:hAnsi="Times New Roman" w:cs="Times New Roman"/>
                <w:sz w:val="16"/>
                <w:szCs w:val="16"/>
              </w:rPr>
              <w:t>7. Sociální systém začleňující sociálně vyloučené skupiny a působící preventivně proti chudobě</w:t>
            </w:r>
          </w:p>
        </w:tc>
        <w:tc>
          <w:tcPr>
            <w:tcW w:w="2608" w:type="dxa"/>
            <w:shd w:val="clear" w:color="auto" w:fill="auto"/>
            <w:hideMark/>
          </w:tcPr>
          <w:p w:rsidR="00AD7FC6" w:rsidRPr="000B521F" w:rsidRDefault="00AD7FC6" w:rsidP="0059011D">
            <w:pPr>
              <w:spacing w:after="120" w:line="240" w:lineRule="auto"/>
              <w:rPr>
                <w:rFonts w:ascii="Times New Roman" w:hAnsi="Times New Roman" w:cs="Times New Roman"/>
                <w:sz w:val="16"/>
                <w:szCs w:val="16"/>
              </w:rPr>
            </w:pPr>
            <w:r w:rsidRPr="000B521F">
              <w:rPr>
                <w:rFonts w:ascii="Times New Roman" w:hAnsi="Times New Roman" w:cs="Times New Roman"/>
                <w:sz w:val="16"/>
                <w:szCs w:val="16"/>
              </w:rPr>
              <w:t>9. Podpora sociálního začleňování a boj proti chudobě a veškeré diskriminaci.</w:t>
            </w:r>
          </w:p>
        </w:tc>
      </w:tr>
      <w:tr w:rsidR="0015622A" w:rsidRPr="000B521F" w:rsidTr="00761093">
        <w:trPr>
          <w:trHeight w:val="1414"/>
        </w:trPr>
        <w:tc>
          <w:tcPr>
            <w:tcW w:w="1384" w:type="dxa"/>
            <w:shd w:val="clear" w:color="auto" w:fill="C6D9F1" w:themeFill="text2" w:themeFillTint="33"/>
            <w:hideMark/>
          </w:tcPr>
          <w:p w:rsidR="00AD7FC6" w:rsidRPr="000B521F" w:rsidRDefault="00AD7FC6" w:rsidP="0059011D">
            <w:pPr>
              <w:spacing w:after="120" w:line="240" w:lineRule="auto"/>
              <w:rPr>
                <w:rFonts w:ascii="Times New Roman" w:hAnsi="Times New Roman" w:cs="Times New Roman"/>
                <w:b/>
                <w:bCs/>
                <w:sz w:val="20"/>
                <w:szCs w:val="20"/>
              </w:rPr>
            </w:pPr>
            <w:r w:rsidRPr="000B521F">
              <w:rPr>
                <w:rFonts w:ascii="Times New Roman" w:hAnsi="Times New Roman" w:cs="Times New Roman"/>
                <w:b/>
                <w:bCs/>
                <w:sz w:val="20"/>
                <w:szCs w:val="20"/>
              </w:rPr>
              <w:t>5. Životní prostředí</w:t>
            </w:r>
          </w:p>
        </w:tc>
        <w:tc>
          <w:tcPr>
            <w:tcW w:w="1928" w:type="dxa"/>
            <w:shd w:val="clear" w:color="auto" w:fill="auto"/>
            <w:hideMark/>
          </w:tcPr>
          <w:p w:rsidR="00AD7FC6" w:rsidRPr="000B521F" w:rsidRDefault="00AD7FC6" w:rsidP="0059011D">
            <w:pPr>
              <w:spacing w:after="120" w:line="240" w:lineRule="auto"/>
              <w:rPr>
                <w:rFonts w:ascii="Times New Roman" w:hAnsi="Times New Roman" w:cs="Times New Roman"/>
                <w:sz w:val="16"/>
                <w:szCs w:val="16"/>
              </w:rPr>
            </w:pPr>
            <w:r w:rsidRPr="000B521F">
              <w:rPr>
                <w:rFonts w:ascii="Times New Roman" w:hAnsi="Times New Roman" w:cs="Times New Roman"/>
                <w:iCs/>
                <w:sz w:val="16"/>
                <w:szCs w:val="16"/>
              </w:rPr>
              <w:t>2. Atraktivní podnikatelské prostředí a rozvoj infrastruktury pro český průmysl</w:t>
            </w:r>
          </w:p>
        </w:tc>
        <w:tc>
          <w:tcPr>
            <w:tcW w:w="3402" w:type="dxa"/>
            <w:shd w:val="clear" w:color="auto" w:fill="auto"/>
          </w:tcPr>
          <w:p w:rsidR="00AD7FC6" w:rsidRPr="000B521F" w:rsidRDefault="00AD7FC6" w:rsidP="0059011D">
            <w:pPr>
              <w:spacing w:after="120" w:line="240" w:lineRule="auto"/>
              <w:rPr>
                <w:rFonts w:ascii="Times New Roman" w:hAnsi="Times New Roman" w:cs="Times New Roman"/>
                <w:sz w:val="16"/>
                <w:szCs w:val="16"/>
              </w:rPr>
            </w:pPr>
            <w:r w:rsidRPr="000B521F">
              <w:rPr>
                <w:rFonts w:ascii="Times New Roman" w:hAnsi="Times New Roman" w:cs="Times New Roman"/>
                <w:sz w:val="16"/>
                <w:szCs w:val="16"/>
              </w:rPr>
              <w:t>3. Snížit emise skleníkových plynů oproti úrovním roku 1990 nejméně o 20 % nebo, pokud budou podmínky příznivé, o 30 %; zvýšit podíl obnovitelných zdrojů energie v naší konečné spotřebě energie na 20 % a zvýšit energetickou účinnost o 20 %.</w:t>
            </w:r>
          </w:p>
        </w:tc>
        <w:tc>
          <w:tcPr>
            <w:tcW w:w="1928" w:type="dxa"/>
            <w:shd w:val="clear" w:color="auto" w:fill="auto"/>
          </w:tcPr>
          <w:p w:rsidR="00AD7FC6" w:rsidRPr="000B521F" w:rsidRDefault="00AD7FC6" w:rsidP="0059011D">
            <w:pPr>
              <w:spacing w:after="120" w:line="240" w:lineRule="auto"/>
              <w:rPr>
                <w:rFonts w:ascii="Times New Roman" w:hAnsi="Times New Roman" w:cs="Times New Roman"/>
                <w:sz w:val="16"/>
                <w:szCs w:val="16"/>
              </w:rPr>
            </w:pPr>
            <w:r w:rsidRPr="000B521F">
              <w:rPr>
                <w:rFonts w:ascii="Times New Roman" w:hAnsi="Times New Roman" w:cs="Times New Roman"/>
                <w:sz w:val="16"/>
                <w:szCs w:val="16"/>
              </w:rPr>
              <w:t>Specifické doporučení rady č. 7.</w:t>
            </w:r>
          </w:p>
        </w:tc>
        <w:tc>
          <w:tcPr>
            <w:tcW w:w="2494" w:type="dxa"/>
            <w:shd w:val="clear" w:color="auto" w:fill="auto"/>
            <w:hideMark/>
          </w:tcPr>
          <w:p w:rsidR="00AD7FC6" w:rsidRPr="000B521F" w:rsidRDefault="00AD7FC6" w:rsidP="0059011D">
            <w:pPr>
              <w:spacing w:after="120" w:line="240" w:lineRule="auto"/>
              <w:rPr>
                <w:rFonts w:ascii="Times New Roman" w:hAnsi="Times New Roman" w:cs="Times New Roman"/>
                <w:sz w:val="16"/>
                <w:szCs w:val="16"/>
              </w:rPr>
            </w:pPr>
            <w:r w:rsidRPr="000B521F">
              <w:rPr>
                <w:rFonts w:ascii="Times New Roman" w:hAnsi="Times New Roman" w:cs="Times New Roman"/>
                <w:sz w:val="16"/>
                <w:szCs w:val="16"/>
              </w:rPr>
              <w:t>8. Ochrana životního prostředí a krajiny a přizpůsobení se změně klimatu</w:t>
            </w:r>
          </w:p>
        </w:tc>
        <w:tc>
          <w:tcPr>
            <w:tcW w:w="2608" w:type="dxa"/>
            <w:shd w:val="clear" w:color="auto" w:fill="auto"/>
            <w:hideMark/>
          </w:tcPr>
          <w:p w:rsidR="00AD7FC6" w:rsidRPr="000B521F" w:rsidRDefault="00AD7FC6" w:rsidP="0059011D">
            <w:pPr>
              <w:spacing w:after="120" w:line="240" w:lineRule="auto"/>
              <w:rPr>
                <w:rFonts w:ascii="Times New Roman" w:hAnsi="Times New Roman" w:cs="Times New Roman"/>
                <w:sz w:val="16"/>
                <w:szCs w:val="16"/>
              </w:rPr>
            </w:pPr>
            <w:r w:rsidRPr="000B521F">
              <w:rPr>
                <w:rFonts w:ascii="Times New Roman" w:hAnsi="Times New Roman" w:cs="Times New Roman"/>
                <w:sz w:val="16"/>
                <w:szCs w:val="16"/>
              </w:rPr>
              <w:t>5. Podpora přizpůsobení se změně klimatu, předcházení rizikům a jejich řízení;</w:t>
            </w:r>
          </w:p>
          <w:p w:rsidR="00AD7FC6" w:rsidRPr="000B521F" w:rsidRDefault="00AD7FC6" w:rsidP="0059011D">
            <w:pPr>
              <w:spacing w:after="120" w:line="240" w:lineRule="auto"/>
              <w:rPr>
                <w:rFonts w:ascii="Times New Roman" w:hAnsi="Times New Roman" w:cs="Times New Roman"/>
                <w:sz w:val="16"/>
                <w:szCs w:val="16"/>
              </w:rPr>
            </w:pPr>
            <w:r w:rsidRPr="000B521F">
              <w:rPr>
                <w:rFonts w:ascii="Times New Roman" w:hAnsi="Times New Roman" w:cs="Times New Roman"/>
                <w:sz w:val="16"/>
                <w:szCs w:val="16"/>
              </w:rPr>
              <w:t>6.  Zachování a ochrana životního prostředí a podporování účinného využívání zdrojů.</w:t>
            </w:r>
          </w:p>
        </w:tc>
      </w:tr>
    </w:tbl>
    <w:p w:rsidR="00AD7FC6" w:rsidRPr="000B521F" w:rsidRDefault="00AD7FC6" w:rsidP="0059011D">
      <w:pPr>
        <w:spacing w:after="120" w:line="240" w:lineRule="auto"/>
        <w:rPr>
          <w:rFonts w:ascii="Times New Roman" w:eastAsia="Times New Roman" w:hAnsi="Times New Roman" w:cs="Times New Roman"/>
          <w:b/>
          <w:bCs/>
          <w:color w:val="4F81BD"/>
          <w:sz w:val="24"/>
          <w:szCs w:val="24"/>
          <w:lang w:eastAsia="cs-CZ"/>
        </w:rPr>
        <w:sectPr w:rsidR="00AD7FC6" w:rsidRPr="000B521F">
          <w:pgSz w:w="16838" w:h="11906" w:orient="landscape"/>
          <w:pgMar w:top="1418" w:right="1418" w:bottom="1418" w:left="1418" w:header="709" w:footer="709" w:gutter="0"/>
          <w:cols w:space="708"/>
        </w:sectPr>
      </w:pPr>
    </w:p>
    <w:p w:rsidR="00D8323C" w:rsidRPr="000B521F" w:rsidRDefault="00D8323C" w:rsidP="0059011D">
      <w:pPr>
        <w:pStyle w:val="Prosttext"/>
        <w:jc w:val="both"/>
        <w:rPr>
          <w:rFonts w:ascii="Times New Roman" w:hAnsi="Times New Roman"/>
          <w:sz w:val="24"/>
          <w:szCs w:val="24"/>
        </w:rPr>
      </w:pPr>
      <w:r w:rsidRPr="000B521F">
        <w:rPr>
          <w:rFonts w:ascii="Times New Roman" w:hAnsi="Times New Roman"/>
          <w:sz w:val="24"/>
          <w:szCs w:val="24"/>
        </w:rPr>
        <w:lastRenderedPageBreak/>
        <w:t>Pro každý tematický cíl jsou níže uvedeny hlavní výsledky, jichž má být dosaženo s pomocí ESI fondů. Tyto výsledky představují hlavní změny, jež mají být uskutečněny v programovém období 2014</w:t>
      </w:r>
      <w:r w:rsidR="0089096B">
        <w:rPr>
          <w:rFonts w:ascii="Times New Roman" w:hAnsi="Times New Roman"/>
          <w:color w:val="000000"/>
          <w:sz w:val="24"/>
          <w:szCs w:val="24"/>
        </w:rPr>
        <w:t>–</w:t>
      </w:r>
      <w:r w:rsidRPr="000B521F">
        <w:rPr>
          <w:rFonts w:ascii="Times New Roman" w:hAnsi="Times New Roman"/>
          <w:sz w:val="24"/>
          <w:szCs w:val="24"/>
        </w:rPr>
        <w:t>2020. U každého výsledku je uveden fond případně ESI fondy, z nichž bude dosažení výsledků spolufinancováno. Míra změny je vyjádřena kvalitativně pomocí uvedení trendu. V další fázi zpracování Dohody o partnerství bude tato míra ve vhodných případech kvantifikována.</w:t>
      </w:r>
    </w:p>
    <w:p w:rsidR="00D8323C" w:rsidRPr="000B521F" w:rsidRDefault="00D8323C" w:rsidP="0059011D">
      <w:pPr>
        <w:pStyle w:val="Prosttext"/>
        <w:jc w:val="both"/>
        <w:rPr>
          <w:rFonts w:ascii="Times New Roman" w:hAnsi="Times New Roman"/>
          <w:sz w:val="24"/>
          <w:szCs w:val="24"/>
        </w:rPr>
      </w:pPr>
    </w:p>
    <w:p w:rsidR="003A4C0C" w:rsidRPr="000B521F" w:rsidRDefault="003A4C0C" w:rsidP="0059011D">
      <w:pPr>
        <w:pStyle w:val="Tabulka"/>
        <w:spacing w:before="120" w:after="60"/>
        <w:rPr>
          <w:szCs w:val="20"/>
        </w:rPr>
      </w:pPr>
      <w:r w:rsidRPr="000B521F">
        <w:rPr>
          <w:szCs w:val="20"/>
        </w:rPr>
        <w:t>TC 1</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84"/>
        <w:gridCol w:w="7371"/>
      </w:tblGrid>
      <w:tr w:rsidR="003A4C0C" w:rsidRPr="000B521F" w:rsidTr="00761093">
        <w:tc>
          <w:tcPr>
            <w:tcW w:w="138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3A4C0C" w:rsidRPr="000B521F" w:rsidRDefault="003A4C0C" w:rsidP="0059011D">
            <w:pPr>
              <w:spacing w:after="120" w:line="240" w:lineRule="auto"/>
              <w:rPr>
                <w:rFonts w:ascii="Times New Roman" w:hAnsi="Times New Roman" w:cs="Times New Roman"/>
                <w:b/>
                <w:sz w:val="24"/>
                <w:szCs w:val="24"/>
              </w:rPr>
            </w:pPr>
            <w:r w:rsidRPr="000B521F">
              <w:rPr>
                <w:rFonts w:ascii="Times New Roman" w:hAnsi="Times New Roman" w:cs="Times New Roman"/>
                <w:b/>
                <w:sz w:val="24"/>
                <w:szCs w:val="24"/>
              </w:rPr>
              <w:t>Fond</w:t>
            </w: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3A4C0C" w:rsidRPr="000B521F" w:rsidRDefault="003A4C0C" w:rsidP="0059011D">
            <w:pPr>
              <w:spacing w:after="120" w:line="240" w:lineRule="auto"/>
              <w:rPr>
                <w:rFonts w:ascii="Times New Roman" w:hAnsi="Times New Roman" w:cs="Times New Roman"/>
                <w:b/>
                <w:sz w:val="24"/>
                <w:szCs w:val="24"/>
              </w:rPr>
            </w:pPr>
            <w:r w:rsidRPr="000B521F">
              <w:rPr>
                <w:rFonts w:ascii="Times New Roman" w:hAnsi="Times New Roman" w:cs="Times New Roman"/>
                <w:b/>
                <w:sz w:val="24"/>
                <w:szCs w:val="24"/>
              </w:rPr>
              <w:t>Hlavní výsledky</w:t>
            </w:r>
          </w:p>
        </w:tc>
      </w:tr>
      <w:tr w:rsidR="003A4C0C" w:rsidRPr="000B521F" w:rsidTr="00761093">
        <w:tc>
          <w:tcPr>
            <w:tcW w:w="1384" w:type="dxa"/>
            <w:tcBorders>
              <w:top w:val="single" w:sz="4" w:space="0" w:color="auto"/>
            </w:tcBorders>
            <w:shd w:val="clear" w:color="auto" w:fill="C6D9F1" w:themeFill="text2" w:themeFillTint="33"/>
          </w:tcPr>
          <w:p w:rsidR="003A4C0C" w:rsidRPr="000B521F" w:rsidRDefault="003A4C0C" w:rsidP="0059011D">
            <w:pPr>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EFRR</w:t>
            </w:r>
          </w:p>
        </w:tc>
        <w:tc>
          <w:tcPr>
            <w:tcW w:w="7371" w:type="dxa"/>
            <w:tcBorders>
              <w:top w:val="single" w:sz="4" w:space="0" w:color="auto"/>
            </w:tcBorders>
          </w:tcPr>
          <w:p w:rsidR="003A4C0C" w:rsidRPr="000B521F" w:rsidRDefault="003A4C0C" w:rsidP="00E37E1C">
            <w:pPr>
              <w:numPr>
                <w:ilvl w:val="0"/>
                <w:numId w:val="102"/>
              </w:numPr>
              <w:spacing w:after="0" w:line="240" w:lineRule="auto"/>
              <w:ind w:left="743" w:hanging="426"/>
              <w:rPr>
                <w:rFonts w:ascii="Times New Roman" w:hAnsi="Times New Roman" w:cs="Times New Roman"/>
                <w:b/>
                <w:sz w:val="24"/>
                <w:szCs w:val="24"/>
              </w:rPr>
            </w:pPr>
            <w:r w:rsidRPr="000B521F">
              <w:rPr>
                <w:rFonts w:ascii="Times New Roman" w:hAnsi="Times New Roman" w:cs="Times New Roman"/>
                <w:b/>
                <w:sz w:val="24"/>
                <w:szCs w:val="24"/>
              </w:rPr>
              <w:t>Zvýšená kvalita výzkumu a jeho větší orientace na přínosy pro praxi a pro společnost včetně zvýšení mezinárodní otevřenosti veřejného výzkumu</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 xml:space="preserve">Zvýšení počtu odborných publikačních výstupů (s vyšší citovaností), udělených patentů a počtu mezinárodních patentových přihlášek (PCT). </w:t>
            </w:r>
          </w:p>
          <w:p w:rsidR="003A4C0C" w:rsidRPr="00CD136E" w:rsidRDefault="003A4C0C" w:rsidP="00E37E1C">
            <w:pPr>
              <w:numPr>
                <w:ilvl w:val="1"/>
                <w:numId w:val="46"/>
              </w:numPr>
              <w:spacing w:after="0" w:line="240" w:lineRule="auto"/>
              <w:rPr>
                <w:rFonts w:ascii="Times New Roman" w:hAnsi="Times New Roman" w:cs="Times New Roman"/>
                <w:sz w:val="24"/>
                <w:szCs w:val="24"/>
              </w:rPr>
            </w:pPr>
            <w:r w:rsidRPr="00691932">
              <w:rPr>
                <w:rFonts w:ascii="Times New Roman" w:hAnsi="Times New Roman" w:cs="Times New Roman"/>
                <w:sz w:val="24"/>
                <w:szCs w:val="24"/>
              </w:rPr>
              <w:t>Zv</w:t>
            </w:r>
            <w:r w:rsidRPr="00CD136E">
              <w:rPr>
                <w:rFonts w:ascii="Times New Roman" w:hAnsi="Times New Roman" w:cs="Times New Roman"/>
                <w:sz w:val="24"/>
                <w:szCs w:val="24"/>
              </w:rPr>
              <w:t xml:space="preserve">ýšení produkce výsledků výzkumu orientovaného na řešení socio-ekonomických potřeb </w:t>
            </w:r>
            <w:r w:rsidRPr="00691932">
              <w:rPr>
                <w:rFonts w:ascii="Times New Roman" w:hAnsi="Times New Roman" w:cs="Times New Roman"/>
                <w:sz w:val="24"/>
                <w:szCs w:val="24"/>
              </w:rPr>
              <w:t>Zvýšení internacionalizace akademické sféry v ČR – zvýšení účasti v mezinárodních výzkumných týmech, větší množství zahraničních výzkumníků, v</w:t>
            </w:r>
            <w:r w:rsidRPr="00CD136E">
              <w:rPr>
                <w:rFonts w:ascii="Times New Roman" w:hAnsi="Times New Roman" w:cs="Times New Roman"/>
                <w:sz w:val="24"/>
                <w:szCs w:val="24"/>
              </w:rPr>
              <w:t>ýzkumníků s větší zahraniční zkušeností a vedoucích výzkumných pracovníků se zkušeností ze zahraničí.</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Zvýšení kvality řízení výzkumu na národní a institucionální úrovni ve vazbě na excelenci a praktické uplatnění výsledků v praxi.</w:t>
            </w:r>
          </w:p>
          <w:p w:rsidR="003A4C0C" w:rsidRPr="000B521F" w:rsidRDefault="003A4C0C" w:rsidP="00E37E1C">
            <w:pPr>
              <w:numPr>
                <w:ilvl w:val="0"/>
                <w:numId w:val="102"/>
              </w:num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 xml:space="preserve">Zvýšené přínosy výzkumu a vývoje pro konkurenceschopnost </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Zvýšení nabídky kvalitních výsledků VaV s aplikačním potenciálem a počtu výsledků dotažených do stadia aplikace a inovace.</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Zavedení a zvýšení kvality služeb podporujících transfer technologií a komercializaci výsledků výzkumu, včetně kvalitního národního inkubačního programu.</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Zvýšení poptávky po inovacích ve veřejném sektoru.</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Zvýšení počtu klastrů a sítí, které rozvíjí proces inteligentní specializace ve všech sektorech národního hospodářství, tedy včetně zemědělství a akvakultury.</w:t>
            </w:r>
          </w:p>
          <w:p w:rsidR="003A4C0C" w:rsidRPr="000B521F" w:rsidRDefault="003A4C0C" w:rsidP="00E37E1C">
            <w:pPr>
              <w:numPr>
                <w:ilvl w:val="0"/>
                <w:numId w:val="130"/>
              </w:num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Zvýšení počtu firem schopných mezinárodní technologické konkurence v oboru svého podnikání</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Posílení interních inovačních kapacit firem (vč. firem s více než 250 zaměstnanci prostřednictvím rozvoje průmyslového výzkumu).</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 xml:space="preserve">Zvýšení </w:t>
            </w:r>
            <w:r w:rsidR="00CD136E">
              <w:rPr>
                <w:rFonts w:ascii="Times New Roman" w:hAnsi="Times New Roman" w:cs="Times New Roman"/>
                <w:sz w:val="24"/>
                <w:szCs w:val="24"/>
              </w:rPr>
              <w:t>inovačních aktivit</w:t>
            </w:r>
            <w:r w:rsidR="00CD136E" w:rsidRPr="000B521F">
              <w:rPr>
                <w:rFonts w:ascii="Times New Roman" w:hAnsi="Times New Roman" w:cs="Times New Roman"/>
                <w:sz w:val="24"/>
                <w:szCs w:val="24"/>
              </w:rPr>
              <w:t xml:space="preserve"> </w:t>
            </w:r>
            <w:r w:rsidRPr="000B521F">
              <w:rPr>
                <w:rFonts w:ascii="Times New Roman" w:hAnsi="Times New Roman" w:cs="Times New Roman"/>
                <w:sz w:val="24"/>
                <w:szCs w:val="24"/>
              </w:rPr>
              <w:t>firem v</w:t>
            </w:r>
            <w:r w:rsidR="00CD136E">
              <w:rPr>
                <w:rFonts w:ascii="Times New Roman" w:hAnsi="Times New Roman" w:cs="Times New Roman"/>
                <w:sz w:val="24"/>
                <w:szCs w:val="24"/>
              </w:rPr>
              <w:t>četně inovací v</w:t>
            </w:r>
            <w:r w:rsidRPr="000B521F">
              <w:rPr>
                <w:rFonts w:ascii="Times New Roman" w:hAnsi="Times New Roman" w:cs="Times New Roman"/>
                <w:sz w:val="24"/>
                <w:szCs w:val="24"/>
              </w:rPr>
              <w:t> low-tech oborech; tzn.  založen</w:t>
            </w:r>
            <w:r w:rsidR="00CD136E">
              <w:rPr>
                <w:rFonts w:ascii="Times New Roman" w:hAnsi="Times New Roman" w:cs="Times New Roman"/>
                <w:sz w:val="24"/>
                <w:szCs w:val="24"/>
              </w:rPr>
              <w:t>ých</w:t>
            </w:r>
            <w:r w:rsidRPr="000B521F">
              <w:rPr>
                <w:rFonts w:ascii="Times New Roman" w:hAnsi="Times New Roman" w:cs="Times New Roman"/>
                <w:sz w:val="24"/>
                <w:szCs w:val="24"/>
              </w:rPr>
              <w:t xml:space="preserve"> na aplikaci a přizpůsobení moderních technologií (vč. KET) pro využití v tradičních oborech.</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Zvýšení všestranné spolupráce (firma – firma i firma – akademie) v oblasti výzkumu, vývoje a inovací, včetně zvýšení aplikace principů open-innovation na řízení inovací ve firmách.</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lastRenderedPageBreak/>
              <w:t>Zvýšení poptávky po ochraně IPR a zlepšení kompetencí MSP v této oblasti.</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Zvýšení nabídky investic rizikového kapitálu.</w:t>
            </w:r>
          </w:p>
        </w:tc>
      </w:tr>
      <w:tr w:rsidR="003A4C0C" w:rsidRPr="000B521F" w:rsidTr="00761093">
        <w:tc>
          <w:tcPr>
            <w:tcW w:w="1384" w:type="dxa"/>
            <w:shd w:val="clear" w:color="auto" w:fill="C6D9F1" w:themeFill="text2" w:themeFillTint="33"/>
          </w:tcPr>
          <w:p w:rsidR="003A4C0C" w:rsidRPr="000B521F" w:rsidRDefault="003A4C0C" w:rsidP="0059011D">
            <w:pPr>
              <w:spacing w:after="120" w:line="240" w:lineRule="auto"/>
              <w:rPr>
                <w:rFonts w:ascii="Times New Roman" w:hAnsi="Times New Roman" w:cs="Times New Roman"/>
                <w:sz w:val="24"/>
                <w:szCs w:val="24"/>
              </w:rPr>
            </w:pPr>
            <w:r w:rsidRPr="000B521F">
              <w:rPr>
                <w:rFonts w:ascii="Times New Roman" w:hAnsi="Times New Roman" w:cs="Times New Roman"/>
                <w:sz w:val="24"/>
                <w:szCs w:val="24"/>
              </w:rPr>
              <w:lastRenderedPageBreak/>
              <w:t>EZFRV</w:t>
            </w:r>
          </w:p>
        </w:tc>
        <w:tc>
          <w:tcPr>
            <w:tcW w:w="7371" w:type="dxa"/>
          </w:tcPr>
          <w:p w:rsidR="003A4C0C" w:rsidRPr="000B521F" w:rsidRDefault="003A4C0C" w:rsidP="00E37E1C">
            <w:pPr>
              <w:numPr>
                <w:ilvl w:val="0"/>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Posílení vazeb mezi zemědělstvím, produkcí potravin a lesnictvím a výzkumem a inovacemi, jednak využitím poradenských služeb i. prostřednictvím zapojení do EIP.</w:t>
            </w:r>
          </w:p>
          <w:p w:rsidR="003A4C0C" w:rsidRPr="000B521F" w:rsidRDefault="003A4C0C" w:rsidP="00E37E1C">
            <w:pPr>
              <w:numPr>
                <w:ilvl w:val="0"/>
                <w:numId w:val="131"/>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Vyšší počet klastrů a sítí rozvíjejících proces inteligentní specializace ve všech sektorech národního hospodářství, tedy včetně zemědělství.</w:t>
            </w:r>
          </w:p>
        </w:tc>
      </w:tr>
    </w:tbl>
    <w:p w:rsidR="003A4C0C" w:rsidRPr="000B521F" w:rsidRDefault="003A4C0C" w:rsidP="0059011D">
      <w:pPr>
        <w:pStyle w:val="Tabulka"/>
        <w:spacing w:before="120" w:after="60"/>
        <w:rPr>
          <w:szCs w:val="20"/>
        </w:rPr>
      </w:pPr>
      <w:r w:rsidRPr="000B521F">
        <w:rPr>
          <w:szCs w:val="20"/>
        </w:rPr>
        <w:t>TC2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371"/>
      </w:tblGrid>
      <w:tr w:rsidR="003A4C0C" w:rsidRPr="000B521F" w:rsidTr="00761093">
        <w:tc>
          <w:tcPr>
            <w:tcW w:w="1384" w:type="dxa"/>
            <w:tcBorders>
              <w:top w:val="single" w:sz="4" w:space="0" w:color="000000"/>
              <w:left w:val="single" w:sz="4" w:space="0" w:color="000000"/>
              <w:bottom w:val="single" w:sz="4" w:space="0" w:color="000000"/>
              <w:right w:val="single" w:sz="4" w:space="0" w:color="000000"/>
            </w:tcBorders>
            <w:shd w:val="clear" w:color="auto" w:fill="8DB3E2" w:themeFill="text2" w:themeFillTint="66"/>
            <w:hideMark/>
          </w:tcPr>
          <w:p w:rsidR="003A4C0C" w:rsidRPr="000B521F" w:rsidRDefault="003A4C0C" w:rsidP="00E37E1C">
            <w:p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Fond</w:t>
            </w:r>
          </w:p>
        </w:tc>
        <w:tc>
          <w:tcPr>
            <w:tcW w:w="7371" w:type="dxa"/>
            <w:tcBorders>
              <w:top w:val="single" w:sz="4" w:space="0" w:color="000000"/>
              <w:left w:val="single" w:sz="4" w:space="0" w:color="000000"/>
              <w:bottom w:val="single" w:sz="4" w:space="0" w:color="000000"/>
              <w:right w:val="single" w:sz="4" w:space="0" w:color="000000"/>
            </w:tcBorders>
            <w:shd w:val="clear" w:color="auto" w:fill="8DB3E2" w:themeFill="text2" w:themeFillTint="66"/>
            <w:hideMark/>
          </w:tcPr>
          <w:p w:rsidR="003A4C0C" w:rsidRPr="000B521F" w:rsidRDefault="003A4C0C" w:rsidP="00E37E1C">
            <w:p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Hlavní výsledky</w:t>
            </w:r>
          </w:p>
        </w:tc>
      </w:tr>
      <w:tr w:rsidR="003A4C0C" w:rsidRPr="000B521F" w:rsidTr="00761093">
        <w:tc>
          <w:tcPr>
            <w:tcW w:w="1384"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3A4C0C" w:rsidRPr="000B521F" w:rsidRDefault="003A4C0C" w:rsidP="00E37E1C">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EFRR</w:t>
            </w:r>
          </w:p>
        </w:tc>
        <w:tc>
          <w:tcPr>
            <w:tcW w:w="7371" w:type="dxa"/>
            <w:tcBorders>
              <w:top w:val="single" w:sz="4" w:space="0" w:color="000000"/>
              <w:left w:val="single" w:sz="4" w:space="0" w:color="000000"/>
              <w:bottom w:val="single" w:sz="4" w:space="0" w:color="000000"/>
              <w:right w:val="single" w:sz="4" w:space="0" w:color="000000"/>
            </w:tcBorders>
            <w:shd w:val="clear" w:color="auto" w:fill="auto"/>
            <w:hideMark/>
          </w:tcPr>
          <w:p w:rsidR="003A4C0C" w:rsidRPr="000B521F" w:rsidRDefault="003A4C0C" w:rsidP="00E37E1C">
            <w:pPr>
              <w:numPr>
                <w:ilvl w:val="0"/>
                <w:numId w:val="46"/>
              </w:num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Zlepšený přístup, využití a kvalita ICT technologií</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Zvýšení kvality a dostupnosti infrastruktury pro vysokorychlostní přístup k internetu (umožňující přenosové rychlosti 30 Mbit/s do roku 2020 pro všechny obyvatele a 100 Mbit/s minimálně pro polovinu domácností).</w:t>
            </w:r>
          </w:p>
          <w:p w:rsidR="003A4C0C"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Vytvoření nových služeb usnadňujících přístup k místním, regionálním a globálním informacím a obsahům systémů pro správu znalostí (KMS, KSS)</w:t>
            </w:r>
            <w:r w:rsidR="009B01A8" w:rsidRPr="000B521F">
              <w:rPr>
                <w:rFonts w:ascii="Times New Roman" w:hAnsi="Times New Roman" w:cs="Times New Roman"/>
                <w:sz w:val="24"/>
                <w:szCs w:val="24"/>
              </w:rPr>
              <w:t>, posílení tvorby (vývoje) a fungování ICT aplikací a služeb, včetně sdílených služeb zahrnujících budování a modernizaci datových center</w:t>
            </w:r>
            <w:r w:rsidRPr="000B521F">
              <w:rPr>
                <w:rFonts w:ascii="Times New Roman" w:hAnsi="Times New Roman" w:cs="Times New Roman"/>
                <w:sz w:val="24"/>
                <w:szCs w:val="24"/>
              </w:rPr>
              <w:t>.</w:t>
            </w:r>
          </w:p>
          <w:p w:rsidR="00F3719F" w:rsidRDefault="00853783" w:rsidP="00E37E1C">
            <w:pPr>
              <w:numPr>
                <w:ilvl w:val="0"/>
                <w:numId w:val="46"/>
              </w:numPr>
              <w:spacing w:after="0" w:line="240" w:lineRule="auto"/>
              <w:rPr>
                <w:rFonts w:ascii="Times New Roman" w:hAnsi="Times New Roman" w:cs="Times New Roman"/>
                <w:b/>
                <w:bCs/>
                <w:color w:val="4F81BD"/>
                <w:sz w:val="24"/>
                <w:szCs w:val="24"/>
              </w:rPr>
            </w:pPr>
            <w:r w:rsidRPr="003A4C0C">
              <w:rPr>
                <w:rFonts w:ascii="Times New Roman" w:hAnsi="Times New Roman" w:cs="Times New Roman"/>
                <w:b/>
                <w:sz w:val="24"/>
                <w:szCs w:val="24"/>
              </w:rPr>
              <w:t>Zvýšená efektivita a účinnost veřejné správy</w:t>
            </w:r>
          </w:p>
          <w:p w:rsidR="00853783" w:rsidRDefault="00853783"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Vytvoření nových služeb usnadňujících přístup k místním, regionálním a globálním informacím a obsahům systémů pro správu znalostí</w:t>
            </w:r>
          </w:p>
          <w:p w:rsidR="004D0FA7" w:rsidRPr="00107046" w:rsidRDefault="004D0FA7" w:rsidP="00E37E1C">
            <w:pPr>
              <w:numPr>
                <w:ilvl w:val="0"/>
                <w:numId w:val="46"/>
              </w:numPr>
              <w:spacing w:after="0" w:line="240" w:lineRule="auto"/>
              <w:rPr>
                <w:rFonts w:ascii="Times New Roman" w:hAnsi="Times New Roman" w:cs="Times New Roman"/>
                <w:b/>
                <w:sz w:val="24"/>
                <w:szCs w:val="24"/>
              </w:rPr>
            </w:pPr>
            <w:r w:rsidRPr="00107046">
              <w:rPr>
                <w:rFonts w:ascii="Times New Roman" w:hAnsi="Times New Roman" w:cs="Times New Roman"/>
                <w:b/>
                <w:sz w:val="24"/>
                <w:szCs w:val="24"/>
              </w:rPr>
              <w:t>Posílená elektronizace a zvýšená bezpečnost dat veřejné správy (včetně justice)</w:t>
            </w:r>
          </w:p>
          <w:p w:rsidR="004D0FA7" w:rsidRPr="000B521F" w:rsidRDefault="004D0FA7"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 xml:space="preserve">budování datových center a infrastruktury datových sítí veřejné správy ke zvýšení spolehlivosti a výměny informací </w:t>
            </w:r>
            <w:r>
              <w:rPr>
                <w:rFonts w:ascii="Times New Roman" w:hAnsi="Times New Roman" w:cs="Times New Roman"/>
                <w:sz w:val="24"/>
                <w:szCs w:val="24"/>
              </w:rPr>
              <w:t>včetně zajištění archivace a konverze dokumentů</w:t>
            </w:r>
          </w:p>
        </w:tc>
      </w:tr>
    </w:tbl>
    <w:p w:rsidR="003A4C0C" w:rsidRPr="000B521F" w:rsidRDefault="003A4C0C" w:rsidP="0059011D">
      <w:pPr>
        <w:pStyle w:val="Tabulka"/>
        <w:spacing w:before="120" w:after="60"/>
        <w:rPr>
          <w:szCs w:val="20"/>
        </w:rPr>
      </w:pPr>
      <w:r w:rsidRPr="000B521F">
        <w:rPr>
          <w:szCs w:val="20"/>
        </w:rPr>
        <w:t>TC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371"/>
      </w:tblGrid>
      <w:tr w:rsidR="003A4C0C" w:rsidRPr="000B521F" w:rsidTr="00761093">
        <w:tc>
          <w:tcPr>
            <w:tcW w:w="1384" w:type="dxa"/>
            <w:tcBorders>
              <w:top w:val="single" w:sz="4" w:space="0" w:color="000000"/>
              <w:left w:val="single" w:sz="4" w:space="0" w:color="000000"/>
              <w:bottom w:val="single" w:sz="4" w:space="0" w:color="000000"/>
              <w:right w:val="single" w:sz="4" w:space="0" w:color="000000"/>
            </w:tcBorders>
            <w:shd w:val="clear" w:color="auto" w:fill="8DB3E2" w:themeFill="text2" w:themeFillTint="66"/>
            <w:hideMark/>
          </w:tcPr>
          <w:p w:rsidR="003A4C0C" w:rsidRPr="000B521F" w:rsidRDefault="003A4C0C" w:rsidP="00E37E1C">
            <w:p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Fond</w:t>
            </w:r>
          </w:p>
        </w:tc>
        <w:tc>
          <w:tcPr>
            <w:tcW w:w="7371" w:type="dxa"/>
            <w:tcBorders>
              <w:top w:val="single" w:sz="4" w:space="0" w:color="000000"/>
              <w:left w:val="single" w:sz="4" w:space="0" w:color="000000"/>
              <w:bottom w:val="single" w:sz="4" w:space="0" w:color="000000"/>
              <w:right w:val="single" w:sz="4" w:space="0" w:color="000000"/>
            </w:tcBorders>
            <w:shd w:val="clear" w:color="auto" w:fill="8DB3E2" w:themeFill="text2" w:themeFillTint="66"/>
            <w:hideMark/>
          </w:tcPr>
          <w:p w:rsidR="003A4C0C" w:rsidRPr="000B521F" w:rsidRDefault="003A4C0C" w:rsidP="00E37E1C">
            <w:p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Hlavní výsledky</w:t>
            </w:r>
          </w:p>
        </w:tc>
      </w:tr>
      <w:tr w:rsidR="003A4C0C" w:rsidRPr="000B521F" w:rsidTr="00761093">
        <w:tc>
          <w:tcPr>
            <w:tcW w:w="1384"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3A4C0C" w:rsidRPr="000B521F" w:rsidRDefault="003A4C0C" w:rsidP="00E37E1C">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EFRR</w:t>
            </w:r>
          </w:p>
        </w:tc>
        <w:tc>
          <w:tcPr>
            <w:tcW w:w="7371" w:type="dxa"/>
            <w:tcBorders>
              <w:top w:val="single" w:sz="4" w:space="0" w:color="000000"/>
              <w:left w:val="single" w:sz="4" w:space="0" w:color="000000"/>
              <w:bottom w:val="single" w:sz="4" w:space="0" w:color="000000"/>
              <w:right w:val="single" w:sz="4" w:space="0" w:color="000000"/>
            </w:tcBorders>
            <w:shd w:val="clear" w:color="auto" w:fill="auto"/>
            <w:hideMark/>
          </w:tcPr>
          <w:p w:rsidR="003A4C0C" w:rsidRPr="000B521F" w:rsidRDefault="003A4C0C" w:rsidP="00E37E1C">
            <w:p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Zvýšení počtu nových firem, zejména ve znalostně intenzívních oblastech</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Zvýšení počtu lidí zahajujících vlastní podnikání.</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Podstatné zlepšení kvality a rozšíření spektra specializovaných poradenských služeb jak pro začínající podnikatele, tak podporující přechod existujících firem ke znalostně intenzivnějšímu podnikání.</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 xml:space="preserve">Zvýšení </w:t>
            </w:r>
            <w:r w:rsidR="00CD136E">
              <w:rPr>
                <w:rFonts w:ascii="Times New Roman" w:hAnsi="Times New Roman" w:cs="Times New Roman"/>
                <w:sz w:val="24"/>
                <w:szCs w:val="24"/>
              </w:rPr>
              <w:t>využití finančních nástrojů, zejména</w:t>
            </w:r>
            <w:r w:rsidR="00CD136E" w:rsidRPr="000B521F">
              <w:rPr>
                <w:rFonts w:ascii="Times New Roman" w:hAnsi="Times New Roman" w:cs="Times New Roman"/>
                <w:sz w:val="24"/>
                <w:szCs w:val="24"/>
              </w:rPr>
              <w:t xml:space="preserve"> </w:t>
            </w:r>
            <w:r w:rsidRPr="000B521F">
              <w:rPr>
                <w:rFonts w:ascii="Times New Roman" w:hAnsi="Times New Roman" w:cs="Times New Roman"/>
                <w:sz w:val="24"/>
                <w:szCs w:val="24"/>
              </w:rPr>
              <w:t>zárodečného kapitálu a jiných zdrojů vnějšího financování pro počáteční fáze podnikání.</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Zvýšení netechnických kompetencí firem, zejména zvýšení kvality řízení a účinnosti strategických procesů (marketing, inovační management</w:t>
            </w:r>
            <w:r w:rsidR="00EA7965">
              <w:rPr>
                <w:rFonts w:ascii="Times New Roman" w:hAnsi="Times New Roman" w:cs="Times New Roman"/>
                <w:sz w:val="24"/>
                <w:szCs w:val="24"/>
              </w:rPr>
              <w:t>, znalost mezinárodního prostředí</w:t>
            </w:r>
            <w:r w:rsidRPr="000B521F">
              <w:rPr>
                <w:rFonts w:ascii="Times New Roman" w:hAnsi="Times New Roman" w:cs="Times New Roman"/>
                <w:sz w:val="24"/>
                <w:szCs w:val="24"/>
              </w:rPr>
              <w:t>).</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Zvýšení dostupnosti podnikatelské infrastruktury umožňující přechod k inovativní výrobě s vysokou přidanou hodnotou.</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lastRenderedPageBreak/>
              <w:t>Zlepšení image podnikání a podnikatelů ve společnosti.</w:t>
            </w:r>
          </w:p>
          <w:p w:rsidR="003A4C0C" w:rsidRPr="000B521F" w:rsidRDefault="003A4C0C" w:rsidP="00E37E1C">
            <w:pPr>
              <w:spacing w:after="0" w:line="240" w:lineRule="auto"/>
              <w:rPr>
                <w:rFonts w:ascii="Times New Roman" w:hAnsi="Times New Roman" w:cs="Times New Roman"/>
                <w:sz w:val="24"/>
                <w:szCs w:val="24"/>
              </w:rPr>
            </w:pPr>
          </w:p>
          <w:p w:rsidR="003A4C0C" w:rsidRPr="000B521F" w:rsidRDefault="003A4C0C" w:rsidP="00E37E1C">
            <w:pPr>
              <w:numPr>
                <w:ilvl w:val="0"/>
                <w:numId w:val="102"/>
              </w:num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Snížená energetická náročnost tvorby přidané hodnoty v podnikovém sektoru</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Zvýšení efektivnosti využití všech typů energetických zdrojů.</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Snížení energetické náročnosti podnikových procesů (nejen výrobních).</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Zvýšení počtu nových a zdokonalených technologií účinnější výroby, přenosu, využití a skladování energie.</w:t>
            </w:r>
          </w:p>
          <w:p w:rsidR="00596B7B" w:rsidRPr="000B521F" w:rsidRDefault="00596B7B"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Zvýšení investování podniků do eko-inovací (zejména v oblasti energetické a materiálové účinnosti a nakládání s odpady)</w:t>
            </w:r>
            <w:r w:rsidR="0089096B">
              <w:rPr>
                <w:rFonts w:ascii="Times New Roman" w:hAnsi="Times New Roman" w:cs="Times New Roman"/>
                <w:sz w:val="24"/>
                <w:szCs w:val="24"/>
              </w:rPr>
              <w:t>.</w:t>
            </w:r>
          </w:p>
          <w:p w:rsidR="008206A4" w:rsidRPr="000B521F" w:rsidRDefault="008206A4" w:rsidP="00E37E1C">
            <w:pPr>
              <w:spacing w:after="0" w:line="240" w:lineRule="auto"/>
              <w:ind w:left="1440"/>
              <w:rPr>
                <w:rFonts w:ascii="Times New Roman" w:hAnsi="Times New Roman" w:cs="Times New Roman"/>
                <w:sz w:val="24"/>
                <w:szCs w:val="24"/>
              </w:rPr>
            </w:pPr>
          </w:p>
        </w:tc>
      </w:tr>
      <w:tr w:rsidR="003A4C0C" w:rsidRPr="000B521F" w:rsidTr="00761093">
        <w:tc>
          <w:tcPr>
            <w:tcW w:w="1384"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3A4C0C" w:rsidRPr="000B521F" w:rsidRDefault="003A4C0C" w:rsidP="00E37E1C">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lastRenderedPageBreak/>
              <w:t>EZFRV</w:t>
            </w:r>
          </w:p>
        </w:tc>
        <w:tc>
          <w:tcPr>
            <w:tcW w:w="7371" w:type="dxa"/>
            <w:tcBorders>
              <w:top w:val="single" w:sz="4" w:space="0" w:color="000000"/>
              <w:left w:val="single" w:sz="4" w:space="0" w:color="000000"/>
              <w:bottom w:val="single" w:sz="4" w:space="0" w:color="000000"/>
              <w:right w:val="single" w:sz="4" w:space="0" w:color="000000"/>
            </w:tcBorders>
            <w:shd w:val="clear" w:color="auto" w:fill="auto"/>
            <w:hideMark/>
          </w:tcPr>
          <w:p w:rsidR="003A4C0C" w:rsidRPr="000B521F" w:rsidRDefault="003A4C0C" w:rsidP="00E37E1C">
            <w:pPr>
              <w:numPr>
                <w:ilvl w:val="0"/>
                <w:numId w:val="133"/>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Zintenzivnění vytváření sítí, rozvoje klastrů a aplikovaných inovací zejména prostřednictvím inteligentní specializace a dalších forem spolupráce mezi podniky ve všech sektorech národního hospodářství, tedy včetně zemědělství</w:t>
            </w:r>
            <w:r w:rsidR="00041452">
              <w:rPr>
                <w:rFonts w:ascii="Times New Roman" w:hAnsi="Times New Roman" w:cs="Times New Roman"/>
                <w:sz w:val="24"/>
                <w:szCs w:val="24"/>
              </w:rPr>
              <w:t>.</w:t>
            </w:r>
          </w:p>
          <w:p w:rsidR="003A4C0C" w:rsidRPr="000B521F" w:rsidRDefault="003A4C0C" w:rsidP="00E37E1C">
            <w:pPr>
              <w:numPr>
                <w:ilvl w:val="0"/>
                <w:numId w:val="133"/>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Zvýšení konkurenceschopnosti zemědělských, potravinářských a lesnických podniků a to díky dílčím faktorům:</w:t>
            </w:r>
          </w:p>
          <w:p w:rsidR="003A4C0C" w:rsidRPr="000B521F" w:rsidRDefault="003A4C0C" w:rsidP="00E37E1C">
            <w:pPr>
              <w:numPr>
                <w:ilvl w:val="0"/>
                <w:numId w:val="38"/>
              </w:numPr>
              <w:spacing w:after="0" w:line="240" w:lineRule="auto"/>
              <w:ind w:left="1026" w:hanging="283"/>
              <w:rPr>
                <w:rFonts w:ascii="Times New Roman" w:hAnsi="Times New Roman" w:cs="Times New Roman"/>
                <w:sz w:val="24"/>
                <w:szCs w:val="24"/>
              </w:rPr>
            </w:pPr>
            <w:r w:rsidRPr="000B521F">
              <w:rPr>
                <w:rFonts w:ascii="Times New Roman" w:hAnsi="Times New Roman" w:cs="Times New Roman"/>
                <w:sz w:val="24"/>
                <w:szCs w:val="24"/>
              </w:rPr>
              <w:t xml:space="preserve">konsolidace vlastnických vztahů k půdě prostřednictvím realizace pozemkových úprav, </w:t>
            </w:r>
          </w:p>
          <w:p w:rsidR="003A4C0C" w:rsidRPr="000B521F" w:rsidRDefault="003A4C0C" w:rsidP="00E37E1C">
            <w:pPr>
              <w:numPr>
                <w:ilvl w:val="0"/>
                <w:numId w:val="38"/>
              </w:numPr>
              <w:spacing w:after="0" w:line="240" w:lineRule="auto"/>
              <w:ind w:left="1026" w:hanging="283"/>
              <w:rPr>
                <w:rFonts w:ascii="Times New Roman" w:hAnsi="Times New Roman" w:cs="Times New Roman"/>
                <w:sz w:val="24"/>
                <w:szCs w:val="24"/>
              </w:rPr>
            </w:pPr>
            <w:r w:rsidRPr="000B521F">
              <w:rPr>
                <w:rFonts w:ascii="Times New Roman" w:hAnsi="Times New Roman" w:cs="Times New Roman"/>
                <w:sz w:val="24"/>
                <w:szCs w:val="24"/>
              </w:rPr>
              <w:t xml:space="preserve">zvýšení přidané hodnoty zemědělské produkce, </w:t>
            </w:r>
          </w:p>
          <w:p w:rsidR="003A4C0C" w:rsidRPr="000B521F" w:rsidRDefault="003A4C0C" w:rsidP="00E37E1C">
            <w:pPr>
              <w:numPr>
                <w:ilvl w:val="0"/>
                <w:numId w:val="38"/>
              </w:numPr>
              <w:spacing w:after="0" w:line="240" w:lineRule="auto"/>
              <w:ind w:left="1026" w:hanging="283"/>
              <w:rPr>
                <w:rFonts w:ascii="Times New Roman" w:hAnsi="Times New Roman" w:cs="Times New Roman"/>
                <w:sz w:val="24"/>
                <w:szCs w:val="24"/>
              </w:rPr>
            </w:pPr>
            <w:r w:rsidRPr="000B521F">
              <w:rPr>
                <w:rFonts w:ascii="Times New Roman" w:hAnsi="Times New Roman" w:cs="Times New Roman"/>
                <w:sz w:val="24"/>
                <w:szCs w:val="24"/>
              </w:rPr>
              <w:t>zvýšení účinnost výrobních faktorů (kvalitnější technologické vybavení, úspory energie apod.) a zlepšení managementu,</w:t>
            </w:r>
          </w:p>
          <w:p w:rsidR="003A4C0C" w:rsidRPr="000B521F" w:rsidRDefault="003A4C0C" w:rsidP="00E37E1C">
            <w:pPr>
              <w:numPr>
                <w:ilvl w:val="0"/>
                <w:numId w:val="38"/>
              </w:numPr>
              <w:spacing w:after="0" w:line="240" w:lineRule="auto"/>
              <w:ind w:left="1026" w:hanging="283"/>
              <w:rPr>
                <w:rFonts w:ascii="Times New Roman" w:hAnsi="Times New Roman" w:cs="Times New Roman"/>
                <w:sz w:val="24"/>
                <w:szCs w:val="24"/>
              </w:rPr>
            </w:pPr>
            <w:r w:rsidRPr="000B521F">
              <w:rPr>
                <w:rFonts w:ascii="Times New Roman" w:hAnsi="Times New Roman" w:cs="Times New Roman"/>
                <w:sz w:val="24"/>
                <w:szCs w:val="24"/>
              </w:rPr>
              <w:t>zlepšení organizace trhu a posílení orientace na jakost, inovace, transfer nejnovějších poznatků do praxe,</w:t>
            </w:r>
          </w:p>
          <w:p w:rsidR="003A4C0C" w:rsidRPr="000B521F" w:rsidRDefault="003A4C0C" w:rsidP="00E37E1C">
            <w:pPr>
              <w:numPr>
                <w:ilvl w:val="0"/>
                <w:numId w:val="38"/>
              </w:numPr>
              <w:spacing w:after="0" w:line="240" w:lineRule="auto"/>
              <w:ind w:left="1026" w:hanging="283"/>
              <w:rPr>
                <w:rFonts w:ascii="Times New Roman" w:hAnsi="Times New Roman" w:cs="Times New Roman"/>
                <w:sz w:val="24"/>
                <w:szCs w:val="24"/>
              </w:rPr>
            </w:pPr>
            <w:r w:rsidRPr="000B521F">
              <w:rPr>
                <w:rFonts w:ascii="Times New Roman" w:hAnsi="Times New Roman" w:cs="Times New Roman"/>
                <w:sz w:val="24"/>
                <w:szCs w:val="24"/>
              </w:rPr>
              <w:t>spolupráce v inovativních projektech.</w:t>
            </w:r>
          </w:p>
          <w:p w:rsidR="003A4C0C" w:rsidRPr="000B521F" w:rsidRDefault="003A4C0C" w:rsidP="00E37E1C">
            <w:pPr>
              <w:numPr>
                <w:ilvl w:val="0"/>
                <w:numId w:val="133"/>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Zastavení nepříznivého vývoje věkové struktury zejména vedoucích pracovníků v zemědělství.</w:t>
            </w:r>
          </w:p>
        </w:tc>
      </w:tr>
      <w:tr w:rsidR="003A4C0C" w:rsidRPr="000B521F" w:rsidTr="00761093">
        <w:tc>
          <w:tcPr>
            <w:tcW w:w="1384"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3A4C0C" w:rsidRPr="000B521F" w:rsidRDefault="003A4C0C" w:rsidP="00E37E1C">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ENRF</w:t>
            </w:r>
          </w:p>
        </w:tc>
        <w:tc>
          <w:tcPr>
            <w:tcW w:w="7371" w:type="dxa"/>
            <w:tcBorders>
              <w:top w:val="single" w:sz="4" w:space="0" w:color="000000"/>
              <w:left w:val="single" w:sz="4" w:space="0" w:color="000000"/>
              <w:bottom w:val="single" w:sz="4" w:space="0" w:color="000000"/>
              <w:right w:val="single" w:sz="4" w:space="0" w:color="000000"/>
            </w:tcBorders>
            <w:shd w:val="clear" w:color="auto" w:fill="auto"/>
            <w:hideMark/>
          </w:tcPr>
          <w:p w:rsidR="003A4C0C" w:rsidRPr="000B521F" w:rsidRDefault="003A4C0C" w:rsidP="00E37E1C">
            <w:pPr>
              <w:numPr>
                <w:ilvl w:val="0"/>
                <w:numId w:val="102"/>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Zlepšené řízení a vyšší účinnost strategických procesů (řízení, marketing, inovační management) podpořených firem.</w:t>
            </w:r>
          </w:p>
          <w:p w:rsidR="003A4C0C" w:rsidRPr="000B521F" w:rsidRDefault="003A4C0C" w:rsidP="00E37E1C">
            <w:pPr>
              <w:numPr>
                <w:ilvl w:val="0"/>
                <w:numId w:val="102"/>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Vyšší konkurenceschopnost akvakultury.</w:t>
            </w:r>
          </w:p>
        </w:tc>
      </w:tr>
    </w:tbl>
    <w:p w:rsidR="003A4C0C" w:rsidRPr="000B521F" w:rsidRDefault="003A4C0C" w:rsidP="0059011D">
      <w:pPr>
        <w:pStyle w:val="Tabulka"/>
        <w:spacing w:before="120" w:after="60"/>
        <w:rPr>
          <w:szCs w:val="20"/>
        </w:rPr>
      </w:pPr>
      <w:r w:rsidRPr="000B521F">
        <w:rPr>
          <w:szCs w:val="20"/>
        </w:rPr>
        <w:t>TC4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371"/>
      </w:tblGrid>
      <w:tr w:rsidR="003A4C0C" w:rsidRPr="000B521F" w:rsidTr="00761093">
        <w:tc>
          <w:tcPr>
            <w:tcW w:w="1384" w:type="dxa"/>
            <w:tcBorders>
              <w:top w:val="single" w:sz="4" w:space="0" w:color="000000"/>
              <w:left w:val="single" w:sz="4" w:space="0" w:color="000000"/>
              <w:bottom w:val="single" w:sz="4" w:space="0" w:color="000000"/>
              <w:right w:val="single" w:sz="4" w:space="0" w:color="000000"/>
            </w:tcBorders>
            <w:shd w:val="clear" w:color="auto" w:fill="8DB3E2" w:themeFill="text2" w:themeFillTint="66"/>
            <w:hideMark/>
          </w:tcPr>
          <w:p w:rsidR="003A4C0C" w:rsidRPr="000B521F" w:rsidRDefault="003A4C0C" w:rsidP="00E37E1C">
            <w:p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Fond</w:t>
            </w:r>
          </w:p>
        </w:tc>
        <w:tc>
          <w:tcPr>
            <w:tcW w:w="7371" w:type="dxa"/>
            <w:tcBorders>
              <w:top w:val="single" w:sz="4" w:space="0" w:color="000000"/>
              <w:left w:val="single" w:sz="4" w:space="0" w:color="000000"/>
              <w:bottom w:val="single" w:sz="4" w:space="0" w:color="000000"/>
              <w:right w:val="single" w:sz="4" w:space="0" w:color="000000"/>
            </w:tcBorders>
            <w:shd w:val="clear" w:color="auto" w:fill="8DB3E2" w:themeFill="text2" w:themeFillTint="66"/>
            <w:hideMark/>
          </w:tcPr>
          <w:p w:rsidR="003A4C0C" w:rsidRPr="000B521F" w:rsidRDefault="003A4C0C" w:rsidP="00E37E1C">
            <w:p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Hlavní výsledky</w:t>
            </w:r>
          </w:p>
        </w:tc>
      </w:tr>
      <w:tr w:rsidR="003A4C0C" w:rsidRPr="000B521F" w:rsidTr="00761093">
        <w:tc>
          <w:tcPr>
            <w:tcW w:w="1384"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3A4C0C" w:rsidRPr="000B521F" w:rsidRDefault="003A4C0C" w:rsidP="00E37E1C">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EFRR</w:t>
            </w:r>
          </w:p>
        </w:tc>
        <w:tc>
          <w:tcPr>
            <w:tcW w:w="7371" w:type="dxa"/>
            <w:tcBorders>
              <w:top w:val="single" w:sz="4" w:space="0" w:color="000000"/>
              <w:left w:val="single" w:sz="4" w:space="0" w:color="000000"/>
              <w:bottom w:val="single" w:sz="4" w:space="0" w:color="000000"/>
              <w:right w:val="single" w:sz="4" w:space="0" w:color="000000"/>
            </w:tcBorders>
            <w:shd w:val="clear" w:color="auto" w:fill="auto"/>
            <w:hideMark/>
          </w:tcPr>
          <w:p w:rsidR="003A4C0C" w:rsidRPr="000B521F" w:rsidRDefault="003A4C0C" w:rsidP="00E37E1C">
            <w:pPr>
              <w:numPr>
                <w:ilvl w:val="0"/>
                <w:numId w:val="102"/>
              </w:num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 xml:space="preserve"> Posun směrem k nízkouhlíkovému hospodářství</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Zvýšení podílu produkce/spotřeby energie z obnovitelných zdrojů.</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 xml:space="preserve">Snížení energetické náročnosti budov (zahrnující sektor bydlení, veřejné a komerční budovy). </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Snížení energetické náročnosti resp. zvýšení energetické účinnosti výrobních a technologických procesů zejména v průmyslu, případně ve službách.</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Modernizace energetických přenosových a distribučních sítí s důrazem na elektroenergetiku včetně podpory rozvoje inteligentních sítí (smartgrids).</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Modernizace systémů centralizovaného zásobování tepelnou energií, modernizace a rozvoj zdrojů kombinované výroby elektřiny a tepla.</w:t>
            </w:r>
          </w:p>
        </w:tc>
      </w:tr>
      <w:tr w:rsidR="003A4C0C" w:rsidRPr="000B521F" w:rsidTr="00761093">
        <w:tc>
          <w:tcPr>
            <w:tcW w:w="1384"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3A4C0C" w:rsidRPr="000B521F" w:rsidRDefault="003A4C0C" w:rsidP="00E37E1C">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lastRenderedPageBreak/>
              <w:t>FS</w:t>
            </w:r>
          </w:p>
        </w:tc>
        <w:tc>
          <w:tcPr>
            <w:tcW w:w="7371" w:type="dxa"/>
            <w:tcBorders>
              <w:top w:val="single" w:sz="4" w:space="0" w:color="000000"/>
              <w:left w:val="single" w:sz="4" w:space="0" w:color="000000"/>
              <w:bottom w:val="single" w:sz="4" w:space="0" w:color="000000"/>
              <w:right w:val="single" w:sz="4" w:space="0" w:color="000000"/>
            </w:tcBorders>
            <w:shd w:val="clear" w:color="auto" w:fill="auto"/>
            <w:hideMark/>
          </w:tcPr>
          <w:p w:rsidR="003A4C0C" w:rsidRPr="000B521F" w:rsidRDefault="003A4C0C" w:rsidP="00E37E1C">
            <w:pPr>
              <w:numPr>
                <w:ilvl w:val="0"/>
                <w:numId w:val="102"/>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Snížení energetické náročnosti budov (zahrnující sektor bydlení, veřejné a komerční budovy).</w:t>
            </w:r>
          </w:p>
        </w:tc>
      </w:tr>
      <w:tr w:rsidR="003A4C0C" w:rsidRPr="000B521F" w:rsidTr="00761093">
        <w:tc>
          <w:tcPr>
            <w:tcW w:w="1384"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3A4C0C" w:rsidRPr="000B521F" w:rsidRDefault="003A4C0C" w:rsidP="00E37E1C">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EZFRV</w:t>
            </w:r>
          </w:p>
        </w:tc>
        <w:tc>
          <w:tcPr>
            <w:tcW w:w="7371" w:type="dxa"/>
            <w:tcBorders>
              <w:top w:val="single" w:sz="4" w:space="0" w:color="000000"/>
              <w:left w:val="single" w:sz="4" w:space="0" w:color="000000"/>
              <w:bottom w:val="single" w:sz="4" w:space="0" w:color="000000"/>
              <w:right w:val="single" w:sz="4" w:space="0" w:color="000000"/>
            </w:tcBorders>
            <w:shd w:val="clear" w:color="auto" w:fill="auto"/>
            <w:hideMark/>
          </w:tcPr>
          <w:p w:rsidR="003A4C0C" w:rsidRPr="000B521F" w:rsidRDefault="003A4C0C" w:rsidP="00E37E1C">
            <w:pPr>
              <w:numPr>
                <w:ilvl w:val="0"/>
                <w:numId w:val="102"/>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Zvýšení podílu produkce/spotřeby energie z obnovitelných zdrojů.</w:t>
            </w:r>
          </w:p>
          <w:p w:rsidR="003A4C0C" w:rsidRPr="000B521F" w:rsidRDefault="003A4C0C" w:rsidP="00E37E1C">
            <w:pPr>
              <w:numPr>
                <w:ilvl w:val="0"/>
                <w:numId w:val="102"/>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Snížení energetické náročnosti resp. zvýšení energetické účinnosti výrobních a technologických procesů v</w:t>
            </w:r>
            <w:r w:rsidR="00041452">
              <w:rPr>
                <w:rFonts w:ascii="Times New Roman" w:hAnsi="Times New Roman" w:cs="Times New Roman"/>
                <w:sz w:val="24"/>
                <w:szCs w:val="24"/>
              </w:rPr>
              <w:t> </w:t>
            </w:r>
            <w:r w:rsidRPr="000B521F">
              <w:rPr>
                <w:rFonts w:ascii="Times New Roman" w:hAnsi="Times New Roman" w:cs="Times New Roman"/>
                <w:sz w:val="24"/>
                <w:szCs w:val="24"/>
              </w:rPr>
              <w:t>zemědělství</w:t>
            </w:r>
            <w:r w:rsidR="00041452">
              <w:rPr>
                <w:rFonts w:ascii="Times New Roman" w:hAnsi="Times New Roman" w:cs="Times New Roman"/>
                <w:sz w:val="24"/>
                <w:szCs w:val="24"/>
              </w:rPr>
              <w:t xml:space="preserve"> (částečně jako vedlejší efekt podpory konkurenceschopnosti podniků)</w:t>
            </w:r>
            <w:r w:rsidR="00041452" w:rsidRPr="003A4C0C">
              <w:rPr>
                <w:rFonts w:ascii="Times New Roman" w:hAnsi="Times New Roman" w:cs="Times New Roman"/>
                <w:sz w:val="24"/>
                <w:szCs w:val="24"/>
              </w:rPr>
              <w:t>.</w:t>
            </w:r>
          </w:p>
          <w:p w:rsidR="003A4C0C" w:rsidRPr="000B521F" w:rsidRDefault="003A4C0C" w:rsidP="00E37E1C">
            <w:pPr>
              <w:numPr>
                <w:ilvl w:val="0"/>
                <w:numId w:val="102"/>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Zlepšení pohlcování uhlíku v zemědělství a lesnictví.</w:t>
            </w:r>
          </w:p>
        </w:tc>
      </w:tr>
    </w:tbl>
    <w:p w:rsidR="003A4C0C" w:rsidRPr="000B521F" w:rsidRDefault="003A4C0C" w:rsidP="0059011D">
      <w:pPr>
        <w:pStyle w:val="Tabulka"/>
        <w:spacing w:before="120" w:after="60"/>
        <w:rPr>
          <w:szCs w:val="20"/>
        </w:rPr>
      </w:pPr>
      <w:r w:rsidRPr="000B521F">
        <w:rPr>
          <w:szCs w:val="20"/>
        </w:rPr>
        <w:t>TC5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371"/>
      </w:tblGrid>
      <w:tr w:rsidR="003A4C0C" w:rsidRPr="000B521F" w:rsidTr="00761093">
        <w:tc>
          <w:tcPr>
            <w:tcW w:w="1384" w:type="dxa"/>
            <w:tcBorders>
              <w:top w:val="single" w:sz="4" w:space="0" w:color="000000"/>
              <w:left w:val="single" w:sz="4" w:space="0" w:color="000000"/>
              <w:bottom w:val="single" w:sz="4" w:space="0" w:color="000000"/>
              <w:right w:val="single" w:sz="4" w:space="0" w:color="000000"/>
            </w:tcBorders>
            <w:shd w:val="clear" w:color="auto" w:fill="8DB3E2" w:themeFill="text2" w:themeFillTint="66"/>
            <w:hideMark/>
          </w:tcPr>
          <w:p w:rsidR="003A4C0C" w:rsidRPr="000B521F" w:rsidRDefault="003A4C0C" w:rsidP="00E37E1C">
            <w:p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Fond</w:t>
            </w:r>
          </w:p>
        </w:tc>
        <w:tc>
          <w:tcPr>
            <w:tcW w:w="7371" w:type="dxa"/>
            <w:tcBorders>
              <w:top w:val="single" w:sz="4" w:space="0" w:color="000000"/>
              <w:left w:val="single" w:sz="4" w:space="0" w:color="000000"/>
              <w:bottom w:val="single" w:sz="4" w:space="0" w:color="000000"/>
              <w:right w:val="single" w:sz="4" w:space="0" w:color="000000"/>
            </w:tcBorders>
            <w:shd w:val="clear" w:color="auto" w:fill="8DB3E2" w:themeFill="text2" w:themeFillTint="66"/>
            <w:hideMark/>
          </w:tcPr>
          <w:p w:rsidR="003A4C0C" w:rsidRPr="000B521F" w:rsidRDefault="003A4C0C" w:rsidP="00E37E1C">
            <w:p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Hlavní výsledky</w:t>
            </w:r>
          </w:p>
        </w:tc>
      </w:tr>
      <w:tr w:rsidR="003A4C0C" w:rsidRPr="000B521F" w:rsidTr="00761093">
        <w:tc>
          <w:tcPr>
            <w:tcW w:w="1384"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3A4C0C" w:rsidRPr="000B521F" w:rsidRDefault="003A4C0C" w:rsidP="00E37E1C">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EFRR</w:t>
            </w:r>
          </w:p>
        </w:tc>
        <w:tc>
          <w:tcPr>
            <w:tcW w:w="7371" w:type="dxa"/>
            <w:tcBorders>
              <w:top w:val="single" w:sz="4" w:space="0" w:color="000000"/>
              <w:left w:val="single" w:sz="4" w:space="0" w:color="000000"/>
              <w:bottom w:val="single" w:sz="4" w:space="0" w:color="000000"/>
              <w:right w:val="single" w:sz="4" w:space="0" w:color="000000"/>
            </w:tcBorders>
            <w:shd w:val="clear" w:color="auto" w:fill="auto"/>
            <w:hideMark/>
          </w:tcPr>
          <w:p w:rsidR="003A4C0C" w:rsidRPr="000B521F" w:rsidRDefault="003A4C0C" w:rsidP="00E37E1C">
            <w:pPr>
              <w:numPr>
                <w:ilvl w:val="0"/>
                <w:numId w:val="46"/>
              </w:num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Zlepšená prevence a snížená ekologická rizika</w:t>
            </w:r>
          </w:p>
          <w:p w:rsidR="003A4C0C" w:rsidRPr="004D0FA7" w:rsidRDefault="003A4C0C" w:rsidP="00E37E1C">
            <w:pPr>
              <w:numPr>
                <w:ilvl w:val="1"/>
                <w:numId w:val="46"/>
              </w:numPr>
              <w:spacing w:after="0" w:line="240" w:lineRule="auto"/>
              <w:rPr>
                <w:rFonts w:ascii="Times New Roman" w:hAnsi="Times New Roman" w:cs="Times New Roman"/>
                <w:b/>
                <w:sz w:val="24"/>
                <w:szCs w:val="24"/>
              </w:rPr>
            </w:pPr>
            <w:r w:rsidRPr="000B521F">
              <w:rPr>
                <w:rFonts w:ascii="Times New Roman" w:hAnsi="Times New Roman" w:cs="Times New Roman"/>
                <w:sz w:val="24"/>
                <w:szCs w:val="24"/>
              </w:rPr>
              <w:t>Snížení environmentálních rizik a rozvíjení systémů jejich řízení.</w:t>
            </w:r>
          </w:p>
          <w:p w:rsidR="00F3719F" w:rsidRDefault="00853783" w:rsidP="00E37E1C">
            <w:pPr>
              <w:numPr>
                <w:ilvl w:val="0"/>
                <w:numId w:val="46"/>
              </w:numPr>
              <w:spacing w:after="0" w:line="240" w:lineRule="auto"/>
              <w:rPr>
                <w:rFonts w:ascii="Times New Roman" w:hAnsi="Times New Roman" w:cs="Times New Roman"/>
                <w:b/>
                <w:sz w:val="24"/>
                <w:szCs w:val="24"/>
              </w:rPr>
            </w:pPr>
            <w:r w:rsidRPr="003A4C0C">
              <w:rPr>
                <w:rFonts w:ascii="Times New Roman" w:hAnsi="Times New Roman" w:cs="Times New Roman"/>
                <w:b/>
                <w:sz w:val="24"/>
                <w:szCs w:val="24"/>
              </w:rPr>
              <w:t>Zvýšená efektivita a účinnost veřejné správy (včetně justice a IZS)</w:t>
            </w:r>
          </w:p>
          <w:p w:rsidR="00853783" w:rsidRPr="00E37E1C" w:rsidRDefault="00853783" w:rsidP="00E37E1C">
            <w:pPr>
              <w:numPr>
                <w:ilvl w:val="1"/>
                <w:numId w:val="46"/>
              </w:numPr>
              <w:spacing w:after="0" w:line="240" w:lineRule="auto"/>
              <w:rPr>
                <w:rFonts w:ascii="Times New Roman" w:hAnsi="Times New Roman" w:cs="Times New Roman"/>
                <w:sz w:val="24"/>
                <w:szCs w:val="24"/>
              </w:rPr>
            </w:pPr>
            <w:r>
              <w:rPr>
                <w:rFonts w:ascii="Times New Roman" w:hAnsi="Times New Roman" w:cs="Times New Roman"/>
                <w:sz w:val="24"/>
                <w:szCs w:val="24"/>
              </w:rPr>
              <w:t>Z</w:t>
            </w:r>
            <w:r w:rsidRPr="000B521F">
              <w:rPr>
                <w:rFonts w:ascii="Times New Roman" w:hAnsi="Times New Roman" w:cs="Times New Roman"/>
                <w:sz w:val="24"/>
                <w:szCs w:val="24"/>
              </w:rPr>
              <w:t>lepšení vybavenosti, připravenosti a vhodné  dislokace slož</w:t>
            </w:r>
            <w:r>
              <w:rPr>
                <w:rFonts w:ascii="Times New Roman" w:hAnsi="Times New Roman" w:cs="Times New Roman"/>
                <w:sz w:val="24"/>
                <w:szCs w:val="24"/>
              </w:rPr>
              <w:t>ek</w:t>
            </w:r>
            <w:r w:rsidRPr="000B521F">
              <w:rPr>
                <w:rFonts w:ascii="Times New Roman" w:hAnsi="Times New Roman" w:cs="Times New Roman"/>
                <w:sz w:val="24"/>
                <w:szCs w:val="24"/>
              </w:rPr>
              <w:t xml:space="preserve"> IZS pro zajištění  j</w:t>
            </w:r>
            <w:r>
              <w:rPr>
                <w:rFonts w:ascii="Times New Roman" w:hAnsi="Times New Roman" w:cs="Times New Roman"/>
                <w:sz w:val="24"/>
                <w:szCs w:val="24"/>
              </w:rPr>
              <w:t>ejich</w:t>
            </w:r>
            <w:r w:rsidRPr="000B521F">
              <w:rPr>
                <w:rFonts w:ascii="Times New Roman" w:hAnsi="Times New Roman" w:cs="Times New Roman"/>
                <w:sz w:val="24"/>
                <w:szCs w:val="24"/>
              </w:rPr>
              <w:t xml:space="preserve"> vyšší spolehlivosti při vzniku mimořádných událostí</w:t>
            </w:r>
            <w:r>
              <w:rPr>
                <w:rFonts w:ascii="Times New Roman" w:hAnsi="Times New Roman" w:cs="Times New Roman"/>
                <w:sz w:val="24"/>
                <w:szCs w:val="24"/>
              </w:rPr>
              <w:t xml:space="preserve"> způsobených změnou klimatu</w:t>
            </w:r>
            <w:r w:rsidRPr="000B521F">
              <w:rPr>
                <w:rFonts w:ascii="Times New Roman" w:hAnsi="Times New Roman" w:cs="Times New Roman"/>
                <w:sz w:val="24"/>
                <w:szCs w:val="24"/>
              </w:rPr>
              <w:t xml:space="preserve"> (rozvoj efektivních komunikačních prostředků včetně jeho infrastruktury a připraveností veřejné správy jako celku s důrazem na složky IZS).</w:t>
            </w:r>
          </w:p>
        </w:tc>
      </w:tr>
      <w:tr w:rsidR="003A4C0C" w:rsidRPr="000B521F" w:rsidTr="00761093">
        <w:tc>
          <w:tcPr>
            <w:tcW w:w="138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3A4C0C" w:rsidRPr="000B521F" w:rsidRDefault="003A4C0C" w:rsidP="00E37E1C">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FS</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3A4C0C" w:rsidRPr="000B521F" w:rsidRDefault="003A4C0C" w:rsidP="00E37E1C">
            <w:pPr>
              <w:numPr>
                <w:ilvl w:val="0"/>
                <w:numId w:val="46"/>
              </w:num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Zlepšená prevence a snížená ekologická rizika</w:t>
            </w:r>
          </w:p>
          <w:p w:rsidR="003A4C0C"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Odstraňování a inventarizace ekologických zátěží.</w:t>
            </w:r>
          </w:p>
          <w:p w:rsidR="00041452" w:rsidRPr="000B521F" w:rsidRDefault="00041452" w:rsidP="00E37E1C">
            <w:pPr>
              <w:numPr>
                <w:ilvl w:val="0"/>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Zajištěná protipovodňová ochran a založená především na zvýšení retenční schopnosti krajiny a zpomalování přírodního odtoku vody a to i v sektoru zemědělství a akvakultury jako hlavního faktoru vzniku povodní, dále pak realizovaná další protipovodňová opatření včetně technických.</w:t>
            </w:r>
          </w:p>
          <w:p w:rsidR="00F3719F" w:rsidRDefault="00F3719F" w:rsidP="00E37E1C">
            <w:pPr>
              <w:spacing w:after="0" w:line="240" w:lineRule="auto"/>
              <w:ind w:left="1440"/>
              <w:rPr>
                <w:rFonts w:ascii="Times New Roman" w:hAnsi="Times New Roman" w:cs="Times New Roman"/>
                <w:sz w:val="24"/>
                <w:szCs w:val="24"/>
              </w:rPr>
            </w:pPr>
          </w:p>
        </w:tc>
      </w:tr>
      <w:tr w:rsidR="00041452" w:rsidRPr="003A4C0C" w:rsidTr="000414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38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041452" w:rsidRPr="003A4C0C" w:rsidRDefault="00041452" w:rsidP="00E37E1C">
            <w:pPr>
              <w:spacing w:after="0" w:line="240" w:lineRule="auto"/>
              <w:rPr>
                <w:rFonts w:ascii="Times New Roman" w:hAnsi="Times New Roman" w:cs="Times New Roman"/>
                <w:sz w:val="24"/>
                <w:szCs w:val="24"/>
              </w:rPr>
            </w:pPr>
            <w:r>
              <w:rPr>
                <w:rFonts w:ascii="Times New Roman" w:hAnsi="Times New Roman" w:cs="Times New Roman"/>
                <w:sz w:val="24"/>
                <w:szCs w:val="24"/>
              </w:rPr>
              <w:t>EZFRV</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041452" w:rsidRPr="00041452" w:rsidRDefault="00041452" w:rsidP="00E37E1C">
            <w:pPr>
              <w:numPr>
                <w:ilvl w:val="0"/>
                <w:numId w:val="102"/>
              </w:numPr>
              <w:spacing w:after="0" w:line="240" w:lineRule="auto"/>
              <w:jc w:val="both"/>
              <w:rPr>
                <w:rFonts w:ascii="Times New Roman" w:hAnsi="Times New Roman" w:cs="Times New Roman"/>
                <w:sz w:val="24"/>
                <w:szCs w:val="24"/>
              </w:rPr>
            </w:pPr>
            <w:r w:rsidRPr="00041452">
              <w:rPr>
                <w:rFonts w:ascii="Times New Roman" w:hAnsi="Times New Roman" w:cs="Times New Roman"/>
                <w:sz w:val="24"/>
                <w:szCs w:val="24"/>
              </w:rPr>
              <w:t>Adaptace zemědělství a lesnictví na očekávané klimatické jevy.</w:t>
            </w:r>
          </w:p>
          <w:p w:rsidR="00041452" w:rsidRPr="00041452" w:rsidRDefault="00041452" w:rsidP="00E37E1C">
            <w:pPr>
              <w:numPr>
                <w:ilvl w:val="0"/>
                <w:numId w:val="102"/>
              </w:numPr>
              <w:spacing w:after="0" w:line="240" w:lineRule="auto"/>
              <w:jc w:val="both"/>
              <w:rPr>
                <w:rFonts w:ascii="Times New Roman" w:hAnsi="Times New Roman" w:cs="Times New Roman"/>
                <w:sz w:val="24"/>
                <w:szCs w:val="24"/>
              </w:rPr>
            </w:pPr>
            <w:r w:rsidRPr="00041452">
              <w:rPr>
                <w:rFonts w:ascii="Times New Roman" w:hAnsi="Times New Roman" w:cs="Times New Roman"/>
                <w:sz w:val="24"/>
                <w:szCs w:val="24"/>
              </w:rPr>
              <w:t>Zvyšování potenciálu zemědělských a lesních ekosystémů minimalizovat negativní dopady klimatické změny.</w:t>
            </w:r>
          </w:p>
          <w:p w:rsidR="00041452" w:rsidRPr="00041452" w:rsidRDefault="00041452" w:rsidP="00E37E1C">
            <w:pPr>
              <w:pStyle w:val="Odstavecseseznamem"/>
              <w:numPr>
                <w:ilvl w:val="0"/>
                <w:numId w:val="102"/>
              </w:numPr>
              <w:spacing w:after="0" w:line="240" w:lineRule="auto"/>
              <w:rPr>
                <w:rFonts w:ascii="Times New Roman" w:hAnsi="Times New Roman" w:cs="Times New Roman"/>
                <w:b/>
                <w:sz w:val="24"/>
                <w:szCs w:val="24"/>
              </w:rPr>
            </w:pPr>
            <w:r w:rsidRPr="00041452">
              <w:rPr>
                <w:rFonts w:ascii="Times New Roman" w:hAnsi="Times New Roman" w:cs="Times New Roman"/>
                <w:sz w:val="24"/>
                <w:szCs w:val="24"/>
              </w:rPr>
              <w:t>Zajištěná protipovodňová ochrana založená především na zvýšení retenční schopnosti krajiny a zpomalování přírodního odtoku vody související s lepším hospodaření s vodou v zemědělství a lesnictví.</w:t>
            </w:r>
          </w:p>
        </w:tc>
      </w:tr>
    </w:tbl>
    <w:p w:rsidR="00041452" w:rsidRDefault="00041452" w:rsidP="0059011D">
      <w:pPr>
        <w:pStyle w:val="Tabulka"/>
        <w:spacing w:before="120" w:after="60"/>
        <w:rPr>
          <w:szCs w:val="20"/>
        </w:rPr>
      </w:pPr>
    </w:p>
    <w:p w:rsidR="003A4C0C" w:rsidRPr="000B521F" w:rsidRDefault="003A4C0C" w:rsidP="0059011D">
      <w:pPr>
        <w:pStyle w:val="Tabulka"/>
        <w:spacing w:before="120" w:after="60"/>
        <w:rPr>
          <w:szCs w:val="20"/>
        </w:rPr>
      </w:pPr>
      <w:r w:rsidRPr="000B521F">
        <w:rPr>
          <w:szCs w:val="20"/>
        </w:rPr>
        <w:t>TC6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371"/>
      </w:tblGrid>
      <w:tr w:rsidR="003A4C0C" w:rsidRPr="000B521F" w:rsidTr="00761093">
        <w:tc>
          <w:tcPr>
            <w:tcW w:w="1384" w:type="dxa"/>
            <w:tcBorders>
              <w:top w:val="single" w:sz="4" w:space="0" w:color="000000"/>
              <w:left w:val="single" w:sz="4" w:space="0" w:color="000000"/>
              <w:bottom w:val="single" w:sz="4" w:space="0" w:color="000000"/>
              <w:right w:val="single" w:sz="4" w:space="0" w:color="000000"/>
            </w:tcBorders>
            <w:shd w:val="clear" w:color="auto" w:fill="8DB3E2" w:themeFill="text2" w:themeFillTint="66"/>
            <w:hideMark/>
          </w:tcPr>
          <w:p w:rsidR="003A4C0C" w:rsidRPr="000B521F" w:rsidRDefault="003A4C0C" w:rsidP="00E37E1C">
            <w:p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Fond</w:t>
            </w:r>
          </w:p>
        </w:tc>
        <w:tc>
          <w:tcPr>
            <w:tcW w:w="7371" w:type="dxa"/>
            <w:tcBorders>
              <w:top w:val="single" w:sz="4" w:space="0" w:color="000000"/>
              <w:left w:val="single" w:sz="4" w:space="0" w:color="000000"/>
              <w:bottom w:val="single" w:sz="4" w:space="0" w:color="000000"/>
              <w:right w:val="single" w:sz="4" w:space="0" w:color="000000"/>
            </w:tcBorders>
            <w:shd w:val="clear" w:color="auto" w:fill="8DB3E2" w:themeFill="text2" w:themeFillTint="66"/>
            <w:hideMark/>
          </w:tcPr>
          <w:p w:rsidR="003A4C0C" w:rsidRPr="000B521F" w:rsidRDefault="003A4C0C" w:rsidP="00E37E1C">
            <w:p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Hlavní výsledky</w:t>
            </w:r>
          </w:p>
        </w:tc>
      </w:tr>
      <w:tr w:rsidR="003A4C0C" w:rsidRPr="000B521F" w:rsidTr="00761093">
        <w:tc>
          <w:tcPr>
            <w:tcW w:w="1384"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3A4C0C" w:rsidRPr="000B521F" w:rsidRDefault="003A4C0C" w:rsidP="00E37E1C">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EFRR</w:t>
            </w:r>
          </w:p>
        </w:tc>
        <w:tc>
          <w:tcPr>
            <w:tcW w:w="7371" w:type="dxa"/>
            <w:tcBorders>
              <w:top w:val="single" w:sz="4" w:space="0" w:color="000000"/>
              <w:left w:val="single" w:sz="4" w:space="0" w:color="000000"/>
              <w:bottom w:val="single" w:sz="4" w:space="0" w:color="000000"/>
              <w:right w:val="single" w:sz="4" w:space="0" w:color="000000"/>
            </w:tcBorders>
            <w:shd w:val="clear" w:color="auto" w:fill="auto"/>
            <w:hideMark/>
          </w:tcPr>
          <w:p w:rsidR="003A4C0C" w:rsidRPr="000B521F" w:rsidRDefault="003A4C0C" w:rsidP="00E37E1C">
            <w:pPr>
              <w:numPr>
                <w:ilvl w:val="0"/>
                <w:numId w:val="102"/>
              </w:num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Zvýšená efektivita ochrany životního prostředí a efektivní využívání zdrojů</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Zvýšení ochrany přírody a krajiny posilováním její ekologické stability pomocí posilování biodiverzity, snižování fragmentace krajiny a realizace vhodných opatření v oblasti zemědělství</w:t>
            </w:r>
            <w:r w:rsidR="0028222B" w:rsidRPr="000B521F">
              <w:rPr>
                <w:rFonts w:ascii="Times New Roman" w:hAnsi="Times New Roman" w:cs="Times New Roman"/>
                <w:sz w:val="24"/>
                <w:szCs w:val="24"/>
              </w:rPr>
              <w:t>, lesnictví</w:t>
            </w:r>
            <w:r w:rsidRPr="000B521F">
              <w:rPr>
                <w:rFonts w:ascii="Times New Roman" w:hAnsi="Times New Roman" w:cs="Times New Roman"/>
                <w:sz w:val="24"/>
                <w:szCs w:val="24"/>
              </w:rPr>
              <w:t xml:space="preserve"> a akvakultury.</w:t>
            </w:r>
          </w:p>
          <w:p w:rsidR="008206A4" w:rsidRPr="000B521F" w:rsidRDefault="00D97195" w:rsidP="00E37E1C">
            <w:pPr>
              <w:numPr>
                <w:ilvl w:val="0"/>
                <w:numId w:val="102"/>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Zkvalitnění a modernizace veřejné infrastruktury cestovního ruchu, zefektivnění prezentace kulturních hodnot a přírodního dědictví a posílení jeho ochrany a rozvoje prostřednictvím investic do vhodného využití</w:t>
            </w:r>
            <w:r w:rsidR="0089096B">
              <w:rPr>
                <w:rFonts w:ascii="Times New Roman" w:hAnsi="Times New Roman" w:cs="Times New Roman"/>
                <w:sz w:val="24"/>
                <w:szCs w:val="24"/>
              </w:rPr>
              <w:t>.</w:t>
            </w:r>
          </w:p>
          <w:p w:rsidR="008206A4" w:rsidRPr="000B521F" w:rsidRDefault="008206A4" w:rsidP="00E37E1C">
            <w:pPr>
              <w:spacing w:after="0" w:line="240" w:lineRule="auto"/>
              <w:ind w:left="720"/>
              <w:rPr>
                <w:rFonts w:ascii="Times New Roman" w:hAnsi="Times New Roman" w:cs="Times New Roman"/>
                <w:sz w:val="24"/>
                <w:szCs w:val="24"/>
              </w:rPr>
            </w:pPr>
          </w:p>
        </w:tc>
      </w:tr>
      <w:tr w:rsidR="003A4C0C" w:rsidRPr="000B521F" w:rsidTr="00761093">
        <w:tc>
          <w:tcPr>
            <w:tcW w:w="1384"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3A4C0C" w:rsidRPr="000B521F" w:rsidRDefault="003A4C0C" w:rsidP="00E37E1C">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lastRenderedPageBreak/>
              <w:t>FS</w:t>
            </w:r>
          </w:p>
        </w:tc>
        <w:tc>
          <w:tcPr>
            <w:tcW w:w="7371" w:type="dxa"/>
            <w:tcBorders>
              <w:top w:val="single" w:sz="4" w:space="0" w:color="000000"/>
              <w:left w:val="single" w:sz="4" w:space="0" w:color="000000"/>
              <w:bottom w:val="single" w:sz="4" w:space="0" w:color="000000"/>
              <w:right w:val="single" w:sz="4" w:space="0" w:color="000000"/>
            </w:tcBorders>
            <w:shd w:val="clear" w:color="auto" w:fill="auto"/>
            <w:hideMark/>
          </w:tcPr>
          <w:p w:rsidR="003A4C0C" w:rsidRPr="000B521F" w:rsidRDefault="003A4C0C" w:rsidP="00E37E1C">
            <w:pPr>
              <w:numPr>
                <w:ilvl w:val="0"/>
                <w:numId w:val="102"/>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Zvýšení ochrany vodních zdrojů, modernizované vodárenské soustavy a zajištění dostatečných zdrojů pitné vody a vody pro průmysl, energetiku a zemědělství.</w:t>
            </w:r>
          </w:p>
          <w:p w:rsidR="003A4C0C" w:rsidRPr="000B521F" w:rsidRDefault="003A4C0C" w:rsidP="00E37E1C">
            <w:pPr>
              <w:numPr>
                <w:ilvl w:val="0"/>
                <w:numId w:val="102"/>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Zvýšená efektivita nakládání s odpadními vodami s důrazem na malá sídla a snížené zemědělské znečištění vod.</w:t>
            </w:r>
          </w:p>
          <w:p w:rsidR="003A4C0C" w:rsidRPr="000B521F" w:rsidRDefault="003A4C0C" w:rsidP="00E37E1C">
            <w:pPr>
              <w:numPr>
                <w:ilvl w:val="0"/>
                <w:numId w:val="102"/>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Snížené znečištění ovzduší škodlivými látkami zejména v nejvíce postižených regionech.</w:t>
            </w:r>
          </w:p>
          <w:p w:rsidR="003A4C0C" w:rsidRPr="000B521F" w:rsidRDefault="003A4C0C" w:rsidP="00E37E1C">
            <w:pPr>
              <w:numPr>
                <w:ilvl w:val="0"/>
                <w:numId w:val="102"/>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Vyšší efektivita nakládání s odpady v souladu s hierarchií nakládání s odpady dle rámcové směrnice, důraz na snížení míry skládkování odpadů.</w:t>
            </w:r>
          </w:p>
        </w:tc>
      </w:tr>
      <w:tr w:rsidR="003A4C0C" w:rsidRPr="000B521F" w:rsidTr="00761093">
        <w:tc>
          <w:tcPr>
            <w:tcW w:w="1384"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3A4C0C" w:rsidRPr="000B521F" w:rsidRDefault="003A4C0C" w:rsidP="00E37E1C">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EZFRV</w:t>
            </w:r>
          </w:p>
        </w:tc>
        <w:tc>
          <w:tcPr>
            <w:tcW w:w="7371" w:type="dxa"/>
            <w:tcBorders>
              <w:top w:val="single" w:sz="4" w:space="0" w:color="000000"/>
              <w:left w:val="single" w:sz="4" w:space="0" w:color="000000"/>
              <w:bottom w:val="single" w:sz="4" w:space="0" w:color="000000"/>
              <w:right w:val="single" w:sz="4" w:space="0" w:color="000000"/>
            </w:tcBorders>
            <w:shd w:val="clear" w:color="auto" w:fill="auto"/>
            <w:hideMark/>
          </w:tcPr>
          <w:p w:rsidR="003A4C0C" w:rsidRPr="000B521F" w:rsidRDefault="003A4C0C" w:rsidP="00E37E1C">
            <w:pPr>
              <w:numPr>
                <w:ilvl w:val="0"/>
                <w:numId w:val="102"/>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Snížení zemědělského znečištění vod.</w:t>
            </w:r>
          </w:p>
          <w:p w:rsidR="003A4C0C" w:rsidRPr="000B521F" w:rsidRDefault="003A4C0C" w:rsidP="00E37E1C">
            <w:pPr>
              <w:numPr>
                <w:ilvl w:val="0"/>
                <w:numId w:val="102"/>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Zvýšená ochrana přírody a krajiny posilováním její ekologické stability pomocí posilování biodiverzity, zvyšování prostupnosti krajiny a realizovaná vhodná opatření v zemědělství a lesnictví.</w:t>
            </w:r>
          </w:p>
          <w:p w:rsidR="00041452" w:rsidRDefault="003A4C0C" w:rsidP="00E37E1C">
            <w:pPr>
              <w:numPr>
                <w:ilvl w:val="0"/>
                <w:numId w:val="102"/>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Zvýšená ochrana půdy, zejména zemědělské, před erozí a degradací.</w:t>
            </w:r>
            <w:r w:rsidR="00041452" w:rsidRPr="00041452">
              <w:rPr>
                <w:rFonts w:ascii="Times New Roman" w:hAnsi="Times New Roman" w:cs="Times New Roman"/>
                <w:sz w:val="24"/>
                <w:szCs w:val="24"/>
              </w:rPr>
              <w:t xml:space="preserve"> </w:t>
            </w:r>
          </w:p>
          <w:p w:rsidR="00041452" w:rsidRPr="00041452" w:rsidRDefault="00041452" w:rsidP="00E37E1C">
            <w:pPr>
              <w:numPr>
                <w:ilvl w:val="0"/>
                <w:numId w:val="102"/>
              </w:numPr>
              <w:spacing w:after="0" w:line="240" w:lineRule="auto"/>
              <w:rPr>
                <w:rFonts w:ascii="Times New Roman" w:hAnsi="Times New Roman" w:cs="Times New Roman"/>
                <w:sz w:val="24"/>
                <w:szCs w:val="24"/>
              </w:rPr>
            </w:pPr>
            <w:r w:rsidRPr="00041452">
              <w:rPr>
                <w:rFonts w:ascii="Times New Roman" w:hAnsi="Times New Roman" w:cs="Times New Roman"/>
                <w:sz w:val="24"/>
                <w:szCs w:val="24"/>
              </w:rPr>
              <w:t>Posílení odolnosti lesních porostů  před abiotickými a biotickými faktory.</w:t>
            </w:r>
          </w:p>
          <w:p w:rsidR="003A4C0C" w:rsidRPr="000B521F" w:rsidRDefault="00041452" w:rsidP="00E37E1C">
            <w:pPr>
              <w:numPr>
                <w:ilvl w:val="0"/>
                <w:numId w:val="102"/>
              </w:numPr>
              <w:spacing w:after="0" w:line="240" w:lineRule="auto"/>
              <w:rPr>
                <w:rFonts w:ascii="Times New Roman" w:hAnsi="Times New Roman" w:cs="Times New Roman"/>
                <w:sz w:val="24"/>
                <w:szCs w:val="24"/>
              </w:rPr>
            </w:pPr>
            <w:r w:rsidRPr="00041452">
              <w:rPr>
                <w:rFonts w:ascii="Times New Roman" w:hAnsi="Times New Roman" w:cs="Times New Roman"/>
                <w:sz w:val="24"/>
                <w:szCs w:val="24"/>
              </w:rPr>
              <w:t>Posílení prevence opouštění půd v oblastech s přírodními omezeními, včetně předcházení degradace cenných stanovišť a zvyšování estetické hodnoty krajiny.</w:t>
            </w:r>
          </w:p>
        </w:tc>
      </w:tr>
      <w:tr w:rsidR="003A4C0C" w:rsidRPr="000B521F" w:rsidTr="00761093">
        <w:tc>
          <w:tcPr>
            <w:tcW w:w="1384"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3A4C0C" w:rsidRPr="000B521F" w:rsidRDefault="003A4C0C" w:rsidP="00E37E1C">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ENRF</w:t>
            </w:r>
          </w:p>
        </w:tc>
        <w:tc>
          <w:tcPr>
            <w:tcW w:w="7371" w:type="dxa"/>
            <w:tcBorders>
              <w:top w:val="single" w:sz="4" w:space="0" w:color="000000"/>
              <w:left w:val="single" w:sz="4" w:space="0" w:color="000000"/>
              <w:bottom w:val="single" w:sz="4" w:space="0" w:color="000000"/>
              <w:right w:val="single" w:sz="4" w:space="0" w:color="000000"/>
            </w:tcBorders>
            <w:shd w:val="clear" w:color="auto" w:fill="auto"/>
            <w:hideMark/>
          </w:tcPr>
          <w:p w:rsidR="003A4C0C" w:rsidRPr="000B521F" w:rsidRDefault="003A4C0C" w:rsidP="00E37E1C">
            <w:pPr>
              <w:numPr>
                <w:ilvl w:val="0"/>
                <w:numId w:val="102"/>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Zvýšená ochrana přírody a krajiny posílením její ekologické stability pomocí posílení biodiverzity, snížení fragmentace krajiny a realizace vhodných opatření v oblasti akvakultury.</w:t>
            </w:r>
          </w:p>
          <w:p w:rsidR="003A4C0C" w:rsidRPr="000B521F" w:rsidRDefault="003A4C0C" w:rsidP="00E37E1C">
            <w:pPr>
              <w:numPr>
                <w:ilvl w:val="0"/>
                <w:numId w:val="102"/>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Snížení energetické náročnosti technologických procesů v akvakultuře.</w:t>
            </w:r>
          </w:p>
        </w:tc>
      </w:tr>
    </w:tbl>
    <w:p w:rsidR="003A4C0C" w:rsidRPr="000B521F" w:rsidRDefault="003A4C0C" w:rsidP="0059011D">
      <w:pPr>
        <w:pStyle w:val="Tabulka"/>
        <w:spacing w:before="120" w:after="60"/>
        <w:rPr>
          <w:szCs w:val="20"/>
        </w:rPr>
      </w:pPr>
      <w:r w:rsidRPr="000B521F">
        <w:rPr>
          <w:szCs w:val="20"/>
        </w:rPr>
        <w:t>TC7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371"/>
      </w:tblGrid>
      <w:tr w:rsidR="003A4C0C" w:rsidRPr="000B521F" w:rsidTr="00761093">
        <w:tc>
          <w:tcPr>
            <w:tcW w:w="1384" w:type="dxa"/>
            <w:tcBorders>
              <w:top w:val="single" w:sz="4" w:space="0" w:color="000000"/>
              <w:left w:val="single" w:sz="4" w:space="0" w:color="000000"/>
              <w:bottom w:val="single" w:sz="4" w:space="0" w:color="000000"/>
              <w:right w:val="single" w:sz="4" w:space="0" w:color="000000"/>
            </w:tcBorders>
            <w:shd w:val="clear" w:color="auto" w:fill="8DB3E2" w:themeFill="text2" w:themeFillTint="66"/>
            <w:hideMark/>
          </w:tcPr>
          <w:p w:rsidR="003A4C0C" w:rsidRPr="000B521F" w:rsidRDefault="003A4C0C" w:rsidP="00E37E1C">
            <w:p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Fond</w:t>
            </w:r>
          </w:p>
        </w:tc>
        <w:tc>
          <w:tcPr>
            <w:tcW w:w="7371" w:type="dxa"/>
            <w:tcBorders>
              <w:top w:val="single" w:sz="4" w:space="0" w:color="000000"/>
              <w:left w:val="single" w:sz="4" w:space="0" w:color="000000"/>
              <w:bottom w:val="single" w:sz="4" w:space="0" w:color="000000"/>
              <w:right w:val="single" w:sz="4" w:space="0" w:color="000000"/>
            </w:tcBorders>
            <w:shd w:val="clear" w:color="auto" w:fill="8DB3E2" w:themeFill="text2" w:themeFillTint="66"/>
            <w:hideMark/>
          </w:tcPr>
          <w:p w:rsidR="003A4C0C" w:rsidRPr="000B521F" w:rsidRDefault="003A4C0C" w:rsidP="00E37E1C">
            <w:p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Hlavní výsledky</w:t>
            </w:r>
          </w:p>
        </w:tc>
      </w:tr>
      <w:tr w:rsidR="003A4C0C" w:rsidRPr="000B521F" w:rsidTr="00761093">
        <w:trPr>
          <w:trHeight w:val="552"/>
        </w:trPr>
        <w:tc>
          <w:tcPr>
            <w:tcW w:w="1384"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3A4C0C" w:rsidRPr="000B521F" w:rsidRDefault="003A4C0C" w:rsidP="00E37E1C">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EFRR</w:t>
            </w:r>
          </w:p>
        </w:tc>
        <w:tc>
          <w:tcPr>
            <w:tcW w:w="7371" w:type="dxa"/>
            <w:tcBorders>
              <w:top w:val="single" w:sz="4" w:space="0" w:color="000000"/>
              <w:left w:val="single" w:sz="4" w:space="0" w:color="000000"/>
              <w:bottom w:val="single" w:sz="4" w:space="0" w:color="000000"/>
              <w:right w:val="single" w:sz="4" w:space="0" w:color="000000"/>
            </w:tcBorders>
            <w:shd w:val="clear" w:color="auto" w:fill="auto"/>
            <w:hideMark/>
          </w:tcPr>
          <w:p w:rsidR="003A4C0C" w:rsidRPr="000B521F" w:rsidRDefault="003A4C0C" w:rsidP="00E37E1C">
            <w:pPr>
              <w:numPr>
                <w:ilvl w:val="0"/>
                <w:numId w:val="102"/>
              </w:num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Rozšířená a zkvalitněná infrastruktura mimo TEN-T a podpořený rozvoj udržitelné dopravy</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Rozšíření páteřní dopravní sítě mimo TEN-T (železniční a silniční) včetně ITS.</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Zvýšení dostupnosti center osídlení nižších řádů a periferních či jinak znevýhodněných regionů zlepšením jejich napojení na TEN-T (železniční a silniční).</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Zvýšení počtu silničních obchvatů významných sídel mimo TEN-T a z toho plynoucí snížení expozice obyvatelstva prachovými částicemi a exhalacemi z dopravy.</w:t>
            </w:r>
          </w:p>
          <w:p w:rsidR="00F3719F" w:rsidRPr="00E37E1C"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Rozvoj nízkouhlíkových integrovaných systémů hromadné dopravy jak na úrovni měst, tak aglomerací, jejímž základem je kolejová doprava, včetně modernizace vozového parku veřejné hromadné dopravy s důrazem na snížení produkce emisí a snížení energetické náročnosti, rozvoj dopravy v klidu a cyklodopravy</w:t>
            </w:r>
            <w:r w:rsidR="00470E2E" w:rsidRPr="00837B18">
              <w:rPr>
                <w:rFonts w:ascii="Times New Roman" w:hAnsi="Times New Roman" w:cs="Times New Roman"/>
                <w:sz w:val="24"/>
                <w:szCs w:val="24"/>
              </w:rPr>
              <w:t xml:space="preserve">. </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Zvýšení podílu využití alternativních energií v dopravě.</w:t>
            </w:r>
          </w:p>
        </w:tc>
      </w:tr>
      <w:tr w:rsidR="003A4C0C" w:rsidRPr="000B521F" w:rsidTr="00761093">
        <w:tc>
          <w:tcPr>
            <w:tcW w:w="1384"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3A4C0C" w:rsidRPr="000B521F" w:rsidRDefault="003A4C0C" w:rsidP="00E37E1C">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FS</w:t>
            </w:r>
          </w:p>
        </w:tc>
        <w:tc>
          <w:tcPr>
            <w:tcW w:w="7371" w:type="dxa"/>
            <w:tcBorders>
              <w:top w:val="single" w:sz="4" w:space="0" w:color="000000"/>
              <w:left w:val="single" w:sz="4" w:space="0" w:color="000000"/>
              <w:bottom w:val="single" w:sz="4" w:space="0" w:color="000000"/>
              <w:right w:val="single" w:sz="4" w:space="0" w:color="000000"/>
            </w:tcBorders>
            <w:shd w:val="clear" w:color="auto" w:fill="auto"/>
            <w:hideMark/>
          </w:tcPr>
          <w:p w:rsidR="003A4C0C" w:rsidRPr="000B521F" w:rsidRDefault="003A4C0C" w:rsidP="00E37E1C">
            <w:pPr>
              <w:numPr>
                <w:ilvl w:val="0"/>
                <w:numId w:val="102"/>
              </w:num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Rozšířená a zkvalitněná dopravní infrastruktura TEN-T a podpořený rozvoj udržitelné dopravy</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 xml:space="preserve">Rozšíření sítě TEN-T/páteřní dopravní sítě (železniční, </w:t>
            </w:r>
            <w:r w:rsidRPr="000B521F">
              <w:rPr>
                <w:rFonts w:ascii="Times New Roman" w:hAnsi="Times New Roman" w:cs="Times New Roman"/>
                <w:sz w:val="24"/>
                <w:szCs w:val="24"/>
              </w:rPr>
              <w:lastRenderedPageBreak/>
              <w:t>silniční a vnitrozemské vodní) včetně ITS.</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Vytvoření podmínek pro uplatnění multimodality v dopravě přednostně na síti TEN-T a zajištění interoperability české železnice přednostně na síti TEN-T, zvýšení bezpečnosti železničního provozu mimo síť TEN-T.</w:t>
            </w:r>
          </w:p>
          <w:p w:rsidR="003A4C0C" w:rsidRPr="00E37E1C"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Rozvoj nízkouhlíkových integrovaných systémů hromadné dopravy jak na úrovni měst, tak aglomerací, jejímž základem je kolejová doprava, včetně modernizace vozového parku veřejné hromadné dopravy s důrazem na snížení produkce emisí a snížení energetické náročnosti.</w:t>
            </w:r>
          </w:p>
        </w:tc>
      </w:tr>
    </w:tbl>
    <w:p w:rsidR="003A4C0C" w:rsidRPr="000B521F" w:rsidRDefault="003A4C0C" w:rsidP="0059011D">
      <w:pPr>
        <w:pStyle w:val="Tabulka"/>
        <w:spacing w:before="120" w:after="60"/>
        <w:rPr>
          <w:szCs w:val="20"/>
        </w:rPr>
      </w:pPr>
      <w:r w:rsidRPr="000B521F">
        <w:rPr>
          <w:szCs w:val="20"/>
        </w:rPr>
        <w:lastRenderedPageBreak/>
        <w:t>TC 8</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902"/>
      </w:tblGrid>
      <w:tr w:rsidR="003A4C0C" w:rsidRPr="000B521F" w:rsidTr="00761093">
        <w:tc>
          <w:tcPr>
            <w:tcW w:w="745" w:type="pct"/>
            <w:tcBorders>
              <w:top w:val="single" w:sz="4" w:space="0" w:color="000000"/>
              <w:left w:val="single" w:sz="4" w:space="0" w:color="000000"/>
              <w:bottom w:val="single" w:sz="4" w:space="0" w:color="000000"/>
              <w:right w:val="single" w:sz="4" w:space="0" w:color="000000"/>
            </w:tcBorders>
            <w:shd w:val="clear" w:color="auto" w:fill="8DB3E2" w:themeFill="text2" w:themeFillTint="66"/>
            <w:hideMark/>
          </w:tcPr>
          <w:p w:rsidR="003A4C0C" w:rsidRPr="000B521F" w:rsidRDefault="003A4C0C" w:rsidP="00E37E1C">
            <w:p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Fond</w:t>
            </w:r>
          </w:p>
        </w:tc>
        <w:tc>
          <w:tcPr>
            <w:tcW w:w="4255" w:type="pct"/>
            <w:tcBorders>
              <w:top w:val="single" w:sz="4" w:space="0" w:color="000000"/>
              <w:left w:val="single" w:sz="4" w:space="0" w:color="000000"/>
              <w:bottom w:val="single" w:sz="4" w:space="0" w:color="000000"/>
              <w:right w:val="single" w:sz="4" w:space="0" w:color="000000"/>
            </w:tcBorders>
            <w:shd w:val="clear" w:color="auto" w:fill="8DB3E2" w:themeFill="text2" w:themeFillTint="66"/>
            <w:hideMark/>
          </w:tcPr>
          <w:p w:rsidR="003A4C0C" w:rsidRPr="000B521F" w:rsidRDefault="003A4C0C" w:rsidP="00E37E1C">
            <w:p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Hlavní výsledky</w:t>
            </w:r>
          </w:p>
        </w:tc>
      </w:tr>
      <w:tr w:rsidR="003A4C0C" w:rsidRPr="000B521F" w:rsidTr="00761093">
        <w:trPr>
          <w:trHeight w:val="139"/>
        </w:trPr>
        <w:tc>
          <w:tcPr>
            <w:tcW w:w="745" w:type="pct"/>
            <w:tcBorders>
              <w:top w:val="single" w:sz="4" w:space="0" w:color="000000"/>
              <w:left w:val="single" w:sz="4" w:space="0" w:color="000000"/>
              <w:right w:val="single" w:sz="4" w:space="0" w:color="000000"/>
            </w:tcBorders>
            <w:shd w:val="clear" w:color="auto" w:fill="C6D9F1" w:themeFill="text2" w:themeFillTint="33"/>
          </w:tcPr>
          <w:p w:rsidR="003A4C0C" w:rsidRPr="000B521F" w:rsidRDefault="003A4C0C" w:rsidP="00E37E1C">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EFRR</w:t>
            </w:r>
          </w:p>
        </w:tc>
        <w:tc>
          <w:tcPr>
            <w:tcW w:w="4255" w:type="pct"/>
            <w:tcBorders>
              <w:top w:val="single" w:sz="4" w:space="0" w:color="000000"/>
              <w:left w:val="single" w:sz="4" w:space="0" w:color="000000"/>
              <w:right w:val="single" w:sz="4" w:space="0" w:color="000000"/>
            </w:tcBorders>
            <w:shd w:val="clear" w:color="auto" w:fill="auto"/>
          </w:tcPr>
          <w:p w:rsidR="003A4C0C" w:rsidRPr="000B521F" w:rsidRDefault="003A4C0C" w:rsidP="00E37E1C">
            <w:pPr>
              <w:numPr>
                <w:ilvl w:val="0"/>
                <w:numId w:val="102"/>
              </w:numPr>
              <w:spacing w:after="0" w:line="240" w:lineRule="auto"/>
              <w:rPr>
                <w:rFonts w:ascii="Times New Roman" w:hAnsi="Times New Roman" w:cs="Times New Roman"/>
                <w:sz w:val="24"/>
                <w:szCs w:val="24"/>
              </w:rPr>
            </w:pPr>
            <w:r w:rsidRPr="000B521F">
              <w:rPr>
                <w:rFonts w:ascii="Times New Roman" w:hAnsi="Times New Roman" w:cs="Times New Roman"/>
                <w:b/>
                <w:sz w:val="24"/>
                <w:szCs w:val="24"/>
              </w:rPr>
              <w:t>Zvýšená kvalita veřejných služeb zaměstnanosti prostřednictvím zajištění odpovídajícího prostředí a vybavení</w:t>
            </w:r>
          </w:p>
        </w:tc>
      </w:tr>
      <w:tr w:rsidR="003A4C0C" w:rsidRPr="000B521F" w:rsidTr="00761093">
        <w:trPr>
          <w:trHeight w:val="85"/>
        </w:trPr>
        <w:tc>
          <w:tcPr>
            <w:tcW w:w="745" w:type="pct"/>
            <w:tcBorders>
              <w:top w:val="single" w:sz="4" w:space="0" w:color="000000"/>
              <w:left w:val="single" w:sz="4" w:space="0" w:color="000000"/>
              <w:right w:val="single" w:sz="4" w:space="0" w:color="000000"/>
            </w:tcBorders>
            <w:shd w:val="clear" w:color="auto" w:fill="C6D9F1" w:themeFill="text2" w:themeFillTint="33"/>
            <w:hideMark/>
          </w:tcPr>
          <w:p w:rsidR="003A4C0C" w:rsidRPr="000B521F" w:rsidRDefault="003A4C0C" w:rsidP="00E37E1C">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ESF</w:t>
            </w:r>
          </w:p>
        </w:tc>
        <w:tc>
          <w:tcPr>
            <w:tcW w:w="4255" w:type="pct"/>
            <w:tcBorders>
              <w:top w:val="single" w:sz="4" w:space="0" w:color="000000"/>
              <w:left w:val="single" w:sz="4" w:space="0" w:color="000000"/>
              <w:right w:val="single" w:sz="4" w:space="0" w:color="000000"/>
            </w:tcBorders>
            <w:shd w:val="clear" w:color="auto" w:fill="auto"/>
          </w:tcPr>
          <w:p w:rsidR="003A4C0C" w:rsidRPr="000B521F" w:rsidRDefault="003A4C0C" w:rsidP="00E37E1C">
            <w:pPr>
              <w:numPr>
                <w:ilvl w:val="0"/>
                <w:numId w:val="102"/>
              </w:num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Zvýšení zaměstnanosti obtížně zaměstnatelných skupin osob prostřednictvím vyšší účinnosti veřejných služeb zaměstnanosti</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Zvýšení relevance nástrojů APZ pro poskytování kvalitních individuálních a komplexních služeb zaměstnanosti.</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Dostupné a kvalitní služby zaměstnanosti Úřadu práce v odpovídajícím rozsahu zejména pro skupiny obtížně zaměstnatelných osob.</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Zvýšení účasti na DV skupin dospělé populace nejvíce ohrožené nezaměstnaností a ztrátou uplatnění</w:t>
            </w:r>
            <w:r w:rsidR="0089096B">
              <w:rPr>
                <w:rFonts w:ascii="Times New Roman" w:hAnsi="Times New Roman" w:cs="Times New Roman"/>
                <w:sz w:val="24"/>
                <w:szCs w:val="24"/>
              </w:rPr>
              <w:t>.</w:t>
            </w:r>
            <w:r w:rsidRPr="000B521F">
              <w:rPr>
                <w:rFonts w:ascii="Times New Roman" w:hAnsi="Times New Roman" w:cs="Times New Roman"/>
                <w:sz w:val="24"/>
                <w:szCs w:val="24"/>
              </w:rPr>
              <w:t xml:space="preserve"> </w:t>
            </w:r>
          </w:p>
          <w:p w:rsidR="003A4C0C" w:rsidRPr="000B521F" w:rsidRDefault="003A4C0C" w:rsidP="00E37E1C">
            <w:pPr>
              <w:numPr>
                <w:ilvl w:val="0"/>
                <w:numId w:val="102"/>
              </w:num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Vyšší adaptabilita zaměstnanců a lepší uplatnitelnost uchazečů o zaměstnání díky vyššímu souladu znalostí a dovedností pracovní síly s požadavky trhu práce</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 xml:space="preserve">Zvýšení účasti </w:t>
            </w:r>
            <w:r w:rsidR="00596B7B" w:rsidRPr="000B521F">
              <w:rPr>
                <w:rFonts w:ascii="Times New Roman" w:hAnsi="Times New Roman" w:cs="Times New Roman"/>
                <w:sz w:val="24"/>
                <w:szCs w:val="24"/>
              </w:rPr>
              <w:t>osob</w:t>
            </w:r>
            <w:r w:rsidRPr="000B521F">
              <w:rPr>
                <w:rFonts w:ascii="Times New Roman" w:hAnsi="Times New Roman" w:cs="Times New Roman"/>
                <w:sz w:val="24"/>
                <w:szCs w:val="24"/>
              </w:rPr>
              <w:t xml:space="preserve"> na kvalitním DV, které je v souladu s potřebami </w:t>
            </w:r>
            <w:r w:rsidR="00596B7B" w:rsidRPr="000B521F">
              <w:rPr>
                <w:rFonts w:ascii="Times New Roman" w:hAnsi="Times New Roman" w:cs="Times New Roman"/>
                <w:sz w:val="24"/>
                <w:szCs w:val="24"/>
              </w:rPr>
              <w:t>trhu práce</w:t>
            </w:r>
            <w:r w:rsidRPr="000B521F">
              <w:rPr>
                <w:rFonts w:ascii="Times New Roman" w:hAnsi="Times New Roman" w:cs="Times New Roman"/>
                <w:sz w:val="24"/>
                <w:szCs w:val="24"/>
              </w:rPr>
              <w:t>.</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Zkvalitnění a efektivní uplatňování kariérového poradenství (pro dospělé) Zavedení nástroje analyzování a předvídání trhu práce a jejich efektivní využívání pro slaďování vzdělávací nabídky s potřebami zaměstnavatelů.</w:t>
            </w:r>
          </w:p>
          <w:p w:rsidR="00596B7B" w:rsidRPr="000B521F" w:rsidRDefault="00596B7B"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 xml:space="preserve">Zvýšení nabídky praxí </w:t>
            </w:r>
            <w:r w:rsidR="0089096B">
              <w:rPr>
                <w:rFonts w:ascii="Times New Roman" w:hAnsi="Times New Roman" w:cs="Times New Roman"/>
                <w:sz w:val="24"/>
                <w:szCs w:val="24"/>
              </w:rPr>
              <w:t>a stáží v podnicích.</w:t>
            </w:r>
          </w:p>
          <w:p w:rsidR="003A4C0C" w:rsidRPr="000B521F" w:rsidRDefault="003A4C0C" w:rsidP="00E37E1C">
            <w:pPr>
              <w:numPr>
                <w:ilvl w:val="0"/>
                <w:numId w:val="102"/>
              </w:num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Lepší podmínky pro soulad soukromého a pracovního života a rovného postavení žen na trhu práce</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Zvýšení nabídky a využívání flexibilních pracovních poměrů.</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Zvýšení nabídky předškolního vzdělávání a služeb péče o předškolní děti</w:t>
            </w:r>
            <w:r w:rsidR="00596B7B" w:rsidRPr="000B521F">
              <w:rPr>
                <w:rFonts w:ascii="Times New Roman" w:hAnsi="Times New Roman" w:cs="Times New Roman"/>
                <w:sz w:val="24"/>
                <w:szCs w:val="24"/>
              </w:rPr>
              <w:t>, včetně dětí do 3 let</w:t>
            </w:r>
            <w:r w:rsidRPr="000B521F">
              <w:rPr>
                <w:rFonts w:ascii="Times New Roman" w:hAnsi="Times New Roman" w:cs="Times New Roman"/>
                <w:sz w:val="24"/>
                <w:szCs w:val="24"/>
              </w:rPr>
              <w:t>.</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Zvýšení počtu zaměstnavatelů praktikujících principy rovných příležitostí pro ženy a muže v zaměstnání.</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Zvýšení míry zapojení mužů do péče o děti a další závislé osoby.</w:t>
            </w:r>
          </w:p>
          <w:p w:rsidR="003A4C0C" w:rsidRPr="000B521F" w:rsidRDefault="003A4C0C" w:rsidP="00E37E1C">
            <w:pPr>
              <w:numPr>
                <w:ilvl w:val="0"/>
                <w:numId w:val="102"/>
              </w:num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Zvýšená spolupráce klíčových aktérů na trhu práce, realizace synergických opatření zvyšujících zaměstnanost</w:t>
            </w:r>
          </w:p>
        </w:tc>
      </w:tr>
      <w:tr w:rsidR="003A4C0C" w:rsidRPr="000B521F" w:rsidTr="00761093">
        <w:trPr>
          <w:trHeight w:val="978"/>
        </w:trPr>
        <w:tc>
          <w:tcPr>
            <w:tcW w:w="745" w:type="pct"/>
            <w:tcBorders>
              <w:top w:val="single" w:sz="4" w:space="0" w:color="000000"/>
              <w:left w:val="single" w:sz="4" w:space="0" w:color="000000"/>
              <w:right w:val="single" w:sz="4" w:space="0" w:color="000000"/>
            </w:tcBorders>
            <w:shd w:val="clear" w:color="auto" w:fill="C6D9F1" w:themeFill="text2" w:themeFillTint="33"/>
          </w:tcPr>
          <w:p w:rsidR="003A4C0C" w:rsidRPr="000B521F" w:rsidRDefault="003A4C0C" w:rsidP="00E37E1C">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EZFRV</w:t>
            </w:r>
          </w:p>
        </w:tc>
        <w:tc>
          <w:tcPr>
            <w:tcW w:w="4255" w:type="pct"/>
            <w:tcBorders>
              <w:top w:val="single" w:sz="4" w:space="0" w:color="000000"/>
              <w:left w:val="single" w:sz="4" w:space="0" w:color="000000"/>
              <w:right w:val="single" w:sz="4" w:space="0" w:color="000000"/>
            </w:tcBorders>
            <w:shd w:val="clear" w:color="auto" w:fill="auto"/>
          </w:tcPr>
          <w:p w:rsidR="003A4C0C" w:rsidRPr="000B521F" w:rsidRDefault="003A4C0C" w:rsidP="00E37E1C">
            <w:pPr>
              <w:numPr>
                <w:ilvl w:val="0"/>
                <w:numId w:val="102"/>
              </w:num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Zvýšení podílu zemědělských podniků, které diverzifikovaly svoji činnost nezemědělskou činností</w:t>
            </w:r>
          </w:p>
          <w:p w:rsidR="003A4C0C" w:rsidRPr="000B521F" w:rsidRDefault="003A4C0C" w:rsidP="00E37E1C">
            <w:pPr>
              <w:numPr>
                <w:ilvl w:val="0"/>
                <w:numId w:val="102"/>
              </w:numPr>
              <w:spacing w:after="0" w:line="240" w:lineRule="auto"/>
              <w:rPr>
                <w:rFonts w:ascii="Times New Roman" w:hAnsi="Times New Roman" w:cs="Times New Roman"/>
                <w:sz w:val="24"/>
                <w:szCs w:val="24"/>
              </w:rPr>
            </w:pPr>
            <w:r w:rsidRPr="000B521F">
              <w:rPr>
                <w:rFonts w:ascii="Times New Roman" w:hAnsi="Times New Roman" w:cs="Times New Roman"/>
                <w:b/>
                <w:sz w:val="24"/>
                <w:szCs w:val="24"/>
              </w:rPr>
              <w:t xml:space="preserve">Vytvoření pracovních míst ve venkovských oblastech </w:t>
            </w:r>
          </w:p>
        </w:tc>
      </w:tr>
    </w:tbl>
    <w:p w:rsidR="003A4C0C" w:rsidRPr="000B521F" w:rsidRDefault="003A4C0C" w:rsidP="0059011D">
      <w:pPr>
        <w:pStyle w:val="Tabulka"/>
        <w:spacing w:before="120" w:after="60"/>
        <w:rPr>
          <w:szCs w:val="20"/>
        </w:rPr>
      </w:pPr>
      <w:r w:rsidRPr="000B521F">
        <w:rPr>
          <w:szCs w:val="20"/>
        </w:rPr>
        <w:lastRenderedPageBreak/>
        <w:t>TC 9</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902"/>
      </w:tblGrid>
      <w:tr w:rsidR="003A4C0C" w:rsidRPr="000B521F" w:rsidTr="00761093">
        <w:tc>
          <w:tcPr>
            <w:tcW w:w="745" w:type="pct"/>
            <w:tcBorders>
              <w:top w:val="single" w:sz="4" w:space="0" w:color="000000"/>
              <w:left w:val="single" w:sz="4" w:space="0" w:color="000000"/>
              <w:bottom w:val="single" w:sz="4" w:space="0" w:color="000000"/>
              <w:right w:val="single" w:sz="4" w:space="0" w:color="000000"/>
            </w:tcBorders>
            <w:shd w:val="clear" w:color="auto" w:fill="8DB3E2" w:themeFill="text2" w:themeFillTint="66"/>
            <w:hideMark/>
          </w:tcPr>
          <w:p w:rsidR="003A4C0C" w:rsidRPr="000B521F" w:rsidRDefault="003A4C0C" w:rsidP="00E37E1C">
            <w:p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Fond</w:t>
            </w:r>
          </w:p>
        </w:tc>
        <w:tc>
          <w:tcPr>
            <w:tcW w:w="4255" w:type="pct"/>
            <w:tcBorders>
              <w:top w:val="single" w:sz="4" w:space="0" w:color="000000"/>
              <w:left w:val="single" w:sz="4" w:space="0" w:color="000000"/>
              <w:bottom w:val="single" w:sz="4" w:space="0" w:color="000000"/>
              <w:right w:val="single" w:sz="4" w:space="0" w:color="000000"/>
            </w:tcBorders>
            <w:shd w:val="clear" w:color="auto" w:fill="8DB3E2" w:themeFill="text2" w:themeFillTint="66"/>
            <w:hideMark/>
          </w:tcPr>
          <w:p w:rsidR="003A4C0C" w:rsidRPr="000B521F" w:rsidRDefault="003A4C0C" w:rsidP="00E37E1C">
            <w:p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Hlavní výsledky</w:t>
            </w:r>
          </w:p>
        </w:tc>
      </w:tr>
      <w:tr w:rsidR="003A4C0C" w:rsidRPr="000B521F" w:rsidTr="00761093">
        <w:trPr>
          <w:trHeight w:val="1124"/>
        </w:trPr>
        <w:tc>
          <w:tcPr>
            <w:tcW w:w="745" w:type="pct"/>
            <w:tcBorders>
              <w:top w:val="single" w:sz="4" w:space="0" w:color="000000"/>
              <w:left w:val="single" w:sz="4" w:space="0" w:color="000000"/>
              <w:right w:val="single" w:sz="4" w:space="0" w:color="000000"/>
            </w:tcBorders>
            <w:shd w:val="clear" w:color="auto" w:fill="C6D9F1" w:themeFill="text2" w:themeFillTint="33"/>
            <w:hideMark/>
          </w:tcPr>
          <w:p w:rsidR="003A4C0C" w:rsidRPr="000B521F" w:rsidRDefault="003A4C0C" w:rsidP="00E37E1C">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ESF</w:t>
            </w:r>
          </w:p>
        </w:tc>
        <w:tc>
          <w:tcPr>
            <w:tcW w:w="4255" w:type="pct"/>
            <w:tcBorders>
              <w:top w:val="single" w:sz="4" w:space="0" w:color="000000"/>
              <w:left w:val="single" w:sz="4" w:space="0" w:color="000000"/>
              <w:right w:val="single" w:sz="4" w:space="0" w:color="000000"/>
            </w:tcBorders>
            <w:shd w:val="clear" w:color="auto" w:fill="auto"/>
          </w:tcPr>
          <w:p w:rsidR="003A4C0C" w:rsidRPr="000B521F" w:rsidRDefault="003A4C0C" w:rsidP="00E37E1C">
            <w:pPr>
              <w:numPr>
                <w:ilvl w:val="0"/>
                <w:numId w:val="102"/>
              </w:num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 xml:space="preserve">Zvýšená uplatnitelnost a zaměstnanost osob sociálně vyloučených (ohrožených sociálním vyloučením) na trhu </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Realizovat komplexní programy zaměstnanosti zaměřených na osoby ohrožené chudobou a sociálním vyloučením.</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Podpořit vznik a aplikaci služeb zaměstnanosti poskytovaných „na míru“ sociálně vyloučeným (ohroženým) skupinám obyvatel.</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 xml:space="preserve">Aktivizovat osoby ohrožené chudobou nebo sociálním vyloučením ke vstupu na trh práce. </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Vytvořit podmínky pro vznik nových pracovních míst pro osoby znevýhodněné na trhu práce.</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Vyšší připravenost pracovníků služeb zaměstnanosti na práci se sociálně vyloučenými skupinami obyvatel /zvýšit provázanost sociální a navazující pracovní integrace.</w:t>
            </w:r>
          </w:p>
          <w:p w:rsidR="003A4C0C" w:rsidRPr="000B521F" w:rsidRDefault="003A4C0C" w:rsidP="00E37E1C">
            <w:pPr>
              <w:numPr>
                <w:ilvl w:val="0"/>
                <w:numId w:val="102"/>
              </w:num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Snížení počtu vyloučených lokalit a podílu obyvatel v nich žijících</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Zavádění podpůrných nástrojů pro spolupráci/partnerství aktérů na místní úrovni (regionů, obcí, sociálních partnerů atp.).</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Lepší dostupnost a vyšší využívání specifických nástrojů (včetně preventivních) pro řešení problematiky sociálně vyloučených lokalit.</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Zajistit dostupnost komunitní sociální práce včetně podpory vzdělávání</w:t>
            </w:r>
            <w:r w:rsidR="0089096B">
              <w:rPr>
                <w:rFonts w:ascii="Times New Roman" w:hAnsi="Times New Roman" w:cs="Times New Roman"/>
                <w:sz w:val="24"/>
                <w:szCs w:val="24"/>
              </w:rPr>
              <w:t>.</w:t>
            </w:r>
          </w:p>
          <w:p w:rsidR="00EA060A" w:rsidRPr="000B521F" w:rsidRDefault="00EA060A" w:rsidP="00E37E1C">
            <w:pPr>
              <w:spacing w:after="0" w:line="240" w:lineRule="auto"/>
              <w:ind w:left="1440"/>
              <w:rPr>
                <w:rFonts w:ascii="Times New Roman" w:hAnsi="Times New Roman" w:cs="Times New Roman"/>
                <w:sz w:val="24"/>
                <w:szCs w:val="24"/>
              </w:rPr>
            </w:pPr>
          </w:p>
          <w:p w:rsidR="003A4C0C" w:rsidRPr="000B521F" w:rsidRDefault="003A4C0C" w:rsidP="00E37E1C">
            <w:pPr>
              <w:numPr>
                <w:ilvl w:val="0"/>
                <w:numId w:val="102"/>
              </w:num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Zlepšená dostupnost sociálního bydlení</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Vyšší propojenost a propustnost služby sociálního bydlení a sociální práce (vč. zdravotní péče).</w:t>
            </w:r>
          </w:p>
          <w:p w:rsidR="003A4C0C" w:rsidRPr="000B521F" w:rsidRDefault="003A4C0C" w:rsidP="00E37E1C">
            <w:pPr>
              <w:numPr>
                <w:ilvl w:val="0"/>
                <w:numId w:val="102"/>
              </w:num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Lepší dostupnost a nastavení sociálních služeb pro cílové skupiny</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Podpora programů sociální prevence a nedostatkových sociálních služeb, sociálního poradenství a zdravotní péče.</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Zlepšit vzdělanost sociálních pracovníků pracujících ve službách (sociálních a zdravotních) a ve veřejné správě.</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Rozvoj nových modelů komunitních sociálních služeb obecného zájmu.</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Lepší spolupráce poskytovatelů sociálních služeb za účelem sociálního začleňování na místní úrovni.</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Rozvoj standardizace činností v sociálních službách (službách pro rodiny a děti atp.).</w:t>
            </w:r>
          </w:p>
          <w:p w:rsidR="003A4C0C" w:rsidRPr="0089096B" w:rsidRDefault="003A4C0C" w:rsidP="00E37E1C">
            <w:pPr>
              <w:numPr>
                <w:ilvl w:val="0"/>
                <w:numId w:val="102"/>
              </w:num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 xml:space="preserve"> Lepší podmínky a rozvinutý systém sociálního podnikání</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Zlepšení dostupnosti motivačních, poradenských a podpůrných služeb pro rozvoj a udržitelnost sociální ekonomiky.</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Podpora informovanosti, spolupráce a vzdělávání v oblasti sociálního podnikání.</w:t>
            </w:r>
          </w:p>
          <w:p w:rsidR="003A4C0C" w:rsidRPr="000B521F" w:rsidRDefault="003A4C0C" w:rsidP="00E37E1C">
            <w:pPr>
              <w:numPr>
                <w:ilvl w:val="0"/>
                <w:numId w:val="102"/>
              </w:num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Přijatá opatření ke zlepšení zdravotního stavu obyvatelstva</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Podpora zdravého životního stylu zaměřená především na snížení výskytu rizikových faktorů ve společnosti.</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Lepší vzdělání zdravotního personálu ve vztahu k modernizaci psychiatrické péče a s přihlédnutím ke stárnutí obyvatel.</w:t>
            </w:r>
          </w:p>
          <w:p w:rsidR="003A4C0C" w:rsidRPr="000B521F" w:rsidRDefault="003A4C0C" w:rsidP="00E37E1C">
            <w:pPr>
              <w:numPr>
                <w:ilvl w:val="0"/>
                <w:numId w:val="102"/>
              </w:num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Rozvoj inkluzívního vzdělávání</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lastRenderedPageBreak/>
              <w:t>Zlepšení otevřenosti vzdělávacího systému na všech úrovních vůči dětem a studentům s postižením i těm, kteří pocházejí z handicapujícího socioekonomického prostředí</w:t>
            </w:r>
            <w:r w:rsidR="00596B7B" w:rsidRPr="000B521F">
              <w:rPr>
                <w:rFonts w:ascii="Times New Roman" w:hAnsi="Times New Roman" w:cs="Times New Roman"/>
                <w:sz w:val="24"/>
                <w:szCs w:val="24"/>
              </w:rPr>
              <w:t xml:space="preserve"> (včetně vyloučených lokalit)</w:t>
            </w:r>
            <w:r w:rsidRPr="000B521F">
              <w:rPr>
                <w:rFonts w:ascii="Times New Roman" w:hAnsi="Times New Roman" w:cs="Times New Roman"/>
                <w:sz w:val="24"/>
                <w:szCs w:val="24"/>
              </w:rPr>
              <w:t>.</w:t>
            </w:r>
          </w:p>
        </w:tc>
      </w:tr>
      <w:tr w:rsidR="003A4C0C" w:rsidRPr="000B521F" w:rsidTr="00761093">
        <w:trPr>
          <w:trHeight w:val="835"/>
        </w:trPr>
        <w:tc>
          <w:tcPr>
            <w:tcW w:w="745" w:type="pct"/>
            <w:tcBorders>
              <w:top w:val="single" w:sz="4" w:space="0" w:color="000000"/>
              <w:left w:val="single" w:sz="4" w:space="0" w:color="000000"/>
              <w:right w:val="single" w:sz="4" w:space="0" w:color="000000"/>
            </w:tcBorders>
            <w:shd w:val="clear" w:color="auto" w:fill="C6D9F1" w:themeFill="text2" w:themeFillTint="33"/>
          </w:tcPr>
          <w:p w:rsidR="003A4C0C" w:rsidRPr="000B521F" w:rsidRDefault="003A4C0C" w:rsidP="00E37E1C">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lastRenderedPageBreak/>
              <w:t>EFRR</w:t>
            </w:r>
          </w:p>
          <w:p w:rsidR="003A4C0C" w:rsidRPr="000B521F" w:rsidRDefault="003A4C0C" w:rsidP="00E37E1C">
            <w:pPr>
              <w:spacing w:after="0" w:line="240" w:lineRule="auto"/>
              <w:rPr>
                <w:rFonts w:ascii="Times New Roman" w:hAnsi="Times New Roman" w:cs="Times New Roman"/>
                <w:sz w:val="24"/>
                <w:szCs w:val="24"/>
              </w:rPr>
            </w:pPr>
          </w:p>
        </w:tc>
        <w:tc>
          <w:tcPr>
            <w:tcW w:w="4255" w:type="pct"/>
            <w:tcBorders>
              <w:top w:val="single" w:sz="4" w:space="0" w:color="000000"/>
              <w:left w:val="single" w:sz="4" w:space="0" w:color="000000"/>
              <w:right w:val="single" w:sz="4" w:space="0" w:color="000000"/>
            </w:tcBorders>
            <w:shd w:val="clear" w:color="auto" w:fill="auto"/>
          </w:tcPr>
          <w:p w:rsidR="003A4C0C" w:rsidRPr="000B521F" w:rsidRDefault="003A4C0C" w:rsidP="00E37E1C">
            <w:pPr>
              <w:numPr>
                <w:ilvl w:val="0"/>
                <w:numId w:val="102"/>
              </w:num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Snížení počtu vyloučených lokalit a podílu obyvatel v nich žijících</w:t>
            </w:r>
          </w:p>
          <w:p w:rsidR="003A4C0C" w:rsidRPr="000B521F" w:rsidRDefault="0089096B" w:rsidP="00E37E1C">
            <w:pPr>
              <w:numPr>
                <w:ilvl w:val="1"/>
                <w:numId w:val="46"/>
              </w:numPr>
              <w:spacing w:after="0" w:line="240" w:lineRule="auto"/>
              <w:rPr>
                <w:rFonts w:ascii="Times New Roman" w:hAnsi="Times New Roman" w:cs="Times New Roman"/>
                <w:sz w:val="24"/>
                <w:szCs w:val="24"/>
              </w:rPr>
            </w:pPr>
            <w:r>
              <w:rPr>
                <w:rFonts w:ascii="Times New Roman" w:hAnsi="Times New Roman" w:cs="Times New Roman"/>
                <w:sz w:val="24"/>
                <w:szCs w:val="24"/>
              </w:rPr>
              <w:t>V</w:t>
            </w:r>
            <w:r w:rsidR="003A4C0C" w:rsidRPr="000B521F">
              <w:rPr>
                <w:rFonts w:ascii="Times New Roman" w:hAnsi="Times New Roman" w:cs="Times New Roman"/>
                <w:sz w:val="24"/>
                <w:szCs w:val="24"/>
              </w:rPr>
              <w:t>ytvořit zázemí pro vznik integračních a komunitních center</w:t>
            </w:r>
            <w:r>
              <w:rPr>
                <w:rFonts w:ascii="Times New Roman" w:hAnsi="Times New Roman" w:cs="Times New Roman"/>
                <w:sz w:val="24"/>
                <w:szCs w:val="24"/>
              </w:rPr>
              <w:t>.</w:t>
            </w:r>
          </w:p>
          <w:p w:rsidR="003A4C0C" w:rsidRPr="000B521F" w:rsidRDefault="0089096B" w:rsidP="00E37E1C">
            <w:pPr>
              <w:numPr>
                <w:ilvl w:val="1"/>
                <w:numId w:val="46"/>
              </w:numPr>
              <w:spacing w:after="0" w:line="240" w:lineRule="auto"/>
              <w:rPr>
                <w:rFonts w:ascii="Times New Roman" w:hAnsi="Times New Roman" w:cs="Times New Roman"/>
                <w:sz w:val="24"/>
                <w:szCs w:val="24"/>
              </w:rPr>
            </w:pPr>
            <w:r>
              <w:rPr>
                <w:rFonts w:ascii="Times New Roman" w:hAnsi="Times New Roman" w:cs="Times New Roman"/>
                <w:sz w:val="24"/>
                <w:szCs w:val="24"/>
              </w:rPr>
              <w:t>V</w:t>
            </w:r>
            <w:r w:rsidR="003A4C0C" w:rsidRPr="000B521F">
              <w:rPr>
                <w:rFonts w:ascii="Times New Roman" w:hAnsi="Times New Roman" w:cs="Times New Roman"/>
                <w:sz w:val="24"/>
                <w:szCs w:val="24"/>
              </w:rPr>
              <w:t>znik nových a rozvoj existujících podnikatelských aktivit v oblasti sociálního podnikání</w:t>
            </w:r>
            <w:r>
              <w:rPr>
                <w:rFonts w:ascii="Times New Roman" w:hAnsi="Times New Roman" w:cs="Times New Roman"/>
                <w:sz w:val="24"/>
                <w:szCs w:val="24"/>
              </w:rPr>
              <w:t>.</w:t>
            </w:r>
          </w:p>
          <w:p w:rsidR="003A4C0C" w:rsidRPr="000B521F" w:rsidRDefault="0089096B" w:rsidP="00E37E1C">
            <w:pPr>
              <w:numPr>
                <w:ilvl w:val="1"/>
                <w:numId w:val="46"/>
              </w:numPr>
              <w:spacing w:after="0" w:line="240" w:lineRule="auto"/>
              <w:rPr>
                <w:rFonts w:ascii="Times New Roman" w:hAnsi="Times New Roman" w:cs="Times New Roman"/>
                <w:sz w:val="24"/>
                <w:szCs w:val="24"/>
              </w:rPr>
            </w:pPr>
            <w:r>
              <w:rPr>
                <w:rFonts w:ascii="Times New Roman" w:hAnsi="Times New Roman" w:cs="Times New Roman"/>
                <w:sz w:val="24"/>
                <w:szCs w:val="24"/>
              </w:rPr>
              <w:t>O</w:t>
            </w:r>
            <w:r w:rsidR="003A4C0C" w:rsidRPr="000B521F">
              <w:rPr>
                <w:rFonts w:ascii="Times New Roman" w:hAnsi="Times New Roman" w:cs="Times New Roman"/>
                <w:sz w:val="24"/>
                <w:szCs w:val="24"/>
              </w:rPr>
              <w:t>ptimalizace pokrytí území sociálními službami</w:t>
            </w:r>
            <w:r>
              <w:rPr>
                <w:rFonts w:ascii="Times New Roman" w:hAnsi="Times New Roman" w:cs="Times New Roman"/>
                <w:sz w:val="24"/>
                <w:szCs w:val="24"/>
              </w:rPr>
              <w:t>.</w:t>
            </w:r>
          </w:p>
          <w:p w:rsidR="003A4C0C" w:rsidRPr="000B521F" w:rsidRDefault="003A4C0C" w:rsidP="00E37E1C">
            <w:pPr>
              <w:numPr>
                <w:ilvl w:val="0"/>
                <w:numId w:val="102"/>
              </w:num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Zlepšená dostupnost sociálního bydlení</w:t>
            </w:r>
          </w:p>
          <w:p w:rsidR="003A4C0C" w:rsidRPr="000B521F" w:rsidRDefault="0089096B" w:rsidP="00E37E1C">
            <w:pPr>
              <w:numPr>
                <w:ilvl w:val="1"/>
                <w:numId w:val="46"/>
              </w:numPr>
              <w:spacing w:after="0" w:line="240" w:lineRule="auto"/>
              <w:rPr>
                <w:rFonts w:ascii="Times New Roman" w:hAnsi="Times New Roman" w:cs="Times New Roman"/>
                <w:sz w:val="24"/>
                <w:szCs w:val="24"/>
              </w:rPr>
            </w:pPr>
            <w:r>
              <w:rPr>
                <w:rFonts w:ascii="Times New Roman" w:hAnsi="Times New Roman" w:cs="Times New Roman"/>
                <w:sz w:val="24"/>
                <w:szCs w:val="24"/>
              </w:rPr>
              <w:t>P</w:t>
            </w:r>
            <w:r w:rsidR="003A4C0C" w:rsidRPr="000B521F">
              <w:rPr>
                <w:rFonts w:ascii="Times New Roman" w:hAnsi="Times New Roman" w:cs="Times New Roman"/>
                <w:sz w:val="24"/>
                <w:szCs w:val="24"/>
              </w:rPr>
              <w:t>odpora investic do sociální infrastruktury vedoucí ke snižování nerovností (např. zařízení pro krizový pobyt sociálně vyloučených osob a rodin)</w:t>
            </w:r>
            <w:r>
              <w:rPr>
                <w:rFonts w:ascii="Times New Roman" w:hAnsi="Times New Roman" w:cs="Times New Roman"/>
                <w:sz w:val="24"/>
                <w:szCs w:val="24"/>
              </w:rPr>
              <w:t>.</w:t>
            </w:r>
          </w:p>
          <w:p w:rsidR="003A4C0C" w:rsidRPr="000B521F" w:rsidRDefault="003A4C0C" w:rsidP="00E37E1C">
            <w:pPr>
              <w:numPr>
                <w:ilvl w:val="0"/>
                <w:numId w:val="102"/>
              </w:num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Lepší dostupnost a nastavení sociálních služeb pro cílové skupiny</w:t>
            </w:r>
          </w:p>
          <w:p w:rsidR="003A4C0C" w:rsidRPr="000B521F" w:rsidRDefault="0089096B" w:rsidP="00E37E1C">
            <w:pPr>
              <w:numPr>
                <w:ilvl w:val="1"/>
                <w:numId w:val="46"/>
              </w:numPr>
              <w:spacing w:after="0" w:line="240" w:lineRule="auto"/>
              <w:rPr>
                <w:rFonts w:ascii="Times New Roman" w:hAnsi="Times New Roman" w:cs="Times New Roman"/>
                <w:sz w:val="24"/>
                <w:szCs w:val="24"/>
              </w:rPr>
            </w:pPr>
            <w:r>
              <w:rPr>
                <w:rFonts w:ascii="Times New Roman" w:hAnsi="Times New Roman" w:cs="Times New Roman"/>
                <w:sz w:val="24"/>
                <w:szCs w:val="24"/>
              </w:rPr>
              <w:t>Z</w:t>
            </w:r>
            <w:r w:rsidR="003A4C0C" w:rsidRPr="000B521F">
              <w:rPr>
                <w:rFonts w:ascii="Times New Roman" w:hAnsi="Times New Roman" w:cs="Times New Roman"/>
                <w:sz w:val="24"/>
                <w:szCs w:val="24"/>
              </w:rPr>
              <w:t>výšit kapacitu podporovaných sociálních služeb (včetně navazujících) pro cílové skupiny obyvatel</w:t>
            </w:r>
            <w:r>
              <w:rPr>
                <w:rFonts w:ascii="Times New Roman" w:hAnsi="Times New Roman" w:cs="Times New Roman"/>
                <w:sz w:val="24"/>
                <w:szCs w:val="24"/>
              </w:rPr>
              <w:t>.</w:t>
            </w:r>
          </w:p>
          <w:p w:rsidR="003A4C0C" w:rsidRPr="000B521F" w:rsidRDefault="0089096B" w:rsidP="00E37E1C">
            <w:pPr>
              <w:numPr>
                <w:ilvl w:val="1"/>
                <w:numId w:val="46"/>
              </w:numPr>
              <w:spacing w:after="0" w:line="240" w:lineRule="auto"/>
              <w:rPr>
                <w:rFonts w:ascii="Times New Roman" w:hAnsi="Times New Roman" w:cs="Times New Roman"/>
                <w:sz w:val="24"/>
                <w:szCs w:val="24"/>
              </w:rPr>
            </w:pPr>
            <w:r>
              <w:rPr>
                <w:rFonts w:ascii="Times New Roman" w:hAnsi="Times New Roman" w:cs="Times New Roman"/>
                <w:sz w:val="24"/>
                <w:szCs w:val="24"/>
              </w:rPr>
              <w:t>V</w:t>
            </w:r>
            <w:r w:rsidR="003A4C0C" w:rsidRPr="000B521F">
              <w:rPr>
                <w:rFonts w:ascii="Times New Roman" w:hAnsi="Times New Roman" w:cs="Times New Roman"/>
                <w:sz w:val="24"/>
                <w:szCs w:val="24"/>
              </w:rPr>
              <w:t>yšší dostupnost a účinnost ambulantních a pobytových služeb a nízkoprahových a kulturně komunitních center poskytující např. integrační služby.</w:t>
            </w:r>
          </w:p>
          <w:p w:rsidR="003A4C0C" w:rsidRPr="000B521F" w:rsidRDefault="0089096B" w:rsidP="00E37E1C">
            <w:pPr>
              <w:numPr>
                <w:ilvl w:val="1"/>
                <w:numId w:val="46"/>
              </w:numPr>
              <w:spacing w:after="0" w:line="240" w:lineRule="auto"/>
              <w:rPr>
                <w:rFonts w:ascii="Times New Roman" w:hAnsi="Times New Roman" w:cs="Times New Roman"/>
                <w:sz w:val="24"/>
                <w:szCs w:val="24"/>
              </w:rPr>
            </w:pPr>
            <w:r>
              <w:rPr>
                <w:rFonts w:ascii="Times New Roman" w:hAnsi="Times New Roman" w:cs="Times New Roman"/>
                <w:sz w:val="24"/>
                <w:szCs w:val="24"/>
              </w:rPr>
              <w:t>Z</w:t>
            </w:r>
            <w:r w:rsidR="003A4C0C" w:rsidRPr="000B521F">
              <w:rPr>
                <w:rFonts w:ascii="Times New Roman" w:hAnsi="Times New Roman" w:cs="Times New Roman"/>
                <w:sz w:val="24"/>
                <w:szCs w:val="24"/>
              </w:rPr>
              <w:t>výšit kapacitu sociálních služeb komunitního typu k podpoře sociálního začleňování</w:t>
            </w:r>
            <w:r>
              <w:rPr>
                <w:rFonts w:ascii="Times New Roman" w:hAnsi="Times New Roman" w:cs="Times New Roman"/>
                <w:sz w:val="24"/>
                <w:szCs w:val="24"/>
              </w:rPr>
              <w:t>.</w:t>
            </w:r>
          </w:p>
          <w:p w:rsidR="003A4C0C" w:rsidRPr="000B521F" w:rsidRDefault="0089096B" w:rsidP="00E37E1C">
            <w:pPr>
              <w:numPr>
                <w:ilvl w:val="1"/>
                <w:numId w:val="46"/>
              </w:numPr>
              <w:spacing w:after="0" w:line="240" w:lineRule="auto"/>
              <w:rPr>
                <w:rFonts w:ascii="Times New Roman" w:hAnsi="Times New Roman" w:cs="Times New Roman"/>
                <w:sz w:val="24"/>
                <w:szCs w:val="24"/>
              </w:rPr>
            </w:pPr>
            <w:r>
              <w:rPr>
                <w:rFonts w:ascii="Times New Roman" w:hAnsi="Times New Roman" w:cs="Times New Roman"/>
                <w:sz w:val="24"/>
                <w:szCs w:val="24"/>
              </w:rPr>
              <w:t>T</w:t>
            </w:r>
            <w:r w:rsidR="003A4C0C" w:rsidRPr="000B521F">
              <w:rPr>
                <w:rFonts w:ascii="Times New Roman" w:hAnsi="Times New Roman" w:cs="Times New Roman"/>
                <w:sz w:val="24"/>
                <w:szCs w:val="24"/>
              </w:rPr>
              <w:t>ransformovat a deinstitucionalizovat služby v sociální oblasti</w:t>
            </w:r>
            <w:r>
              <w:rPr>
                <w:rFonts w:ascii="Times New Roman" w:hAnsi="Times New Roman" w:cs="Times New Roman"/>
                <w:sz w:val="24"/>
                <w:szCs w:val="24"/>
              </w:rPr>
              <w:t>.</w:t>
            </w:r>
          </w:p>
          <w:p w:rsidR="003A4C0C" w:rsidRPr="000B521F" w:rsidRDefault="003A4C0C" w:rsidP="00E37E1C">
            <w:pPr>
              <w:numPr>
                <w:ilvl w:val="0"/>
                <w:numId w:val="102"/>
              </w:num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Lepší podmínky a rozvinutý systém sociálního podnikání</w:t>
            </w:r>
          </w:p>
          <w:p w:rsidR="003A4C0C" w:rsidRPr="000B521F" w:rsidRDefault="0089096B" w:rsidP="00E37E1C">
            <w:pPr>
              <w:numPr>
                <w:ilvl w:val="1"/>
                <w:numId w:val="46"/>
              </w:numPr>
              <w:spacing w:after="0" w:line="240" w:lineRule="auto"/>
              <w:rPr>
                <w:rFonts w:ascii="Times New Roman" w:hAnsi="Times New Roman" w:cs="Times New Roman"/>
                <w:sz w:val="24"/>
                <w:szCs w:val="24"/>
              </w:rPr>
            </w:pPr>
            <w:r>
              <w:rPr>
                <w:rFonts w:ascii="Times New Roman" w:hAnsi="Times New Roman" w:cs="Times New Roman"/>
                <w:sz w:val="24"/>
                <w:szCs w:val="24"/>
              </w:rPr>
              <w:t>Z</w:t>
            </w:r>
            <w:r w:rsidR="003A4C0C" w:rsidRPr="000B521F">
              <w:rPr>
                <w:rFonts w:ascii="Times New Roman" w:hAnsi="Times New Roman" w:cs="Times New Roman"/>
                <w:sz w:val="24"/>
                <w:szCs w:val="24"/>
              </w:rPr>
              <w:t>výšit počet sociálních podniků a v nich vytvořených pracovních míst</w:t>
            </w:r>
            <w:r>
              <w:rPr>
                <w:rFonts w:ascii="Times New Roman" w:hAnsi="Times New Roman" w:cs="Times New Roman"/>
                <w:sz w:val="24"/>
                <w:szCs w:val="24"/>
              </w:rPr>
              <w:t>.</w:t>
            </w:r>
            <w:r w:rsidR="003A4C0C" w:rsidRPr="000B521F">
              <w:rPr>
                <w:rFonts w:ascii="Times New Roman" w:hAnsi="Times New Roman" w:cs="Times New Roman"/>
                <w:sz w:val="24"/>
                <w:szCs w:val="24"/>
              </w:rPr>
              <w:t xml:space="preserve"> </w:t>
            </w:r>
          </w:p>
          <w:p w:rsidR="003A4C0C" w:rsidRPr="000B521F" w:rsidRDefault="0089096B" w:rsidP="00E37E1C">
            <w:pPr>
              <w:numPr>
                <w:ilvl w:val="1"/>
                <w:numId w:val="46"/>
              </w:numPr>
              <w:spacing w:after="0" w:line="240" w:lineRule="auto"/>
              <w:rPr>
                <w:rFonts w:ascii="Times New Roman" w:hAnsi="Times New Roman" w:cs="Times New Roman"/>
                <w:sz w:val="24"/>
                <w:szCs w:val="24"/>
              </w:rPr>
            </w:pPr>
            <w:r>
              <w:rPr>
                <w:rFonts w:ascii="Times New Roman" w:hAnsi="Times New Roman" w:cs="Times New Roman"/>
                <w:sz w:val="24"/>
                <w:szCs w:val="24"/>
              </w:rPr>
              <w:t>R</w:t>
            </w:r>
            <w:r w:rsidR="003A4C0C" w:rsidRPr="000B521F">
              <w:rPr>
                <w:rFonts w:ascii="Times New Roman" w:hAnsi="Times New Roman" w:cs="Times New Roman"/>
                <w:sz w:val="24"/>
                <w:szCs w:val="24"/>
              </w:rPr>
              <w:t>ozšířit a inovovat zázemí sociálních podniků vedoucích ke snížení nezaměstnanosti a podpoře sociálního začleňování</w:t>
            </w:r>
            <w:r>
              <w:rPr>
                <w:rFonts w:ascii="Times New Roman" w:hAnsi="Times New Roman" w:cs="Times New Roman"/>
                <w:sz w:val="24"/>
                <w:szCs w:val="24"/>
              </w:rPr>
              <w:t>.</w:t>
            </w:r>
          </w:p>
          <w:p w:rsidR="003A4C0C" w:rsidRPr="000B521F" w:rsidRDefault="003A4C0C" w:rsidP="00E37E1C">
            <w:pPr>
              <w:numPr>
                <w:ilvl w:val="0"/>
                <w:numId w:val="102"/>
              </w:num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Přijatá opatření ke zlepšení zdravotního stavu obyvatelstva</w:t>
            </w:r>
          </w:p>
          <w:p w:rsidR="003A4C0C" w:rsidRPr="000B521F" w:rsidRDefault="0089096B" w:rsidP="00E37E1C">
            <w:pPr>
              <w:numPr>
                <w:ilvl w:val="1"/>
                <w:numId w:val="46"/>
              </w:numPr>
              <w:spacing w:after="0" w:line="240" w:lineRule="auto"/>
              <w:rPr>
                <w:rFonts w:ascii="Times New Roman" w:hAnsi="Times New Roman" w:cs="Times New Roman"/>
                <w:sz w:val="24"/>
                <w:szCs w:val="24"/>
              </w:rPr>
            </w:pPr>
            <w:r>
              <w:rPr>
                <w:rFonts w:ascii="Times New Roman" w:hAnsi="Times New Roman" w:cs="Times New Roman"/>
                <w:sz w:val="24"/>
                <w:szCs w:val="24"/>
              </w:rPr>
              <w:t>Z</w:t>
            </w:r>
            <w:r w:rsidR="003A4C0C" w:rsidRPr="000B521F">
              <w:rPr>
                <w:rFonts w:ascii="Times New Roman" w:hAnsi="Times New Roman" w:cs="Times New Roman"/>
                <w:sz w:val="24"/>
                <w:szCs w:val="24"/>
              </w:rPr>
              <w:t>výšit podíl zdravotnických zařízení splňující standardy příslušného typu péče</w:t>
            </w:r>
            <w:r>
              <w:rPr>
                <w:rFonts w:ascii="Times New Roman" w:hAnsi="Times New Roman" w:cs="Times New Roman"/>
                <w:sz w:val="24"/>
                <w:szCs w:val="24"/>
              </w:rPr>
              <w:t>.</w:t>
            </w:r>
            <w:r w:rsidR="003A4C0C" w:rsidRPr="000B521F">
              <w:rPr>
                <w:rFonts w:ascii="Times New Roman" w:hAnsi="Times New Roman" w:cs="Times New Roman"/>
                <w:sz w:val="24"/>
                <w:szCs w:val="24"/>
              </w:rPr>
              <w:t xml:space="preserve"> </w:t>
            </w:r>
          </w:p>
          <w:p w:rsidR="003A4C0C" w:rsidRPr="000B521F" w:rsidRDefault="0089096B" w:rsidP="00E37E1C">
            <w:pPr>
              <w:numPr>
                <w:ilvl w:val="1"/>
                <w:numId w:val="46"/>
              </w:numPr>
              <w:spacing w:after="0" w:line="240" w:lineRule="auto"/>
              <w:rPr>
                <w:rFonts w:ascii="Times New Roman" w:hAnsi="Times New Roman" w:cs="Times New Roman"/>
                <w:sz w:val="24"/>
                <w:szCs w:val="24"/>
              </w:rPr>
            </w:pPr>
            <w:r>
              <w:rPr>
                <w:rFonts w:ascii="Times New Roman" w:hAnsi="Times New Roman" w:cs="Times New Roman"/>
                <w:sz w:val="24"/>
                <w:szCs w:val="24"/>
              </w:rPr>
              <w:t>M</w:t>
            </w:r>
            <w:r w:rsidR="003A4C0C" w:rsidRPr="000B521F">
              <w:rPr>
                <w:rFonts w:ascii="Times New Roman" w:hAnsi="Times New Roman" w:cs="Times New Roman"/>
                <w:sz w:val="24"/>
                <w:szCs w:val="24"/>
              </w:rPr>
              <w:t>odernizovat infrastruktury poskytovatelů vysoce specializované a návazné péče</w:t>
            </w:r>
            <w:r>
              <w:rPr>
                <w:rFonts w:ascii="Times New Roman" w:hAnsi="Times New Roman" w:cs="Times New Roman"/>
                <w:sz w:val="24"/>
                <w:szCs w:val="24"/>
              </w:rPr>
              <w:t>.</w:t>
            </w:r>
          </w:p>
          <w:p w:rsidR="003A4C0C" w:rsidRPr="000B521F" w:rsidRDefault="0089096B" w:rsidP="00E37E1C">
            <w:pPr>
              <w:numPr>
                <w:ilvl w:val="1"/>
                <w:numId w:val="46"/>
              </w:numPr>
              <w:spacing w:after="0" w:line="240" w:lineRule="auto"/>
              <w:rPr>
                <w:rFonts w:ascii="Times New Roman" w:hAnsi="Times New Roman" w:cs="Times New Roman"/>
                <w:b/>
                <w:sz w:val="24"/>
                <w:szCs w:val="24"/>
              </w:rPr>
            </w:pPr>
            <w:r>
              <w:rPr>
                <w:rFonts w:ascii="Times New Roman" w:hAnsi="Times New Roman" w:cs="Times New Roman"/>
                <w:sz w:val="24"/>
                <w:szCs w:val="24"/>
              </w:rPr>
              <w:t>R</w:t>
            </w:r>
            <w:r w:rsidR="003A4C0C" w:rsidRPr="000B521F">
              <w:rPr>
                <w:rFonts w:ascii="Times New Roman" w:hAnsi="Times New Roman" w:cs="Times New Roman"/>
                <w:sz w:val="24"/>
                <w:szCs w:val="24"/>
              </w:rPr>
              <w:t>estrukturalizace psychiatrické péče ve smyslu její humanizace a rozvoji komunitní péče a podporou návratu duševně nemocných na trh práce</w:t>
            </w:r>
            <w:r>
              <w:rPr>
                <w:rFonts w:ascii="Times New Roman" w:hAnsi="Times New Roman" w:cs="Times New Roman"/>
                <w:sz w:val="24"/>
                <w:szCs w:val="24"/>
              </w:rPr>
              <w:t>.</w:t>
            </w:r>
          </w:p>
        </w:tc>
      </w:tr>
      <w:tr w:rsidR="003A4C0C" w:rsidRPr="000B521F" w:rsidTr="00761093">
        <w:tc>
          <w:tcPr>
            <w:tcW w:w="745" w:type="pct"/>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3A4C0C" w:rsidRPr="000B521F" w:rsidRDefault="003A4C0C" w:rsidP="00E37E1C">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EZFRV</w:t>
            </w:r>
          </w:p>
        </w:tc>
        <w:tc>
          <w:tcPr>
            <w:tcW w:w="4255" w:type="pct"/>
            <w:tcBorders>
              <w:top w:val="single" w:sz="4" w:space="0" w:color="000000"/>
              <w:left w:val="single" w:sz="4" w:space="0" w:color="000000"/>
              <w:bottom w:val="single" w:sz="4" w:space="0" w:color="000000"/>
              <w:right w:val="single" w:sz="4" w:space="0" w:color="000000"/>
            </w:tcBorders>
            <w:shd w:val="clear" w:color="auto" w:fill="auto"/>
            <w:hideMark/>
          </w:tcPr>
          <w:p w:rsidR="003A4C0C" w:rsidRPr="000B521F" w:rsidRDefault="003A4C0C" w:rsidP="00E37E1C">
            <w:pPr>
              <w:numPr>
                <w:ilvl w:val="0"/>
                <w:numId w:val="102"/>
              </w:num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Posílený místní rozvoj ve venkovských oblastech se zapojením místních komunit.</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Posílení místní rozvojové spolupráce -  činnost místních akčních skupin.</w:t>
            </w:r>
          </w:p>
        </w:tc>
      </w:tr>
    </w:tbl>
    <w:p w:rsidR="003A4C0C" w:rsidRPr="000B521F" w:rsidRDefault="003A4C0C" w:rsidP="0059011D">
      <w:pPr>
        <w:pStyle w:val="Tabulka"/>
        <w:spacing w:before="120" w:after="60"/>
        <w:rPr>
          <w:szCs w:val="20"/>
        </w:rPr>
      </w:pPr>
      <w:r w:rsidRPr="000B521F">
        <w:rPr>
          <w:szCs w:val="20"/>
        </w:rPr>
        <w:t>TC 10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796"/>
      </w:tblGrid>
      <w:tr w:rsidR="003A4C0C" w:rsidRPr="000B521F" w:rsidTr="00761093">
        <w:tc>
          <w:tcPr>
            <w:tcW w:w="1384" w:type="dxa"/>
            <w:tcBorders>
              <w:top w:val="single" w:sz="4" w:space="0" w:color="000000"/>
              <w:left w:val="single" w:sz="4" w:space="0" w:color="000000"/>
              <w:bottom w:val="single" w:sz="4" w:space="0" w:color="000000"/>
              <w:right w:val="single" w:sz="4" w:space="0" w:color="000000"/>
            </w:tcBorders>
            <w:shd w:val="clear" w:color="auto" w:fill="8DB3E2" w:themeFill="text2" w:themeFillTint="66"/>
            <w:hideMark/>
          </w:tcPr>
          <w:p w:rsidR="003A4C0C" w:rsidRPr="000B521F" w:rsidRDefault="003A4C0C" w:rsidP="00E37E1C">
            <w:p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Fond</w:t>
            </w:r>
          </w:p>
        </w:tc>
        <w:tc>
          <w:tcPr>
            <w:tcW w:w="7796" w:type="dxa"/>
            <w:tcBorders>
              <w:top w:val="single" w:sz="4" w:space="0" w:color="000000"/>
              <w:left w:val="single" w:sz="4" w:space="0" w:color="000000"/>
              <w:bottom w:val="single" w:sz="4" w:space="0" w:color="000000"/>
              <w:right w:val="single" w:sz="4" w:space="0" w:color="000000"/>
            </w:tcBorders>
            <w:shd w:val="clear" w:color="auto" w:fill="8DB3E2" w:themeFill="text2" w:themeFillTint="66"/>
            <w:hideMark/>
          </w:tcPr>
          <w:p w:rsidR="003A4C0C" w:rsidRPr="000B521F" w:rsidRDefault="003A4C0C" w:rsidP="00E37E1C">
            <w:p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Hlavní výsledky</w:t>
            </w:r>
          </w:p>
        </w:tc>
      </w:tr>
      <w:tr w:rsidR="003A4C0C" w:rsidRPr="000B521F" w:rsidTr="00761093">
        <w:tc>
          <w:tcPr>
            <w:tcW w:w="1384"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3A4C0C" w:rsidRPr="000B521F" w:rsidRDefault="003A4C0C" w:rsidP="00E37E1C">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EFRR</w:t>
            </w:r>
          </w:p>
        </w:tc>
        <w:tc>
          <w:tcPr>
            <w:tcW w:w="7796" w:type="dxa"/>
            <w:tcBorders>
              <w:top w:val="single" w:sz="4" w:space="0" w:color="000000"/>
              <w:left w:val="single" w:sz="4" w:space="0" w:color="000000"/>
              <w:bottom w:val="single" w:sz="4" w:space="0" w:color="000000"/>
              <w:right w:val="single" w:sz="4" w:space="0" w:color="000000"/>
            </w:tcBorders>
            <w:shd w:val="clear" w:color="auto" w:fill="auto"/>
            <w:hideMark/>
          </w:tcPr>
          <w:p w:rsidR="003A4C0C" w:rsidRPr="000B521F" w:rsidRDefault="003A4C0C" w:rsidP="00E37E1C">
            <w:pPr>
              <w:numPr>
                <w:ilvl w:val="1"/>
                <w:numId w:val="132"/>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Zajištění moderních prostor a vybavení škol (všech úrovní)umožňující posun ke zvýšení kvality výuky v oblasti odborn</w:t>
            </w:r>
            <w:r w:rsidR="0089096B">
              <w:rPr>
                <w:rFonts w:ascii="Times New Roman" w:hAnsi="Times New Roman" w:cs="Times New Roman"/>
                <w:sz w:val="24"/>
                <w:szCs w:val="24"/>
              </w:rPr>
              <w:t>ých i přenositelných kompetencí.</w:t>
            </w:r>
          </w:p>
          <w:p w:rsidR="003A4C0C" w:rsidRPr="000B521F" w:rsidRDefault="003A4C0C" w:rsidP="00E37E1C">
            <w:pPr>
              <w:numPr>
                <w:ilvl w:val="1"/>
                <w:numId w:val="132"/>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Úpravy a vybavení škol, které umožňují a vyšší zapojení žáků a studentů se SVP.</w:t>
            </w:r>
          </w:p>
        </w:tc>
      </w:tr>
      <w:tr w:rsidR="003A4C0C" w:rsidRPr="000B521F" w:rsidTr="00761093">
        <w:tc>
          <w:tcPr>
            <w:tcW w:w="1384"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3A4C0C" w:rsidRPr="000B521F" w:rsidRDefault="003A4C0C" w:rsidP="00E37E1C">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ESF</w:t>
            </w:r>
          </w:p>
        </w:tc>
        <w:tc>
          <w:tcPr>
            <w:tcW w:w="7796" w:type="dxa"/>
            <w:tcBorders>
              <w:top w:val="single" w:sz="4" w:space="0" w:color="000000"/>
              <w:left w:val="single" w:sz="4" w:space="0" w:color="000000"/>
              <w:bottom w:val="single" w:sz="4" w:space="0" w:color="000000"/>
              <w:right w:val="single" w:sz="4" w:space="0" w:color="000000"/>
            </w:tcBorders>
            <w:shd w:val="clear" w:color="auto" w:fill="auto"/>
            <w:hideMark/>
          </w:tcPr>
          <w:p w:rsidR="003A4C0C" w:rsidRPr="000B521F" w:rsidRDefault="003A4C0C" w:rsidP="00E37E1C">
            <w:pPr>
              <w:numPr>
                <w:ilvl w:val="0"/>
                <w:numId w:val="102"/>
              </w:num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Zvýšená kvalita počátečního vzdělávání s dopadem na vyšší uplatnitelnost absolventů na trhu práce</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 xml:space="preserve">Zvýšení kvality pedagogických pracovníků škol </w:t>
            </w:r>
            <w:r w:rsidRPr="000B521F">
              <w:rPr>
                <w:rFonts w:ascii="Times New Roman" w:hAnsi="Times New Roman" w:cs="Times New Roman"/>
                <w:sz w:val="24"/>
                <w:szCs w:val="24"/>
              </w:rPr>
              <w:lastRenderedPageBreak/>
              <w:t>prostřednictvím lepší pregraduální přípravy, metodické podpory v oblasti rozvoje klíčových kompetencí žáků a prostřednictvím vytvoření a zavedení motivujícího kariérního systému</w:t>
            </w:r>
            <w:r w:rsidR="0089096B">
              <w:rPr>
                <w:rFonts w:ascii="Times New Roman" w:hAnsi="Times New Roman" w:cs="Times New Roman"/>
                <w:sz w:val="24"/>
                <w:szCs w:val="24"/>
              </w:rPr>
              <w:t>.</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Zvýšení kvality vedoucích pracovníků škol</w:t>
            </w:r>
            <w:r w:rsidR="0089096B">
              <w:rPr>
                <w:rFonts w:ascii="Times New Roman" w:hAnsi="Times New Roman" w:cs="Times New Roman"/>
                <w:sz w:val="24"/>
                <w:szCs w:val="24"/>
              </w:rPr>
              <w:t>.</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Dopracování a efektivní využívání komplexního systému hodnocení v počátečním vzdělávání.</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Zlepšení schopností dětí a studentů v oblasti klíčových kompetencích projevující se v mezinárodních srovnáních s dopady na vyšší uplatnitelnost na trhu práce a úspěch v životě.</w:t>
            </w:r>
          </w:p>
          <w:p w:rsidR="003A4C0C" w:rsidRPr="000B521F" w:rsidRDefault="003A4C0C" w:rsidP="00E37E1C">
            <w:pPr>
              <w:numPr>
                <w:ilvl w:val="0"/>
                <w:numId w:val="102"/>
              </w:num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Zvýšená kvalita a dostatečná dostupnost předškolních zařízení</w:t>
            </w:r>
          </w:p>
          <w:p w:rsidR="003A4C0C" w:rsidRPr="000B521F" w:rsidRDefault="003A4C0C" w:rsidP="00E37E1C">
            <w:pPr>
              <w:numPr>
                <w:ilvl w:val="0"/>
                <w:numId w:val="102"/>
              </w:num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Zvýšená schopnost vzdělávacího systému rozvíjet individuální potenciál každého dítěte a studenta ZŠ, SŠ a VŠ</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Zlepšení schopnosti učitelů zohledňovat individuální potřeby a potenciál jednotlivých žáků, zahrnující cílenou podporu jak slabších a znevýhodněných žáků, tak nadaných žáků a studentů.</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Zavedení komplexního přístupu k podpoře sociálně znevýhodněných rodin s cílem integrace dětí do hlavního vzdělávacího proudu</w:t>
            </w:r>
            <w:r w:rsidR="0089096B">
              <w:rPr>
                <w:rFonts w:ascii="Times New Roman" w:hAnsi="Times New Roman" w:cs="Times New Roman"/>
                <w:sz w:val="24"/>
                <w:szCs w:val="24"/>
              </w:rPr>
              <w:t>.</w:t>
            </w:r>
          </w:p>
          <w:p w:rsidR="003A4C0C" w:rsidRPr="000B521F" w:rsidRDefault="003A4C0C" w:rsidP="00E37E1C">
            <w:pPr>
              <w:numPr>
                <w:ilvl w:val="0"/>
                <w:numId w:val="102"/>
              </w:num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Zvýšená uplatnitelnost absolventů SŠ a SOŠ vzdělávání na trhu práce</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Zvýšení souladu středního a středního odborného vzdělávání s požadavky trhu práce prostřednictvím posílení přenositelných, odborných i praktických kompetencí žáků v</w:t>
            </w:r>
            <w:r w:rsidR="0089096B">
              <w:rPr>
                <w:rFonts w:ascii="Times New Roman" w:hAnsi="Times New Roman" w:cs="Times New Roman"/>
                <w:sz w:val="24"/>
                <w:szCs w:val="24"/>
              </w:rPr>
              <w:t>e  spolupráce se zaměstnavateli.</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Zvýšení zájmu dětí a mládeže o technické a přírodovědné obory.</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Zkvalitnění a efektivní využívání kariérního poradenství na školách</w:t>
            </w:r>
            <w:r w:rsidR="0089096B">
              <w:rPr>
                <w:rFonts w:ascii="Times New Roman" w:hAnsi="Times New Roman" w:cs="Times New Roman"/>
                <w:sz w:val="24"/>
                <w:szCs w:val="24"/>
              </w:rPr>
              <w:t>.</w:t>
            </w:r>
          </w:p>
          <w:p w:rsidR="003A4C0C" w:rsidRPr="000B521F" w:rsidRDefault="003A4C0C" w:rsidP="00E37E1C">
            <w:pPr>
              <w:numPr>
                <w:ilvl w:val="0"/>
                <w:numId w:val="102"/>
              </w:num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 xml:space="preserve">Zvýšení kvality dalšího vzdělávání směrem k potřebám trhu práce, vedoucí k vyšší adaptabilitě a lepší uplatnitelnosti účastníků na trhu práce </w:t>
            </w:r>
          </w:p>
          <w:p w:rsidR="003A4C0C" w:rsidRPr="000B521F" w:rsidRDefault="003A4C0C" w:rsidP="00E37E1C">
            <w:pPr>
              <w:numPr>
                <w:ilvl w:val="0"/>
                <w:numId w:val="102"/>
              </w:num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Zvýšení kvality vysokých škol, které povede také ke zlepšení jejich hodnocení v mezinárodních žebříčcích</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Zavedení výzkumného, akademického a profesního profilu u bakalářských a magisterských studijních programů.</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Zvýšení kvality výzkumu na VŠ včetně posílení spolupráce s aplikační sférou.</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Zvýšení spolupráce VŠ se zaměstnavateli včetně zahrnutí praktických zkušeností do studia.</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Zavedení jednotných standardů vnitřního i vnějšího hodnocení kvality vysokých škol</w:t>
            </w:r>
            <w:r w:rsidR="0089096B">
              <w:rPr>
                <w:rFonts w:ascii="Times New Roman" w:hAnsi="Times New Roman" w:cs="Times New Roman"/>
                <w:sz w:val="24"/>
                <w:szCs w:val="24"/>
              </w:rPr>
              <w:t>.</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Zvýšení počtu zahraničních studentů, pedagogů a výzkumníků na vysokých školách, zvýšení podílu domácích studentů se zahraniční zkušeností.</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Zvýšení účasti znevýhodněných studentů na VŠ</w:t>
            </w:r>
            <w:r w:rsidR="0089096B">
              <w:rPr>
                <w:rFonts w:ascii="Times New Roman" w:hAnsi="Times New Roman" w:cs="Times New Roman"/>
                <w:sz w:val="24"/>
                <w:szCs w:val="24"/>
              </w:rPr>
              <w:t>.</w:t>
            </w:r>
          </w:p>
          <w:p w:rsidR="003A4C0C" w:rsidRPr="000B521F" w:rsidRDefault="003A4C0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Snížení míry studijní neúspěšnosti na VŠ</w:t>
            </w:r>
            <w:r w:rsidR="0089096B">
              <w:rPr>
                <w:rFonts w:ascii="Times New Roman" w:hAnsi="Times New Roman" w:cs="Times New Roman"/>
                <w:sz w:val="24"/>
                <w:szCs w:val="24"/>
              </w:rPr>
              <w:t>.</w:t>
            </w:r>
          </w:p>
          <w:p w:rsidR="00353E1C" w:rsidRPr="000B521F" w:rsidRDefault="00353E1C" w:rsidP="00E37E1C">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 xml:space="preserve">Zvýšený rozsah dovedností, znalostí a schopností   lidských zdrojů pro výzkum, vývoj a inovace včetně oblasti řízení </w:t>
            </w:r>
            <w:r w:rsidRPr="000B521F">
              <w:rPr>
                <w:rFonts w:ascii="Times New Roman" w:hAnsi="Times New Roman" w:cs="Times New Roman"/>
                <w:sz w:val="24"/>
                <w:szCs w:val="24"/>
              </w:rPr>
              <w:lastRenderedPageBreak/>
              <w:t>výzkumu, vývoje a inovací a rozvoje excelence na vysokých školách ve vazbě na excelenci ve výzkumu</w:t>
            </w:r>
            <w:r w:rsidR="0089096B">
              <w:rPr>
                <w:rFonts w:ascii="Times New Roman" w:hAnsi="Times New Roman" w:cs="Times New Roman"/>
                <w:sz w:val="24"/>
                <w:szCs w:val="24"/>
              </w:rPr>
              <w:t>.</w:t>
            </w:r>
          </w:p>
        </w:tc>
      </w:tr>
      <w:tr w:rsidR="003A4C0C" w:rsidRPr="000B521F" w:rsidTr="00761093">
        <w:tc>
          <w:tcPr>
            <w:tcW w:w="1384"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3A4C0C" w:rsidRPr="000B521F" w:rsidRDefault="003A4C0C" w:rsidP="00E37E1C">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lastRenderedPageBreak/>
              <w:t>EZFRV</w:t>
            </w:r>
          </w:p>
        </w:tc>
        <w:tc>
          <w:tcPr>
            <w:tcW w:w="7796" w:type="dxa"/>
            <w:tcBorders>
              <w:top w:val="single" w:sz="4" w:space="0" w:color="000000"/>
              <w:left w:val="single" w:sz="4" w:space="0" w:color="000000"/>
              <w:bottom w:val="single" w:sz="4" w:space="0" w:color="000000"/>
              <w:right w:val="single" w:sz="4" w:space="0" w:color="000000"/>
            </w:tcBorders>
            <w:shd w:val="clear" w:color="auto" w:fill="auto"/>
            <w:hideMark/>
          </w:tcPr>
          <w:p w:rsidR="003A4C0C" w:rsidRPr="000B521F" w:rsidRDefault="003A4C0C" w:rsidP="00E37E1C">
            <w:pPr>
              <w:numPr>
                <w:ilvl w:val="0"/>
                <w:numId w:val="102"/>
              </w:numPr>
              <w:spacing w:after="0" w:line="240" w:lineRule="auto"/>
              <w:rPr>
                <w:rFonts w:ascii="Times New Roman" w:hAnsi="Times New Roman" w:cs="Times New Roman"/>
                <w:sz w:val="24"/>
                <w:szCs w:val="24"/>
              </w:rPr>
            </w:pPr>
            <w:r w:rsidRPr="000B521F">
              <w:rPr>
                <w:rFonts w:ascii="Times New Roman" w:hAnsi="Times New Roman" w:cs="Times New Roman"/>
                <w:b/>
                <w:sz w:val="24"/>
                <w:szCs w:val="24"/>
              </w:rPr>
              <w:t xml:space="preserve">Zvýšení kvalifikace pracovníků v zemědělství, lesnictví a </w:t>
            </w:r>
            <w:r w:rsidR="00041452">
              <w:rPr>
                <w:rFonts w:ascii="Times New Roman" w:hAnsi="Times New Roman" w:cs="Times New Roman"/>
                <w:b/>
                <w:sz w:val="24"/>
                <w:szCs w:val="24"/>
              </w:rPr>
              <w:t>potravinářství</w:t>
            </w:r>
            <w:r w:rsidRPr="000B521F">
              <w:rPr>
                <w:rFonts w:ascii="Times New Roman" w:hAnsi="Times New Roman" w:cs="Times New Roman"/>
                <w:b/>
                <w:sz w:val="24"/>
                <w:szCs w:val="24"/>
              </w:rPr>
              <w:t xml:space="preserve"> zejména v oblasti účinného využívání přírodních zdrojů, přizpůsobování se změně klimatu a zmírňování této změny, zajištění potravinové bezpečnosti a zvyšování produktivity.</w:t>
            </w:r>
            <w:r w:rsidRPr="000B521F">
              <w:rPr>
                <w:rFonts w:ascii="Times New Roman" w:hAnsi="Times New Roman" w:cs="Times New Roman"/>
                <w:sz w:val="24"/>
                <w:szCs w:val="24"/>
              </w:rPr>
              <w:t xml:space="preserve"> </w:t>
            </w:r>
          </w:p>
        </w:tc>
      </w:tr>
    </w:tbl>
    <w:p w:rsidR="003A4C0C" w:rsidRPr="000B521F" w:rsidRDefault="003A4C0C" w:rsidP="0059011D">
      <w:pPr>
        <w:pStyle w:val="Tabulka"/>
        <w:spacing w:before="120" w:after="60"/>
        <w:rPr>
          <w:szCs w:val="20"/>
        </w:rPr>
      </w:pPr>
      <w:r w:rsidRPr="000B521F">
        <w:rPr>
          <w:szCs w:val="20"/>
        </w:rPr>
        <w:t>TC 11</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796"/>
      </w:tblGrid>
      <w:tr w:rsidR="003A4C0C" w:rsidRPr="000B521F" w:rsidTr="00267C96">
        <w:tc>
          <w:tcPr>
            <w:tcW w:w="1384" w:type="dxa"/>
            <w:tcBorders>
              <w:top w:val="single" w:sz="4" w:space="0" w:color="000000"/>
              <w:left w:val="single" w:sz="4" w:space="0" w:color="000000"/>
              <w:bottom w:val="single" w:sz="4" w:space="0" w:color="000000"/>
              <w:right w:val="single" w:sz="4" w:space="0" w:color="000000"/>
            </w:tcBorders>
            <w:shd w:val="clear" w:color="auto" w:fill="8DB3E2" w:themeFill="text2" w:themeFillTint="66"/>
            <w:hideMark/>
          </w:tcPr>
          <w:p w:rsidR="003A4C0C" w:rsidRPr="000B521F" w:rsidRDefault="003A4C0C" w:rsidP="00267C96">
            <w:p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Fond</w:t>
            </w:r>
          </w:p>
        </w:tc>
        <w:tc>
          <w:tcPr>
            <w:tcW w:w="7796" w:type="dxa"/>
            <w:tcBorders>
              <w:top w:val="single" w:sz="4" w:space="0" w:color="000000"/>
              <w:left w:val="single" w:sz="4" w:space="0" w:color="000000"/>
              <w:bottom w:val="single" w:sz="4" w:space="0" w:color="000000"/>
              <w:right w:val="single" w:sz="4" w:space="0" w:color="000000"/>
            </w:tcBorders>
            <w:shd w:val="clear" w:color="auto" w:fill="8DB3E2" w:themeFill="text2" w:themeFillTint="66"/>
            <w:hideMark/>
          </w:tcPr>
          <w:p w:rsidR="003A4C0C" w:rsidRPr="000B521F" w:rsidRDefault="003A4C0C" w:rsidP="00267C96">
            <w:p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Hlavní výsledky</w:t>
            </w:r>
          </w:p>
        </w:tc>
      </w:tr>
      <w:tr w:rsidR="003A4C0C" w:rsidRPr="000B521F" w:rsidTr="00267C96">
        <w:tc>
          <w:tcPr>
            <w:tcW w:w="1384"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3A4C0C" w:rsidRPr="000B521F" w:rsidRDefault="003A4C0C"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EFRR</w:t>
            </w:r>
          </w:p>
        </w:tc>
        <w:tc>
          <w:tcPr>
            <w:tcW w:w="7796" w:type="dxa"/>
            <w:tcBorders>
              <w:top w:val="single" w:sz="4" w:space="0" w:color="000000"/>
              <w:left w:val="single" w:sz="4" w:space="0" w:color="000000"/>
              <w:bottom w:val="single" w:sz="4" w:space="0" w:color="000000"/>
              <w:right w:val="single" w:sz="4" w:space="0" w:color="000000"/>
            </w:tcBorders>
            <w:hideMark/>
          </w:tcPr>
          <w:p w:rsidR="003A4C0C" w:rsidRPr="000B521F" w:rsidRDefault="003A4C0C" w:rsidP="00267C96">
            <w:pPr>
              <w:numPr>
                <w:ilvl w:val="0"/>
                <w:numId w:val="102"/>
              </w:num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 xml:space="preserve">Zvýšená efektivita a účinnost veřejné správy </w:t>
            </w:r>
          </w:p>
          <w:p w:rsidR="003A4C0C" w:rsidRPr="00267C96" w:rsidRDefault="003A4C0C" w:rsidP="00267C96">
            <w:pPr>
              <w:numPr>
                <w:ilvl w:val="1"/>
                <w:numId w:val="102"/>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 xml:space="preserve">Zvýšení efektivity řízení a rozvoje obcí </w:t>
            </w:r>
            <w:r w:rsidR="00FA5396">
              <w:rPr>
                <w:rFonts w:ascii="Times New Roman" w:hAnsi="Times New Roman" w:cs="Times New Roman"/>
                <w:sz w:val="24"/>
                <w:szCs w:val="24"/>
              </w:rPr>
              <w:t xml:space="preserve">a zlepšení rozhodování </w:t>
            </w:r>
            <w:r w:rsidRPr="000B521F">
              <w:rPr>
                <w:rFonts w:ascii="Times New Roman" w:hAnsi="Times New Roman" w:cs="Times New Roman"/>
                <w:sz w:val="24"/>
                <w:szCs w:val="24"/>
              </w:rPr>
              <w:t>pomocí podpory pořizování a uplatňování dokumentů územního rozvoje</w:t>
            </w:r>
            <w:r w:rsidR="0089096B">
              <w:rPr>
                <w:rFonts w:ascii="Times New Roman" w:hAnsi="Times New Roman" w:cs="Times New Roman"/>
                <w:sz w:val="24"/>
                <w:szCs w:val="24"/>
              </w:rPr>
              <w:t>.</w:t>
            </w:r>
          </w:p>
          <w:p w:rsidR="003A4C0C" w:rsidRPr="000B521F" w:rsidRDefault="003A4C0C" w:rsidP="00267C96">
            <w:pPr>
              <w:numPr>
                <w:ilvl w:val="0"/>
                <w:numId w:val="102"/>
              </w:num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Zvýšená transparentnost veřejné správy (včetně justice)</w:t>
            </w:r>
          </w:p>
          <w:p w:rsidR="003A4C0C" w:rsidRPr="00267C96" w:rsidRDefault="0089096B" w:rsidP="00267C96">
            <w:pPr>
              <w:numPr>
                <w:ilvl w:val="1"/>
                <w:numId w:val="102"/>
              </w:numPr>
              <w:spacing w:after="0" w:line="240" w:lineRule="auto"/>
              <w:rPr>
                <w:rFonts w:ascii="Times New Roman" w:hAnsi="Times New Roman" w:cs="Times New Roman"/>
                <w:sz w:val="24"/>
                <w:szCs w:val="24"/>
              </w:rPr>
            </w:pPr>
            <w:r>
              <w:rPr>
                <w:rFonts w:ascii="Times New Roman" w:hAnsi="Times New Roman" w:cs="Times New Roman"/>
                <w:sz w:val="24"/>
                <w:szCs w:val="24"/>
              </w:rPr>
              <w:t>D</w:t>
            </w:r>
            <w:r w:rsidR="003A4C0C" w:rsidRPr="000B521F">
              <w:rPr>
                <w:rFonts w:ascii="Times New Roman" w:hAnsi="Times New Roman" w:cs="Times New Roman"/>
                <w:sz w:val="24"/>
                <w:szCs w:val="24"/>
              </w:rPr>
              <w:t>okončení propojení datového fondu veřejné správy a jeho využívání na principu sdí</w:t>
            </w:r>
            <w:r>
              <w:rPr>
                <w:rFonts w:ascii="Times New Roman" w:hAnsi="Times New Roman" w:cs="Times New Roman"/>
                <w:sz w:val="24"/>
                <w:szCs w:val="24"/>
              </w:rPr>
              <w:t>lení již jednou pořízených dat</w:t>
            </w:r>
            <w:r w:rsidR="00853783">
              <w:rPr>
                <w:rFonts w:ascii="Times New Roman" w:hAnsi="Times New Roman" w:cs="Times New Roman"/>
                <w:sz w:val="24"/>
                <w:szCs w:val="24"/>
              </w:rPr>
              <w:t xml:space="preserve"> (př. eHealth, e Justice, eCulture</w:t>
            </w:r>
            <w:r w:rsidR="00853783" w:rsidRPr="003A4C0C">
              <w:rPr>
                <w:rFonts w:ascii="Times New Roman" w:hAnsi="Times New Roman" w:cs="Times New Roman"/>
                <w:sz w:val="24"/>
                <w:szCs w:val="24"/>
              </w:rPr>
              <w:t>,</w:t>
            </w:r>
            <w:r w:rsidR="00853783">
              <w:rPr>
                <w:rFonts w:ascii="Times New Roman" w:hAnsi="Times New Roman" w:cs="Times New Roman"/>
                <w:sz w:val="24"/>
                <w:szCs w:val="24"/>
              </w:rPr>
              <w:t xml:space="preserve"> elektronická identifikace a autentizace)</w:t>
            </w:r>
            <w:r w:rsidR="00853783" w:rsidRPr="003A4C0C">
              <w:rPr>
                <w:rFonts w:ascii="Times New Roman" w:hAnsi="Times New Roman" w:cs="Times New Roman"/>
                <w:sz w:val="24"/>
                <w:szCs w:val="24"/>
              </w:rPr>
              <w:t xml:space="preserve"> </w:t>
            </w:r>
          </w:p>
          <w:p w:rsidR="003A4C0C" w:rsidRPr="000B521F" w:rsidRDefault="0089096B" w:rsidP="00267C96">
            <w:pPr>
              <w:numPr>
                <w:ilvl w:val="1"/>
                <w:numId w:val="102"/>
              </w:numPr>
              <w:spacing w:after="0" w:line="240" w:lineRule="auto"/>
              <w:rPr>
                <w:rFonts w:ascii="Times New Roman" w:hAnsi="Times New Roman" w:cs="Times New Roman"/>
                <w:sz w:val="24"/>
                <w:szCs w:val="24"/>
              </w:rPr>
            </w:pPr>
            <w:r>
              <w:rPr>
                <w:rFonts w:ascii="Times New Roman" w:hAnsi="Times New Roman" w:cs="Times New Roman"/>
                <w:sz w:val="24"/>
                <w:szCs w:val="24"/>
              </w:rPr>
              <w:t>T</w:t>
            </w:r>
            <w:r w:rsidR="003A4C0C" w:rsidRPr="000B521F">
              <w:rPr>
                <w:rFonts w:ascii="Times New Roman" w:hAnsi="Times New Roman" w:cs="Times New Roman"/>
                <w:sz w:val="24"/>
                <w:szCs w:val="24"/>
              </w:rPr>
              <w:t>vorba specifických informačních systémů s cílem zlepšit fungování veřejné správy a zrychlit procesy v ní realizované</w:t>
            </w:r>
            <w:r>
              <w:rPr>
                <w:rFonts w:ascii="Times New Roman" w:hAnsi="Times New Roman" w:cs="Times New Roman"/>
                <w:sz w:val="24"/>
                <w:szCs w:val="24"/>
              </w:rPr>
              <w:t>.</w:t>
            </w:r>
          </w:p>
          <w:p w:rsidR="003A4C0C" w:rsidRPr="000B521F" w:rsidRDefault="0089096B" w:rsidP="00267C96">
            <w:pPr>
              <w:numPr>
                <w:ilvl w:val="1"/>
                <w:numId w:val="102"/>
              </w:numPr>
              <w:spacing w:after="0" w:line="240" w:lineRule="auto"/>
              <w:rPr>
                <w:rFonts w:ascii="Times New Roman" w:hAnsi="Times New Roman" w:cs="Times New Roman"/>
                <w:sz w:val="24"/>
                <w:szCs w:val="24"/>
              </w:rPr>
            </w:pPr>
            <w:r>
              <w:rPr>
                <w:rFonts w:ascii="Times New Roman" w:hAnsi="Times New Roman" w:cs="Times New Roman"/>
                <w:sz w:val="24"/>
                <w:szCs w:val="24"/>
              </w:rPr>
              <w:t>Z</w:t>
            </w:r>
            <w:r w:rsidR="003A4C0C" w:rsidRPr="000B521F">
              <w:rPr>
                <w:rFonts w:ascii="Times New Roman" w:hAnsi="Times New Roman" w:cs="Times New Roman"/>
                <w:sz w:val="24"/>
                <w:szCs w:val="24"/>
              </w:rPr>
              <w:t>avádění nástroje podporující inteligentní publikování dat na principu „open data“ vedoucí ke zjednodušení přístupu občanů k informacím veřejné správy “.</w:t>
            </w:r>
          </w:p>
          <w:p w:rsidR="003A4C0C" w:rsidRPr="000B521F" w:rsidRDefault="003A4C0C" w:rsidP="00267C96">
            <w:pPr>
              <w:numPr>
                <w:ilvl w:val="0"/>
                <w:numId w:val="102"/>
              </w:num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Posílená elektronizace a zvýšená bezpečnost dat veřejné správy (včetně justice)</w:t>
            </w:r>
          </w:p>
          <w:p w:rsidR="00F3719F" w:rsidRDefault="00267C96" w:rsidP="00267C96">
            <w:pPr>
              <w:pStyle w:val="Odstavecseseznamem"/>
              <w:numPr>
                <w:ilvl w:val="1"/>
                <w:numId w:val="102"/>
              </w:numPr>
              <w:spacing w:after="0" w:line="240" w:lineRule="auto"/>
              <w:ind w:left="1434" w:hanging="357"/>
              <w:jc w:val="both"/>
              <w:rPr>
                <w:rFonts w:ascii="Times New Roman" w:hAnsi="Times New Roman" w:cs="Times New Roman"/>
                <w:sz w:val="24"/>
                <w:szCs w:val="24"/>
              </w:rPr>
            </w:pPr>
            <w:r>
              <w:rPr>
                <w:rFonts w:ascii="Times New Roman" w:hAnsi="Times New Roman" w:cs="Times New Roman"/>
                <w:sz w:val="24"/>
                <w:szCs w:val="24"/>
              </w:rPr>
              <w:t>P</w:t>
            </w:r>
            <w:r w:rsidR="00853783" w:rsidRPr="00853783">
              <w:rPr>
                <w:rFonts w:ascii="Times New Roman" w:hAnsi="Times New Roman" w:cs="Times New Roman"/>
                <w:sz w:val="24"/>
                <w:szCs w:val="24"/>
              </w:rPr>
              <w:t>odpora vzniku a vybavenosti orgánů veřejné správy pro potřeby ochrany infrastruktury ICT pro zajištění řízeného a bezpečného sdílení a uchovávání dat v rámci veřejné správy a složek IZS v souladu se standardy kybernetické bezpečnosti.</w:t>
            </w:r>
          </w:p>
          <w:p w:rsidR="003A4C0C" w:rsidRPr="00267C96" w:rsidRDefault="003A4C0C" w:rsidP="00267C96">
            <w:pPr>
              <w:spacing w:after="0" w:line="240" w:lineRule="auto"/>
              <w:ind w:left="1440"/>
              <w:rPr>
                <w:rFonts w:ascii="Times New Roman" w:hAnsi="Times New Roman" w:cs="Times New Roman"/>
                <w:sz w:val="24"/>
                <w:szCs w:val="24"/>
              </w:rPr>
            </w:pPr>
          </w:p>
        </w:tc>
      </w:tr>
      <w:tr w:rsidR="003A4C0C" w:rsidRPr="000B521F" w:rsidTr="00267C96">
        <w:tc>
          <w:tcPr>
            <w:tcW w:w="1384" w:type="dxa"/>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3A4C0C" w:rsidRPr="000B521F" w:rsidRDefault="003A4C0C"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ESF</w:t>
            </w:r>
          </w:p>
        </w:tc>
        <w:tc>
          <w:tcPr>
            <w:tcW w:w="7796" w:type="dxa"/>
            <w:tcBorders>
              <w:top w:val="single" w:sz="4" w:space="0" w:color="000000"/>
              <w:left w:val="single" w:sz="4" w:space="0" w:color="000000"/>
              <w:bottom w:val="single" w:sz="4" w:space="0" w:color="000000"/>
              <w:right w:val="single" w:sz="4" w:space="0" w:color="000000"/>
            </w:tcBorders>
            <w:hideMark/>
          </w:tcPr>
          <w:p w:rsidR="003A4C0C" w:rsidRPr="000B521F" w:rsidRDefault="003A4C0C" w:rsidP="00267C96">
            <w:pPr>
              <w:numPr>
                <w:ilvl w:val="0"/>
                <w:numId w:val="102"/>
              </w:numPr>
              <w:spacing w:after="0" w:line="240" w:lineRule="auto"/>
              <w:rPr>
                <w:rFonts w:ascii="Times New Roman" w:hAnsi="Times New Roman" w:cs="Times New Roman"/>
                <w:sz w:val="24"/>
                <w:szCs w:val="24"/>
              </w:rPr>
            </w:pPr>
            <w:r w:rsidRPr="000B521F">
              <w:rPr>
                <w:rFonts w:ascii="Times New Roman" w:hAnsi="Times New Roman" w:cs="Times New Roman"/>
                <w:b/>
                <w:sz w:val="24"/>
                <w:szCs w:val="24"/>
              </w:rPr>
              <w:t>Zvýšená efektivita a účinnost veřejné správy (včetně justice)</w:t>
            </w:r>
          </w:p>
          <w:p w:rsidR="003A4C0C" w:rsidRPr="000B521F" w:rsidRDefault="003A4C0C" w:rsidP="00267C96">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Snížení čisté (netto) administrativní a regulační zátěže pomocí nastavení systémových nástrojů pro objektivní a nezávislé posouzení dopadů právní regulace a korupčních rizik ex ante i ex post.</w:t>
            </w:r>
          </w:p>
          <w:p w:rsidR="003A4C0C" w:rsidRPr="000B521F" w:rsidRDefault="003A4C0C" w:rsidP="00267C96">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Vytvoření a rozvoj standardů veřejných služeb za účelem snižování administrativní zátěže u konkrétních životních situací a skupin občanů u všech agend veřejné správy.</w:t>
            </w:r>
          </w:p>
          <w:p w:rsidR="003A4C0C" w:rsidRPr="000B521F" w:rsidRDefault="003A4C0C" w:rsidP="00267C96">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Zavedení procesů řízení kvality, optimalizace procesů ve veřejné správě včetně justice s důrazem na stabilizaci veřejných rozpočtů, vymezení kompetencí mezi jednotlivými úrovněmi veřejné správy pomocí odstranění duplicit, nastavení efektivních (administrativně nenáročných a inteligentních) kontrolních mechanismů a zlepšení koncepčního a strategického řízení ve veřejné správě včetně zavádění využívání moderních analytických a evaluačních nástrojů do výkonu veřejné správy</w:t>
            </w:r>
            <w:r w:rsidR="0089096B">
              <w:rPr>
                <w:rFonts w:ascii="Times New Roman" w:hAnsi="Times New Roman" w:cs="Times New Roman"/>
                <w:sz w:val="24"/>
                <w:szCs w:val="24"/>
              </w:rPr>
              <w:t>.</w:t>
            </w:r>
          </w:p>
          <w:p w:rsidR="003A4C0C" w:rsidRPr="000B521F" w:rsidRDefault="003A4C0C" w:rsidP="00267C96">
            <w:pPr>
              <w:numPr>
                <w:ilvl w:val="0"/>
                <w:numId w:val="102"/>
              </w:num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Zvýšená odbornost veřejné správy (včetně justice)</w:t>
            </w:r>
          </w:p>
          <w:p w:rsidR="003A4C0C" w:rsidRPr="000B521F" w:rsidRDefault="003A4C0C" w:rsidP="00267C96">
            <w:pPr>
              <w:numPr>
                <w:ilvl w:val="1"/>
                <w:numId w:val="46"/>
              </w:num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 xml:space="preserve">Zavedení moderních metod řízení a rozhodování ve VS včetně managementu řízení a rozvoje lidských zdrojů (zejména </w:t>
            </w:r>
            <w:r w:rsidRPr="000B521F">
              <w:rPr>
                <w:rFonts w:ascii="Times New Roman" w:hAnsi="Times New Roman" w:cs="Times New Roman"/>
                <w:sz w:val="24"/>
                <w:szCs w:val="24"/>
              </w:rPr>
              <w:lastRenderedPageBreak/>
              <w:t>rozvíjení a prohlubování kvalifikace a akceschopnosti pracovní síly ve veřejném sektoru, odpolitizování veřejné správy, zajištění její stability a snížení fluktuace aj.)</w:t>
            </w:r>
            <w:r w:rsidR="0089096B">
              <w:rPr>
                <w:rFonts w:ascii="Times New Roman" w:hAnsi="Times New Roman" w:cs="Times New Roman"/>
                <w:sz w:val="24"/>
                <w:szCs w:val="24"/>
              </w:rPr>
              <w:t>.</w:t>
            </w:r>
          </w:p>
          <w:p w:rsidR="003A4C0C" w:rsidRPr="000B521F" w:rsidRDefault="003A4C0C" w:rsidP="00267C96">
            <w:pPr>
              <w:numPr>
                <w:ilvl w:val="0"/>
                <w:numId w:val="102"/>
              </w:numPr>
              <w:spacing w:after="0" w:line="240" w:lineRule="auto"/>
              <w:rPr>
                <w:rFonts w:ascii="Times New Roman" w:hAnsi="Times New Roman" w:cs="Times New Roman"/>
                <w:b/>
                <w:sz w:val="24"/>
                <w:szCs w:val="24"/>
              </w:rPr>
            </w:pPr>
            <w:r w:rsidRPr="000B521F">
              <w:rPr>
                <w:rFonts w:ascii="Times New Roman" w:hAnsi="Times New Roman" w:cs="Times New Roman"/>
                <w:b/>
                <w:sz w:val="24"/>
                <w:szCs w:val="24"/>
              </w:rPr>
              <w:t>Zvýšená transparentnost veřejné správy (včetně justice)</w:t>
            </w:r>
          </w:p>
          <w:p w:rsidR="003A4C0C" w:rsidRPr="000B521F" w:rsidRDefault="0089096B" w:rsidP="00267C96">
            <w:pPr>
              <w:numPr>
                <w:ilvl w:val="1"/>
                <w:numId w:val="46"/>
              </w:numPr>
              <w:spacing w:after="0" w:line="240" w:lineRule="auto"/>
              <w:rPr>
                <w:rFonts w:ascii="Times New Roman" w:hAnsi="Times New Roman" w:cs="Times New Roman"/>
                <w:sz w:val="24"/>
                <w:szCs w:val="24"/>
              </w:rPr>
            </w:pPr>
            <w:r>
              <w:rPr>
                <w:rFonts w:ascii="Times New Roman" w:hAnsi="Times New Roman" w:cs="Times New Roman"/>
                <w:sz w:val="24"/>
                <w:szCs w:val="24"/>
              </w:rPr>
              <w:t>P</w:t>
            </w:r>
            <w:r w:rsidR="003A4C0C" w:rsidRPr="000B521F">
              <w:rPr>
                <w:rFonts w:ascii="Times New Roman" w:hAnsi="Times New Roman" w:cs="Times New Roman"/>
                <w:sz w:val="24"/>
                <w:szCs w:val="24"/>
              </w:rPr>
              <w:t>řijetí a vstup v účinnost adekvátních legislativních předpisů v oblasti postavení úředníků ve veřejné správě, veřejných zakázek apod. a zajištění efektivní implementace těchto předpisů pro posílení otevřenosti veřejných institucí vůči občanům a zvýšení transparentnosti a stability VS</w:t>
            </w:r>
            <w:r>
              <w:rPr>
                <w:rFonts w:ascii="Times New Roman" w:hAnsi="Times New Roman" w:cs="Times New Roman"/>
                <w:sz w:val="24"/>
                <w:szCs w:val="24"/>
              </w:rPr>
              <w:t>.</w:t>
            </w:r>
          </w:p>
        </w:tc>
      </w:tr>
    </w:tbl>
    <w:p w:rsidR="003A4C0C" w:rsidRPr="000B521F" w:rsidRDefault="003A4C0C" w:rsidP="0059011D">
      <w:pPr>
        <w:spacing w:after="120" w:line="240" w:lineRule="auto"/>
        <w:rPr>
          <w:rFonts w:ascii="Times New Roman" w:hAnsi="Times New Roman" w:cs="Times New Roman"/>
          <w:sz w:val="24"/>
          <w:szCs w:val="24"/>
        </w:rPr>
      </w:pPr>
    </w:p>
    <w:p w:rsidR="00EF0413" w:rsidRPr="000B521F" w:rsidRDefault="00EF0413" w:rsidP="0059011D">
      <w:pPr>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K naplňování vybraných tematických cílů bude směřovat realizace programů ESIF. Níže uvedená tabulka přehledně uvádí příslušné programy přispívající k naplnění jednotlivých tematických cílů.</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985"/>
        <w:gridCol w:w="5386"/>
      </w:tblGrid>
      <w:tr w:rsidR="0015622A" w:rsidRPr="000B521F" w:rsidTr="00761093">
        <w:tc>
          <w:tcPr>
            <w:tcW w:w="1384" w:type="dxa"/>
            <w:shd w:val="clear" w:color="auto" w:fill="8DB3E2" w:themeFill="text2" w:themeFillTint="66"/>
          </w:tcPr>
          <w:p w:rsidR="004C78CE" w:rsidRPr="000B521F" w:rsidRDefault="004C78CE" w:rsidP="00267C96">
            <w:pPr>
              <w:spacing w:after="0" w:line="240" w:lineRule="auto"/>
              <w:jc w:val="center"/>
              <w:rPr>
                <w:rFonts w:ascii="Times New Roman" w:hAnsi="Times New Roman" w:cs="Times New Roman"/>
                <w:b/>
                <w:sz w:val="24"/>
                <w:szCs w:val="24"/>
                <w:lang w:eastAsia="cs-CZ"/>
              </w:rPr>
            </w:pPr>
            <w:r w:rsidRPr="000B521F">
              <w:rPr>
                <w:rFonts w:ascii="Times New Roman" w:hAnsi="Times New Roman" w:cs="Times New Roman"/>
                <w:b/>
                <w:sz w:val="24"/>
                <w:szCs w:val="24"/>
                <w:lang w:eastAsia="cs-CZ"/>
              </w:rPr>
              <w:t>TC</w:t>
            </w:r>
          </w:p>
        </w:tc>
        <w:tc>
          <w:tcPr>
            <w:tcW w:w="1985" w:type="dxa"/>
            <w:shd w:val="clear" w:color="auto" w:fill="8DB3E2" w:themeFill="text2" w:themeFillTint="66"/>
          </w:tcPr>
          <w:p w:rsidR="004C78CE" w:rsidRPr="000B521F" w:rsidRDefault="004C78CE" w:rsidP="00267C96">
            <w:pPr>
              <w:spacing w:after="0" w:line="240" w:lineRule="auto"/>
              <w:jc w:val="center"/>
              <w:rPr>
                <w:rFonts w:ascii="Times New Roman" w:hAnsi="Times New Roman" w:cs="Times New Roman"/>
                <w:b/>
                <w:sz w:val="24"/>
                <w:szCs w:val="24"/>
              </w:rPr>
            </w:pPr>
            <w:r w:rsidRPr="000B521F">
              <w:rPr>
                <w:rFonts w:ascii="Times New Roman" w:hAnsi="Times New Roman" w:cs="Times New Roman"/>
                <w:b/>
                <w:sz w:val="24"/>
                <w:szCs w:val="24"/>
              </w:rPr>
              <w:t>Fondy</w:t>
            </w:r>
          </w:p>
        </w:tc>
        <w:tc>
          <w:tcPr>
            <w:tcW w:w="5386" w:type="dxa"/>
            <w:shd w:val="clear" w:color="auto" w:fill="8DB3E2" w:themeFill="text2" w:themeFillTint="66"/>
          </w:tcPr>
          <w:p w:rsidR="004C78CE" w:rsidRPr="000B521F" w:rsidRDefault="004C78CE" w:rsidP="00267C96">
            <w:pPr>
              <w:spacing w:after="0" w:line="240" w:lineRule="auto"/>
              <w:jc w:val="center"/>
              <w:rPr>
                <w:rFonts w:ascii="Times New Roman" w:hAnsi="Times New Roman" w:cs="Times New Roman"/>
                <w:b/>
                <w:sz w:val="24"/>
                <w:szCs w:val="24"/>
              </w:rPr>
            </w:pPr>
            <w:r w:rsidRPr="000B521F">
              <w:rPr>
                <w:rFonts w:ascii="Times New Roman" w:hAnsi="Times New Roman" w:cs="Times New Roman"/>
                <w:b/>
                <w:sz w:val="24"/>
                <w:szCs w:val="24"/>
              </w:rPr>
              <w:t>Programy naplňující TC</w:t>
            </w:r>
          </w:p>
        </w:tc>
      </w:tr>
      <w:tr w:rsidR="004C78CE" w:rsidRPr="000B521F" w:rsidTr="00761093">
        <w:tc>
          <w:tcPr>
            <w:tcW w:w="1384" w:type="dxa"/>
            <w:shd w:val="clear" w:color="auto" w:fill="C6D9F1" w:themeFill="text2" w:themeFillTint="33"/>
            <w:vAlign w:val="center"/>
          </w:tcPr>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TC1</w:t>
            </w:r>
          </w:p>
        </w:tc>
        <w:tc>
          <w:tcPr>
            <w:tcW w:w="1985" w:type="dxa"/>
            <w:shd w:val="clear" w:color="auto" w:fill="auto"/>
            <w:vAlign w:val="center"/>
          </w:tcPr>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EFRR</w:t>
            </w:r>
            <w:r w:rsidR="00357D5B" w:rsidRPr="000B521F">
              <w:rPr>
                <w:rFonts w:ascii="Times New Roman" w:hAnsi="Times New Roman" w:cs="Times New Roman"/>
                <w:sz w:val="24"/>
                <w:szCs w:val="24"/>
              </w:rPr>
              <w:t>, EZFRV</w:t>
            </w:r>
          </w:p>
        </w:tc>
        <w:tc>
          <w:tcPr>
            <w:tcW w:w="5386" w:type="dxa"/>
            <w:shd w:val="clear" w:color="auto" w:fill="auto"/>
          </w:tcPr>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OP Podnikání a inovace pro konkurenceschopnost</w:t>
            </w:r>
          </w:p>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OP Výzkum, vývoj a vzdělávání</w:t>
            </w:r>
          </w:p>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OP Praha – pól růstu ČR</w:t>
            </w:r>
          </w:p>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Program rozvoje venkova</w:t>
            </w:r>
          </w:p>
        </w:tc>
      </w:tr>
      <w:tr w:rsidR="004C78CE" w:rsidRPr="000B521F" w:rsidTr="00761093">
        <w:tc>
          <w:tcPr>
            <w:tcW w:w="1384" w:type="dxa"/>
            <w:shd w:val="clear" w:color="auto" w:fill="C6D9F1" w:themeFill="text2" w:themeFillTint="33"/>
            <w:vAlign w:val="center"/>
          </w:tcPr>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TC2</w:t>
            </w:r>
          </w:p>
        </w:tc>
        <w:tc>
          <w:tcPr>
            <w:tcW w:w="1985" w:type="dxa"/>
            <w:shd w:val="clear" w:color="auto" w:fill="auto"/>
            <w:vAlign w:val="center"/>
          </w:tcPr>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EFRR</w:t>
            </w:r>
          </w:p>
        </w:tc>
        <w:tc>
          <w:tcPr>
            <w:tcW w:w="5386" w:type="dxa"/>
            <w:shd w:val="clear" w:color="auto" w:fill="auto"/>
          </w:tcPr>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OP Podnikání a inovace pro konkurenceschopnost</w:t>
            </w:r>
          </w:p>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Integrovaný regionální operační program</w:t>
            </w:r>
          </w:p>
        </w:tc>
      </w:tr>
      <w:tr w:rsidR="004C78CE" w:rsidRPr="000B521F" w:rsidTr="00761093">
        <w:tc>
          <w:tcPr>
            <w:tcW w:w="1384" w:type="dxa"/>
            <w:shd w:val="clear" w:color="auto" w:fill="C6D9F1" w:themeFill="text2" w:themeFillTint="33"/>
            <w:vAlign w:val="center"/>
          </w:tcPr>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TC3</w:t>
            </w:r>
          </w:p>
        </w:tc>
        <w:tc>
          <w:tcPr>
            <w:tcW w:w="1985" w:type="dxa"/>
            <w:shd w:val="clear" w:color="auto" w:fill="auto"/>
            <w:vAlign w:val="center"/>
          </w:tcPr>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EFRR, ENRF</w:t>
            </w:r>
            <w:r w:rsidR="00357D5B" w:rsidRPr="000B521F">
              <w:rPr>
                <w:rFonts w:ascii="Times New Roman" w:hAnsi="Times New Roman" w:cs="Times New Roman"/>
                <w:sz w:val="24"/>
                <w:szCs w:val="24"/>
              </w:rPr>
              <w:t>, EZFRV</w:t>
            </w:r>
          </w:p>
        </w:tc>
        <w:tc>
          <w:tcPr>
            <w:tcW w:w="5386" w:type="dxa"/>
            <w:shd w:val="clear" w:color="auto" w:fill="auto"/>
          </w:tcPr>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OP Podnikání a inovace pro konkurenceschopnost</w:t>
            </w:r>
          </w:p>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Integrovaný regionální operační program</w:t>
            </w:r>
          </w:p>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OP Rybářství</w:t>
            </w:r>
          </w:p>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Program rozvoje venkova</w:t>
            </w:r>
          </w:p>
        </w:tc>
      </w:tr>
      <w:tr w:rsidR="004C78CE" w:rsidRPr="000B521F" w:rsidTr="00761093">
        <w:tc>
          <w:tcPr>
            <w:tcW w:w="1384" w:type="dxa"/>
            <w:shd w:val="clear" w:color="auto" w:fill="C6D9F1" w:themeFill="text2" w:themeFillTint="33"/>
            <w:vAlign w:val="center"/>
          </w:tcPr>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TC 4</w:t>
            </w:r>
          </w:p>
        </w:tc>
        <w:tc>
          <w:tcPr>
            <w:tcW w:w="1985" w:type="dxa"/>
            <w:shd w:val="clear" w:color="auto" w:fill="auto"/>
            <w:vAlign w:val="center"/>
          </w:tcPr>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EFRR, FS</w:t>
            </w:r>
            <w:r w:rsidR="00357D5B" w:rsidRPr="000B521F">
              <w:rPr>
                <w:rFonts w:ascii="Times New Roman" w:hAnsi="Times New Roman" w:cs="Times New Roman"/>
                <w:sz w:val="24"/>
                <w:szCs w:val="24"/>
              </w:rPr>
              <w:t>, EZFRV</w:t>
            </w:r>
          </w:p>
        </w:tc>
        <w:tc>
          <w:tcPr>
            <w:tcW w:w="5386" w:type="dxa"/>
            <w:shd w:val="clear" w:color="auto" w:fill="auto"/>
          </w:tcPr>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OP Podnikání a inovace pro konkurenceschopnost</w:t>
            </w:r>
          </w:p>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OP Životní prostředí</w:t>
            </w:r>
          </w:p>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Integrovaný regionální operační program</w:t>
            </w:r>
          </w:p>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OP Praha – pól růstu ČR</w:t>
            </w:r>
          </w:p>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Program rozvoje venkova</w:t>
            </w:r>
          </w:p>
        </w:tc>
      </w:tr>
      <w:tr w:rsidR="004C78CE" w:rsidRPr="000B521F" w:rsidTr="00761093">
        <w:tc>
          <w:tcPr>
            <w:tcW w:w="1384" w:type="dxa"/>
            <w:shd w:val="clear" w:color="auto" w:fill="C6D9F1" w:themeFill="text2" w:themeFillTint="33"/>
            <w:vAlign w:val="center"/>
          </w:tcPr>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TC 5</w:t>
            </w:r>
          </w:p>
        </w:tc>
        <w:tc>
          <w:tcPr>
            <w:tcW w:w="1985" w:type="dxa"/>
            <w:shd w:val="clear" w:color="auto" w:fill="auto"/>
            <w:vAlign w:val="center"/>
          </w:tcPr>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EFRR, FS</w:t>
            </w:r>
            <w:r w:rsidR="00041452">
              <w:rPr>
                <w:rFonts w:ascii="Times New Roman" w:hAnsi="Times New Roman" w:cs="Times New Roman"/>
                <w:sz w:val="24"/>
                <w:szCs w:val="24"/>
              </w:rPr>
              <w:t>, EZFRV</w:t>
            </w:r>
          </w:p>
        </w:tc>
        <w:tc>
          <w:tcPr>
            <w:tcW w:w="5386" w:type="dxa"/>
            <w:shd w:val="clear" w:color="auto" w:fill="auto"/>
          </w:tcPr>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OP Životní prostředí</w:t>
            </w:r>
          </w:p>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Integrovaný regionální operační program</w:t>
            </w:r>
          </w:p>
          <w:p w:rsidR="004C78CE" w:rsidRPr="000B521F" w:rsidRDefault="00041452" w:rsidP="00267C96">
            <w:pPr>
              <w:spacing w:after="0" w:line="240" w:lineRule="auto"/>
              <w:rPr>
                <w:rFonts w:ascii="Times New Roman" w:hAnsi="Times New Roman" w:cs="Times New Roman"/>
                <w:sz w:val="24"/>
                <w:szCs w:val="24"/>
              </w:rPr>
            </w:pPr>
            <w:r w:rsidRPr="00041452">
              <w:rPr>
                <w:rFonts w:ascii="Times New Roman" w:hAnsi="Times New Roman" w:cs="Times New Roman"/>
                <w:sz w:val="24"/>
                <w:szCs w:val="24"/>
              </w:rPr>
              <w:t>Program rozvoje venkova</w:t>
            </w:r>
          </w:p>
        </w:tc>
      </w:tr>
      <w:tr w:rsidR="004C78CE" w:rsidRPr="000B521F" w:rsidTr="00761093">
        <w:tc>
          <w:tcPr>
            <w:tcW w:w="1384" w:type="dxa"/>
            <w:shd w:val="clear" w:color="auto" w:fill="C6D9F1" w:themeFill="text2" w:themeFillTint="33"/>
            <w:vAlign w:val="center"/>
          </w:tcPr>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TC 6</w:t>
            </w:r>
          </w:p>
        </w:tc>
        <w:tc>
          <w:tcPr>
            <w:tcW w:w="1985" w:type="dxa"/>
            <w:shd w:val="clear" w:color="auto" w:fill="auto"/>
            <w:vAlign w:val="center"/>
          </w:tcPr>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EFRR, FS, ENRF</w:t>
            </w:r>
            <w:r w:rsidR="00357D5B" w:rsidRPr="000B521F">
              <w:rPr>
                <w:rFonts w:ascii="Times New Roman" w:hAnsi="Times New Roman" w:cs="Times New Roman"/>
                <w:sz w:val="24"/>
                <w:szCs w:val="24"/>
              </w:rPr>
              <w:t>, EZFRV</w:t>
            </w:r>
          </w:p>
        </w:tc>
        <w:tc>
          <w:tcPr>
            <w:tcW w:w="5386" w:type="dxa"/>
            <w:shd w:val="clear" w:color="auto" w:fill="auto"/>
          </w:tcPr>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OP Životní prostředí</w:t>
            </w:r>
          </w:p>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Integrovaný regionální operační program</w:t>
            </w:r>
          </w:p>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OP Rybářství</w:t>
            </w:r>
          </w:p>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Program rozvoje venkova</w:t>
            </w:r>
          </w:p>
        </w:tc>
      </w:tr>
      <w:tr w:rsidR="004C78CE" w:rsidRPr="000B521F" w:rsidTr="00761093">
        <w:tc>
          <w:tcPr>
            <w:tcW w:w="1384" w:type="dxa"/>
            <w:shd w:val="clear" w:color="auto" w:fill="C6D9F1" w:themeFill="text2" w:themeFillTint="33"/>
            <w:vAlign w:val="center"/>
          </w:tcPr>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TC 7</w:t>
            </w:r>
          </w:p>
        </w:tc>
        <w:tc>
          <w:tcPr>
            <w:tcW w:w="1985" w:type="dxa"/>
            <w:shd w:val="clear" w:color="auto" w:fill="auto"/>
            <w:vAlign w:val="center"/>
          </w:tcPr>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EFRR, FS</w:t>
            </w:r>
          </w:p>
        </w:tc>
        <w:tc>
          <w:tcPr>
            <w:tcW w:w="5386" w:type="dxa"/>
            <w:shd w:val="clear" w:color="auto" w:fill="auto"/>
          </w:tcPr>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OP Doprava</w:t>
            </w:r>
          </w:p>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Integrovaný regionální operační program</w:t>
            </w:r>
          </w:p>
        </w:tc>
      </w:tr>
      <w:tr w:rsidR="004C78CE" w:rsidRPr="000B521F" w:rsidTr="00761093">
        <w:tc>
          <w:tcPr>
            <w:tcW w:w="1384" w:type="dxa"/>
            <w:shd w:val="clear" w:color="auto" w:fill="C6D9F1" w:themeFill="text2" w:themeFillTint="33"/>
            <w:vAlign w:val="center"/>
          </w:tcPr>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TC 8</w:t>
            </w:r>
          </w:p>
        </w:tc>
        <w:tc>
          <w:tcPr>
            <w:tcW w:w="1985" w:type="dxa"/>
            <w:shd w:val="clear" w:color="auto" w:fill="auto"/>
            <w:vAlign w:val="center"/>
          </w:tcPr>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ESF, EFRR</w:t>
            </w:r>
            <w:r w:rsidR="00357D5B" w:rsidRPr="000B521F">
              <w:rPr>
                <w:rFonts w:ascii="Times New Roman" w:hAnsi="Times New Roman" w:cs="Times New Roman"/>
                <w:sz w:val="24"/>
                <w:szCs w:val="24"/>
              </w:rPr>
              <w:t>, EZFRV</w:t>
            </w:r>
          </w:p>
        </w:tc>
        <w:tc>
          <w:tcPr>
            <w:tcW w:w="5386" w:type="dxa"/>
            <w:shd w:val="clear" w:color="auto" w:fill="auto"/>
          </w:tcPr>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OP Zaměstnanost</w:t>
            </w:r>
          </w:p>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Integrovaný regionální operační program</w:t>
            </w:r>
          </w:p>
          <w:p w:rsidR="00B86A5C" w:rsidRDefault="00B86A5C" w:rsidP="00267C96">
            <w:pPr>
              <w:spacing w:after="0" w:line="240" w:lineRule="auto"/>
              <w:rPr>
                <w:rFonts w:ascii="Times New Roman" w:hAnsi="Times New Roman" w:cs="Times New Roman"/>
                <w:sz w:val="24"/>
                <w:szCs w:val="24"/>
              </w:rPr>
            </w:pPr>
            <w:r>
              <w:rPr>
                <w:rFonts w:ascii="Times New Roman" w:hAnsi="Times New Roman" w:cs="Times New Roman"/>
                <w:sz w:val="24"/>
                <w:szCs w:val="24"/>
              </w:rPr>
              <w:t>OP Rybářství</w:t>
            </w:r>
          </w:p>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Program rozvoje venkova</w:t>
            </w:r>
          </w:p>
        </w:tc>
      </w:tr>
      <w:tr w:rsidR="004C78CE" w:rsidRPr="000B521F" w:rsidTr="00761093">
        <w:tc>
          <w:tcPr>
            <w:tcW w:w="1384" w:type="dxa"/>
            <w:shd w:val="clear" w:color="auto" w:fill="C6D9F1" w:themeFill="text2" w:themeFillTint="33"/>
            <w:vAlign w:val="center"/>
          </w:tcPr>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TC 9</w:t>
            </w:r>
          </w:p>
        </w:tc>
        <w:tc>
          <w:tcPr>
            <w:tcW w:w="1985" w:type="dxa"/>
            <w:shd w:val="clear" w:color="auto" w:fill="auto"/>
            <w:vAlign w:val="center"/>
          </w:tcPr>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ESF, EFRR</w:t>
            </w:r>
            <w:r w:rsidR="00357D5B" w:rsidRPr="000B521F">
              <w:rPr>
                <w:rFonts w:ascii="Times New Roman" w:hAnsi="Times New Roman" w:cs="Times New Roman"/>
                <w:sz w:val="24"/>
                <w:szCs w:val="24"/>
              </w:rPr>
              <w:t xml:space="preserve">, </w:t>
            </w:r>
            <w:r w:rsidR="005D6CA1" w:rsidRPr="000B521F">
              <w:rPr>
                <w:rFonts w:ascii="Times New Roman" w:hAnsi="Times New Roman" w:cs="Times New Roman"/>
                <w:sz w:val="24"/>
                <w:szCs w:val="24"/>
              </w:rPr>
              <w:t>EZFRV</w:t>
            </w:r>
          </w:p>
        </w:tc>
        <w:tc>
          <w:tcPr>
            <w:tcW w:w="5386" w:type="dxa"/>
            <w:shd w:val="clear" w:color="auto" w:fill="auto"/>
          </w:tcPr>
          <w:p w:rsidR="004C78CE"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OP Zaměstnanost</w:t>
            </w:r>
          </w:p>
          <w:p w:rsidR="00041452" w:rsidRPr="000B521F" w:rsidRDefault="00041452"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OP Výzkum, vývoj a vzdělávání</w:t>
            </w:r>
          </w:p>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Integrovaný regionální operační program</w:t>
            </w:r>
          </w:p>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OP Praha – pól růstu ČR</w:t>
            </w:r>
          </w:p>
          <w:p w:rsidR="00041452" w:rsidRPr="000B521F" w:rsidRDefault="005D6CA1"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Program rozvoje venkova</w:t>
            </w:r>
          </w:p>
        </w:tc>
      </w:tr>
      <w:tr w:rsidR="004C78CE" w:rsidRPr="000B521F" w:rsidTr="00761093">
        <w:tc>
          <w:tcPr>
            <w:tcW w:w="1384" w:type="dxa"/>
            <w:shd w:val="clear" w:color="auto" w:fill="C6D9F1" w:themeFill="text2" w:themeFillTint="33"/>
            <w:vAlign w:val="center"/>
          </w:tcPr>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TC 10</w:t>
            </w:r>
          </w:p>
        </w:tc>
        <w:tc>
          <w:tcPr>
            <w:tcW w:w="1985" w:type="dxa"/>
            <w:shd w:val="clear" w:color="auto" w:fill="auto"/>
            <w:vAlign w:val="center"/>
          </w:tcPr>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ESF, EFRR</w:t>
            </w:r>
            <w:r w:rsidR="00357D5B" w:rsidRPr="000B521F">
              <w:rPr>
                <w:rFonts w:ascii="Times New Roman" w:hAnsi="Times New Roman" w:cs="Times New Roman"/>
                <w:sz w:val="24"/>
                <w:szCs w:val="24"/>
              </w:rPr>
              <w:t>, EZFRV</w:t>
            </w:r>
          </w:p>
        </w:tc>
        <w:tc>
          <w:tcPr>
            <w:tcW w:w="5386" w:type="dxa"/>
            <w:shd w:val="clear" w:color="auto" w:fill="auto"/>
          </w:tcPr>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OP Výzkum, vývoj a vzdělávání</w:t>
            </w:r>
          </w:p>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Integrovaný regionální operační program</w:t>
            </w:r>
          </w:p>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lastRenderedPageBreak/>
              <w:t>OP Praha – pól růstu ČR</w:t>
            </w:r>
          </w:p>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Program rozvoje venkova</w:t>
            </w:r>
          </w:p>
        </w:tc>
      </w:tr>
      <w:tr w:rsidR="004C78CE" w:rsidRPr="000B521F" w:rsidTr="00761093">
        <w:tc>
          <w:tcPr>
            <w:tcW w:w="1384" w:type="dxa"/>
            <w:shd w:val="clear" w:color="auto" w:fill="C6D9F1" w:themeFill="text2" w:themeFillTint="33"/>
            <w:vAlign w:val="center"/>
          </w:tcPr>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lastRenderedPageBreak/>
              <w:t>TC 11</w:t>
            </w:r>
          </w:p>
        </w:tc>
        <w:tc>
          <w:tcPr>
            <w:tcW w:w="1985" w:type="dxa"/>
            <w:shd w:val="clear" w:color="auto" w:fill="auto"/>
            <w:vAlign w:val="center"/>
          </w:tcPr>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EFRR, ESF</w:t>
            </w:r>
          </w:p>
        </w:tc>
        <w:tc>
          <w:tcPr>
            <w:tcW w:w="5386" w:type="dxa"/>
            <w:shd w:val="clear" w:color="auto" w:fill="auto"/>
          </w:tcPr>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OP Zaměstnanost</w:t>
            </w:r>
          </w:p>
          <w:p w:rsidR="004C78CE" w:rsidRPr="000B521F" w:rsidRDefault="004C78CE" w:rsidP="00267C96">
            <w:pPr>
              <w:spacing w:after="0" w:line="240" w:lineRule="auto"/>
              <w:rPr>
                <w:rFonts w:ascii="Times New Roman" w:hAnsi="Times New Roman" w:cs="Times New Roman"/>
                <w:sz w:val="24"/>
                <w:szCs w:val="24"/>
              </w:rPr>
            </w:pPr>
            <w:r w:rsidRPr="000B521F">
              <w:rPr>
                <w:rFonts w:ascii="Times New Roman" w:hAnsi="Times New Roman" w:cs="Times New Roman"/>
                <w:sz w:val="24"/>
                <w:szCs w:val="24"/>
              </w:rPr>
              <w:t>Integrovaný regionální operační program</w:t>
            </w:r>
          </w:p>
          <w:p w:rsidR="004C78CE" w:rsidRPr="000B521F" w:rsidRDefault="004C78CE" w:rsidP="00267C96">
            <w:pPr>
              <w:spacing w:after="0" w:line="240" w:lineRule="auto"/>
              <w:rPr>
                <w:rFonts w:ascii="Times New Roman" w:hAnsi="Times New Roman" w:cs="Times New Roman"/>
                <w:sz w:val="24"/>
                <w:szCs w:val="24"/>
              </w:rPr>
            </w:pPr>
          </w:p>
        </w:tc>
      </w:tr>
    </w:tbl>
    <w:p w:rsidR="00267C96" w:rsidRDefault="00267C96" w:rsidP="00267C96">
      <w:pPr>
        <w:pStyle w:val="Nadpis2"/>
        <w:numPr>
          <w:ilvl w:val="0"/>
          <w:numId w:val="0"/>
        </w:numPr>
        <w:ind w:left="578"/>
      </w:pPr>
      <w:bookmarkStart w:id="52" w:name="_Toc350333625"/>
    </w:p>
    <w:p w:rsidR="00507842" w:rsidRPr="000B521F" w:rsidRDefault="00507842" w:rsidP="0059011D">
      <w:pPr>
        <w:pStyle w:val="Nadpis2"/>
      </w:pPr>
      <w:bookmarkStart w:id="53" w:name="_Toc374702875"/>
      <w:r w:rsidRPr="000B521F">
        <w:t>Indikativní alokace podpory Unie podle tematických cílů na národní úrovni pro každý fond a rovněž celkový indikativní objem podpory předpokládaný pro cíle spojené se změnou klimatu</w:t>
      </w:r>
      <w:bookmarkEnd w:id="52"/>
      <w:bookmarkEnd w:id="53"/>
    </w:p>
    <w:p w:rsidR="00183615" w:rsidRDefault="00107D26" w:rsidP="0059011D">
      <w:pPr>
        <w:spacing w:after="120" w:line="240" w:lineRule="auto"/>
        <w:jc w:val="both"/>
        <w:rPr>
          <w:rFonts w:ascii="Times New Roman" w:hAnsi="Times New Roman" w:cs="Times New Roman"/>
          <w:sz w:val="24"/>
          <w:szCs w:val="24"/>
        </w:rPr>
        <w:sectPr w:rsidR="00183615" w:rsidSect="00AD7FC6">
          <w:pgSz w:w="11906" w:h="16838"/>
          <w:pgMar w:top="1418" w:right="1418" w:bottom="1418" w:left="1418" w:header="708" w:footer="708" w:gutter="0"/>
          <w:cols w:space="708"/>
          <w:docGrid w:linePitch="360"/>
        </w:sectPr>
      </w:pPr>
      <w:r w:rsidRPr="000B521F">
        <w:rPr>
          <w:rFonts w:ascii="Times New Roman" w:hAnsi="Times New Roman" w:cs="Times New Roman"/>
          <w:sz w:val="24"/>
          <w:szCs w:val="24"/>
        </w:rPr>
        <w:t>Indikativní alokace v</w:t>
      </w:r>
      <w:r w:rsidR="00507842" w:rsidRPr="000B521F">
        <w:rPr>
          <w:rFonts w:ascii="Times New Roman" w:hAnsi="Times New Roman" w:cs="Times New Roman"/>
          <w:sz w:val="24"/>
          <w:szCs w:val="24"/>
        </w:rPr>
        <w:t>ychází z národní obálky a bude finanční prostředky strukturovat dle požadovaných kategorií. Při rozdělování finančních prostředků hrají roli i zkušenosti ze souč</w:t>
      </w:r>
      <w:r w:rsidR="00B26F79">
        <w:rPr>
          <w:rFonts w:ascii="Times New Roman" w:hAnsi="Times New Roman" w:cs="Times New Roman"/>
          <w:sz w:val="24"/>
          <w:szCs w:val="24"/>
        </w:rPr>
        <w:t>asného programového období 2007</w:t>
      </w:r>
      <w:r w:rsidR="00B26F79">
        <w:rPr>
          <w:rFonts w:ascii="Times New Roman" w:hAnsi="Times New Roman" w:cs="Times New Roman"/>
          <w:color w:val="000000"/>
          <w:sz w:val="24"/>
          <w:szCs w:val="24"/>
        </w:rPr>
        <w:t>–</w:t>
      </w:r>
      <w:r w:rsidR="00507842" w:rsidRPr="000B521F">
        <w:rPr>
          <w:rFonts w:ascii="Times New Roman" w:hAnsi="Times New Roman" w:cs="Times New Roman"/>
          <w:sz w:val="24"/>
          <w:szCs w:val="24"/>
        </w:rPr>
        <w:t>2013 s absorpční kapacitou, v úvahu bude brán i minimální kritický objem intervencí.</w:t>
      </w:r>
      <w:r w:rsidR="008B4002" w:rsidRPr="000B521F">
        <w:rPr>
          <w:rFonts w:ascii="Times New Roman" w:hAnsi="Times New Roman" w:cs="Times New Roman"/>
          <w:sz w:val="24"/>
          <w:szCs w:val="24"/>
        </w:rPr>
        <w:t xml:space="preserve"> Dále bude </w:t>
      </w:r>
      <w:r w:rsidR="00DE1A9A" w:rsidRPr="000B521F">
        <w:rPr>
          <w:rFonts w:ascii="Times New Roman" w:hAnsi="Times New Roman" w:cs="Times New Roman"/>
          <w:sz w:val="24"/>
          <w:szCs w:val="24"/>
        </w:rPr>
        <w:t>brána v úvahu také naléhavost řešení daného problému, celkové náklady nezbytné na jeho eliminaci a efektivita vynaložených prostředků.</w:t>
      </w:r>
    </w:p>
    <w:p w:rsidR="00507842" w:rsidRPr="000B521F" w:rsidRDefault="00507842" w:rsidP="0059011D">
      <w:pPr>
        <w:pStyle w:val="Nadpis3"/>
        <w:spacing w:after="120"/>
        <w:rPr>
          <w:rFonts w:ascii="Times New Roman" w:hAnsi="Times New Roman" w:cs="Times New Roman"/>
        </w:rPr>
      </w:pPr>
      <w:bookmarkStart w:id="54" w:name="_Toc350333626"/>
      <w:bookmarkStart w:id="55" w:name="_Toc374702876"/>
      <w:r w:rsidRPr="000B521F">
        <w:rPr>
          <w:rFonts w:ascii="Times New Roman" w:hAnsi="Times New Roman" w:cs="Times New Roman"/>
        </w:rPr>
        <w:lastRenderedPageBreak/>
        <w:t xml:space="preserve">Orientační rozdělení podpory </w:t>
      </w:r>
      <w:r w:rsidR="007F729F" w:rsidRPr="000B521F">
        <w:rPr>
          <w:rFonts w:ascii="Times New Roman" w:hAnsi="Times New Roman" w:cs="Times New Roman"/>
        </w:rPr>
        <w:t>Unie</w:t>
      </w:r>
      <w:r w:rsidRPr="000B521F">
        <w:rPr>
          <w:rFonts w:ascii="Times New Roman" w:hAnsi="Times New Roman" w:cs="Times New Roman"/>
        </w:rPr>
        <w:t xml:space="preserve"> dle tematických cílů za každý </w:t>
      </w:r>
      <w:r w:rsidR="007436D1" w:rsidRPr="000B521F">
        <w:rPr>
          <w:rFonts w:ascii="Times New Roman" w:hAnsi="Times New Roman" w:cs="Times New Roman"/>
        </w:rPr>
        <w:t xml:space="preserve">ESI </w:t>
      </w:r>
      <w:r w:rsidRPr="000B521F">
        <w:rPr>
          <w:rFonts w:ascii="Times New Roman" w:hAnsi="Times New Roman" w:cs="Times New Roman"/>
        </w:rPr>
        <w:t>fond</w:t>
      </w:r>
      <w:bookmarkEnd w:id="54"/>
      <w:bookmarkEnd w:id="55"/>
    </w:p>
    <w:p w:rsidR="00507842" w:rsidRDefault="00507842"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Níže uvedenou tabulku</w:t>
      </w:r>
      <w:r w:rsidR="00F3719F">
        <w:rPr>
          <w:rFonts w:ascii="Times New Roman" w:hAnsi="Times New Roman" w:cs="Times New Roman"/>
          <w:sz w:val="24"/>
          <w:szCs w:val="24"/>
        </w:rPr>
        <w:t xml:space="preserve"> 1-4</w:t>
      </w:r>
      <w:r w:rsidRPr="000B521F">
        <w:rPr>
          <w:rFonts w:ascii="Times New Roman" w:hAnsi="Times New Roman" w:cs="Times New Roman"/>
          <w:sz w:val="24"/>
          <w:szCs w:val="24"/>
        </w:rPr>
        <w:t xml:space="preserve"> generuje automaticky systém SFC podle alokace mezi tematickými cíli uvedenými ve finančních tabulkách nebo v plánech ukazatelů programů, které jsou v systému zadány. Tabulku lze ručně upravovat včetně případů, kdy nejsou k okamžiku předložení Dohody o partnerství do systému zadána data o všech programech.</w:t>
      </w:r>
    </w:p>
    <w:p w:rsidR="00F3719F" w:rsidRPr="00F3719F" w:rsidRDefault="00F3719F" w:rsidP="00F3719F">
      <w:pPr>
        <w:spacing w:after="120" w:line="240" w:lineRule="auto"/>
        <w:jc w:val="both"/>
        <w:rPr>
          <w:rFonts w:ascii="Times New Roman" w:hAnsi="Times New Roman" w:cs="Times New Roman"/>
          <w:sz w:val="24"/>
          <w:szCs w:val="24"/>
        </w:rPr>
      </w:pPr>
      <w:r w:rsidRPr="00F3719F">
        <w:rPr>
          <w:rFonts w:ascii="Times New Roman" w:hAnsi="Times New Roman" w:cs="Times New Roman"/>
          <w:sz w:val="24"/>
          <w:szCs w:val="24"/>
        </w:rPr>
        <w:t>Z tabulky 1-4 vyplývá, že Česká republika plní požadavky dané legislativou na tematickou koncentraci. Alokace EF</w:t>
      </w:r>
      <w:r>
        <w:rPr>
          <w:rFonts w:ascii="Times New Roman" w:hAnsi="Times New Roman" w:cs="Times New Roman"/>
          <w:sz w:val="24"/>
          <w:szCs w:val="24"/>
        </w:rPr>
        <w:t>RR</w:t>
      </w:r>
      <w:r w:rsidRPr="00F3719F">
        <w:rPr>
          <w:rFonts w:ascii="Times New Roman" w:hAnsi="Times New Roman" w:cs="Times New Roman"/>
          <w:sz w:val="24"/>
          <w:szCs w:val="24"/>
        </w:rPr>
        <w:t xml:space="preserve"> na tematické cíle 1-4 přesahuje požadovaných 50 % o více než 5 procentních bodů, alokace na tematických cíl přesahuje minimální hodnotu 12 % o 2,1 procentního bodu (při započítání Fondu soudržnosti dokonce o 3,5 procentního bodu). Minimální požadavek na alokace ESF v tematickém cíli 9 je překročen o více než 6,2 procentního bodu.</w:t>
      </w:r>
    </w:p>
    <w:p w:rsidR="00F3719F" w:rsidRPr="00F3719F" w:rsidRDefault="00F3719F" w:rsidP="00F3719F">
      <w:pPr>
        <w:spacing w:after="120" w:line="240" w:lineRule="auto"/>
        <w:jc w:val="both"/>
        <w:rPr>
          <w:rFonts w:ascii="Times New Roman" w:hAnsi="Times New Roman" w:cs="Times New Roman"/>
          <w:sz w:val="24"/>
          <w:szCs w:val="24"/>
        </w:rPr>
      </w:pPr>
      <w:r w:rsidRPr="00F3719F">
        <w:rPr>
          <w:rFonts w:ascii="Times New Roman" w:hAnsi="Times New Roman" w:cs="Times New Roman"/>
          <w:sz w:val="24"/>
          <w:szCs w:val="24"/>
        </w:rPr>
        <w:t xml:space="preserve">Hodnoty pro Prahu jako vyspělý region plynou z vnitřního uspořádání OP Praha – pól růstu ČR. </w:t>
      </w:r>
    </w:p>
    <w:p w:rsidR="00F3719F" w:rsidRPr="000B521F" w:rsidRDefault="00F3719F" w:rsidP="0059011D">
      <w:pPr>
        <w:spacing w:after="120" w:line="240" w:lineRule="auto"/>
        <w:jc w:val="both"/>
        <w:rPr>
          <w:rFonts w:ascii="Times New Roman" w:hAnsi="Times New Roman" w:cs="Times New Roman"/>
          <w:sz w:val="24"/>
          <w:szCs w:val="24"/>
        </w:rPr>
      </w:pPr>
    </w:p>
    <w:p w:rsidR="00507842" w:rsidRPr="000B521F" w:rsidRDefault="00507842" w:rsidP="0059011D">
      <w:pPr>
        <w:pStyle w:val="Tabulka"/>
        <w:spacing w:before="120" w:after="60"/>
        <w:rPr>
          <w:szCs w:val="20"/>
        </w:rPr>
      </w:pPr>
      <w:bookmarkStart w:id="56" w:name="_Toc370399044"/>
      <w:r w:rsidRPr="000B521F">
        <w:rPr>
          <w:szCs w:val="20"/>
        </w:rPr>
        <w:t>Tabulka 1-</w:t>
      </w:r>
      <w:r w:rsidR="00E551C4" w:rsidRPr="000B521F">
        <w:rPr>
          <w:szCs w:val="20"/>
        </w:rPr>
        <w:t>4</w:t>
      </w:r>
      <w:r w:rsidR="00323BAE">
        <w:rPr>
          <w:szCs w:val="20"/>
        </w:rPr>
        <w:t>:</w:t>
      </w:r>
      <w:r w:rsidRPr="000B521F">
        <w:rPr>
          <w:szCs w:val="20"/>
        </w:rPr>
        <w:t xml:space="preserve"> Orientační rozdělení podpory poskytované Unií podle tematických cílů na vnitrostátní úrovni pro každý z</w:t>
      </w:r>
      <w:r w:rsidR="00B00FD5" w:rsidRPr="000B521F">
        <w:rPr>
          <w:szCs w:val="20"/>
        </w:rPr>
        <w:t xml:space="preserve"> ESI </w:t>
      </w:r>
      <w:r w:rsidRPr="000B521F">
        <w:rPr>
          <w:szCs w:val="20"/>
        </w:rPr>
        <w:t>fondů (EUR)</w:t>
      </w:r>
      <w:bookmarkEnd w:id="56"/>
      <w:r w:rsidR="003C5226" w:rsidRPr="000B521F">
        <w:rPr>
          <w:szCs w:val="20"/>
        </w:rPr>
        <w:t>(celková podpora Unie obsahující i výkonnostní rezervu)</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701"/>
        <w:gridCol w:w="1560"/>
        <w:gridCol w:w="1842"/>
        <w:gridCol w:w="1418"/>
        <w:gridCol w:w="1276"/>
        <w:gridCol w:w="1842"/>
      </w:tblGrid>
      <w:tr w:rsidR="00183615" w:rsidRPr="00A34906" w:rsidTr="00183615">
        <w:tc>
          <w:tcPr>
            <w:tcW w:w="4077" w:type="dxa"/>
            <w:shd w:val="clear" w:color="auto" w:fill="8DB3E2" w:themeFill="text2" w:themeFillTint="66"/>
          </w:tcPr>
          <w:p w:rsidR="00507842" w:rsidRPr="00A34906" w:rsidRDefault="00507842" w:rsidP="0059011D">
            <w:pPr>
              <w:spacing w:after="0" w:line="240" w:lineRule="auto"/>
              <w:rPr>
                <w:rFonts w:ascii="Times New Roman" w:hAnsi="Times New Roman" w:cs="Times New Roman"/>
                <w:b/>
                <w:bCs/>
                <w:sz w:val="24"/>
                <w:szCs w:val="24"/>
                <w:lang w:eastAsia="cs-CZ"/>
              </w:rPr>
            </w:pPr>
          </w:p>
        </w:tc>
        <w:tc>
          <w:tcPr>
            <w:tcW w:w="1701" w:type="dxa"/>
            <w:shd w:val="clear" w:color="auto" w:fill="8DB3E2" w:themeFill="text2" w:themeFillTint="66"/>
          </w:tcPr>
          <w:p w:rsidR="00507842" w:rsidRPr="00A34906" w:rsidRDefault="00507842" w:rsidP="0059011D">
            <w:pPr>
              <w:spacing w:after="120" w:line="240" w:lineRule="auto"/>
              <w:rPr>
                <w:rFonts w:ascii="Times New Roman" w:hAnsi="Times New Roman" w:cs="Times New Roman"/>
                <w:b/>
                <w:bCs/>
                <w:sz w:val="24"/>
                <w:szCs w:val="24"/>
                <w:lang w:eastAsia="cs-CZ"/>
              </w:rPr>
            </w:pPr>
            <w:r w:rsidRPr="00A34906">
              <w:rPr>
                <w:rFonts w:ascii="Times New Roman" w:hAnsi="Times New Roman" w:cs="Times New Roman"/>
                <w:b/>
                <w:bCs/>
                <w:sz w:val="24"/>
                <w:szCs w:val="24"/>
                <w:lang w:eastAsia="cs-CZ"/>
              </w:rPr>
              <w:t>EFRR</w:t>
            </w:r>
          </w:p>
        </w:tc>
        <w:tc>
          <w:tcPr>
            <w:tcW w:w="1560" w:type="dxa"/>
            <w:shd w:val="clear" w:color="auto" w:fill="8DB3E2" w:themeFill="text2" w:themeFillTint="66"/>
          </w:tcPr>
          <w:p w:rsidR="00507842" w:rsidRPr="00A34906" w:rsidRDefault="00507842" w:rsidP="0059011D">
            <w:pPr>
              <w:spacing w:after="120" w:line="240" w:lineRule="auto"/>
              <w:rPr>
                <w:rFonts w:ascii="Times New Roman" w:hAnsi="Times New Roman" w:cs="Times New Roman"/>
                <w:b/>
                <w:bCs/>
                <w:sz w:val="24"/>
                <w:szCs w:val="24"/>
                <w:lang w:eastAsia="cs-CZ"/>
              </w:rPr>
            </w:pPr>
            <w:r w:rsidRPr="00A34906">
              <w:rPr>
                <w:rFonts w:ascii="Times New Roman" w:hAnsi="Times New Roman" w:cs="Times New Roman"/>
                <w:b/>
                <w:bCs/>
                <w:sz w:val="24"/>
                <w:szCs w:val="24"/>
                <w:lang w:eastAsia="cs-CZ"/>
              </w:rPr>
              <w:t>ESF</w:t>
            </w:r>
          </w:p>
        </w:tc>
        <w:tc>
          <w:tcPr>
            <w:tcW w:w="1842" w:type="dxa"/>
            <w:shd w:val="clear" w:color="auto" w:fill="8DB3E2" w:themeFill="text2" w:themeFillTint="66"/>
          </w:tcPr>
          <w:p w:rsidR="00507842" w:rsidRPr="00A34906" w:rsidRDefault="00507842" w:rsidP="0059011D">
            <w:pPr>
              <w:spacing w:after="120" w:line="240" w:lineRule="auto"/>
              <w:rPr>
                <w:rFonts w:ascii="Times New Roman" w:hAnsi="Times New Roman" w:cs="Times New Roman"/>
                <w:b/>
                <w:bCs/>
                <w:sz w:val="24"/>
                <w:szCs w:val="24"/>
                <w:lang w:eastAsia="cs-CZ"/>
              </w:rPr>
            </w:pPr>
            <w:r w:rsidRPr="00A34906">
              <w:rPr>
                <w:rFonts w:ascii="Times New Roman" w:hAnsi="Times New Roman" w:cs="Times New Roman"/>
                <w:b/>
                <w:bCs/>
                <w:sz w:val="24"/>
                <w:szCs w:val="24"/>
                <w:lang w:eastAsia="cs-CZ"/>
              </w:rPr>
              <w:t>FS</w:t>
            </w:r>
          </w:p>
        </w:tc>
        <w:tc>
          <w:tcPr>
            <w:tcW w:w="1418" w:type="dxa"/>
            <w:shd w:val="clear" w:color="auto" w:fill="8DB3E2" w:themeFill="text2" w:themeFillTint="66"/>
          </w:tcPr>
          <w:p w:rsidR="00507842" w:rsidRPr="00A34906" w:rsidRDefault="00507842" w:rsidP="0059011D">
            <w:pPr>
              <w:spacing w:after="120" w:line="240" w:lineRule="auto"/>
              <w:rPr>
                <w:rFonts w:ascii="Times New Roman" w:hAnsi="Times New Roman" w:cs="Times New Roman"/>
                <w:b/>
                <w:bCs/>
                <w:sz w:val="24"/>
                <w:szCs w:val="24"/>
                <w:lang w:eastAsia="cs-CZ"/>
              </w:rPr>
            </w:pPr>
            <w:r w:rsidRPr="00A34906">
              <w:rPr>
                <w:rFonts w:ascii="Times New Roman" w:hAnsi="Times New Roman" w:cs="Times New Roman"/>
                <w:b/>
                <w:bCs/>
                <w:sz w:val="24"/>
                <w:szCs w:val="24"/>
                <w:lang w:eastAsia="cs-CZ"/>
              </w:rPr>
              <w:t>EZFRV</w:t>
            </w:r>
          </w:p>
        </w:tc>
        <w:tc>
          <w:tcPr>
            <w:tcW w:w="1276" w:type="dxa"/>
            <w:shd w:val="clear" w:color="auto" w:fill="8DB3E2" w:themeFill="text2" w:themeFillTint="66"/>
          </w:tcPr>
          <w:p w:rsidR="00507842" w:rsidRPr="00A34906" w:rsidRDefault="00507842" w:rsidP="0059011D">
            <w:pPr>
              <w:spacing w:after="120" w:line="240" w:lineRule="auto"/>
              <w:rPr>
                <w:rFonts w:ascii="Times New Roman" w:hAnsi="Times New Roman" w:cs="Times New Roman"/>
                <w:b/>
                <w:bCs/>
                <w:sz w:val="24"/>
                <w:szCs w:val="24"/>
                <w:lang w:eastAsia="cs-CZ"/>
              </w:rPr>
            </w:pPr>
            <w:r w:rsidRPr="00A34906">
              <w:rPr>
                <w:rFonts w:ascii="Times New Roman" w:hAnsi="Times New Roman" w:cs="Times New Roman"/>
                <w:b/>
                <w:bCs/>
                <w:sz w:val="24"/>
                <w:szCs w:val="24"/>
                <w:lang w:eastAsia="cs-CZ"/>
              </w:rPr>
              <w:t>ENRF</w:t>
            </w:r>
          </w:p>
        </w:tc>
        <w:tc>
          <w:tcPr>
            <w:tcW w:w="1842" w:type="dxa"/>
            <w:shd w:val="clear" w:color="auto" w:fill="8DB3E2" w:themeFill="text2" w:themeFillTint="66"/>
          </w:tcPr>
          <w:p w:rsidR="00507842" w:rsidRPr="00A34906" w:rsidRDefault="00507842" w:rsidP="0059011D">
            <w:pPr>
              <w:spacing w:after="120" w:line="240" w:lineRule="auto"/>
              <w:rPr>
                <w:rFonts w:ascii="Times New Roman" w:hAnsi="Times New Roman" w:cs="Times New Roman"/>
                <w:b/>
                <w:bCs/>
                <w:sz w:val="24"/>
                <w:szCs w:val="24"/>
                <w:lang w:eastAsia="cs-CZ"/>
              </w:rPr>
            </w:pPr>
            <w:r w:rsidRPr="00A34906">
              <w:rPr>
                <w:rFonts w:ascii="Times New Roman" w:hAnsi="Times New Roman" w:cs="Times New Roman"/>
                <w:b/>
                <w:bCs/>
                <w:sz w:val="24"/>
                <w:szCs w:val="24"/>
                <w:lang w:eastAsia="cs-CZ"/>
              </w:rPr>
              <w:t>Celkem</w:t>
            </w:r>
          </w:p>
        </w:tc>
      </w:tr>
      <w:tr w:rsidR="00183615" w:rsidRPr="00A34906" w:rsidTr="00D50018">
        <w:tc>
          <w:tcPr>
            <w:tcW w:w="4077" w:type="dxa"/>
            <w:shd w:val="clear" w:color="auto" w:fill="C6D9F1" w:themeFill="text2" w:themeFillTint="33"/>
            <w:vAlign w:val="center"/>
          </w:tcPr>
          <w:p w:rsidR="00040884" w:rsidRPr="00A34906" w:rsidRDefault="00040884" w:rsidP="00D50018">
            <w:pPr>
              <w:spacing w:after="120" w:line="240" w:lineRule="auto"/>
              <w:rPr>
                <w:rFonts w:ascii="Times New Roman" w:hAnsi="Times New Roman" w:cs="Times New Roman"/>
                <w:b/>
                <w:bCs/>
                <w:sz w:val="24"/>
                <w:szCs w:val="24"/>
                <w:lang w:eastAsia="cs-CZ"/>
              </w:rPr>
            </w:pPr>
            <w:r w:rsidRPr="00A34906">
              <w:rPr>
                <w:rFonts w:ascii="Times New Roman" w:hAnsi="Times New Roman" w:cs="Times New Roman"/>
                <w:bCs/>
                <w:sz w:val="24"/>
                <w:szCs w:val="24"/>
                <w:lang w:eastAsia="cs-CZ"/>
              </w:rPr>
              <w:t>1. Posilování výzkumu, technologického rozvoje a inovací</w:t>
            </w:r>
          </w:p>
        </w:tc>
        <w:tc>
          <w:tcPr>
            <w:tcW w:w="1701"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2 667 025,59</w:t>
            </w:r>
          </w:p>
        </w:tc>
        <w:tc>
          <w:tcPr>
            <w:tcW w:w="1560"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0,00</w:t>
            </w:r>
          </w:p>
        </w:tc>
        <w:tc>
          <w:tcPr>
            <w:tcW w:w="1842"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0,00</w:t>
            </w:r>
          </w:p>
        </w:tc>
        <w:tc>
          <w:tcPr>
            <w:tcW w:w="1418"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 0,00</w:t>
            </w:r>
          </w:p>
        </w:tc>
        <w:tc>
          <w:tcPr>
            <w:tcW w:w="1276"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 0,00</w:t>
            </w:r>
          </w:p>
        </w:tc>
        <w:tc>
          <w:tcPr>
            <w:tcW w:w="1842"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2 667 025,59</w:t>
            </w:r>
          </w:p>
        </w:tc>
      </w:tr>
      <w:tr w:rsidR="00183615" w:rsidRPr="00A34906" w:rsidTr="00D50018">
        <w:tc>
          <w:tcPr>
            <w:tcW w:w="4077" w:type="dxa"/>
            <w:shd w:val="clear" w:color="auto" w:fill="C6D9F1" w:themeFill="text2" w:themeFillTint="33"/>
            <w:vAlign w:val="center"/>
          </w:tcPr>
          <w:p w:rsidR="00040884" w:rsidRPr="00A34906" w:rsidRDefault="00040884" w:rsidP="00D50018">
            <w:pPr>
              <w:spacing w:after="120" w:line="240" w:lineRule="auto"/>
              <w:rPr>
                <w:rFonts w:ascii="Times New Roman" w:hAnsi="Times New Roman" w:cs="Times New Roman"/>
                <w:b/>
                <w:bCs/>
                <w:sz w:val="24"/>
                <w:szCs w:val="24"/>
                <w:lang w:eastAsia="cs-CZ"/>
              </w:rPr>
            </w:pPr>
            <w:r w:rsidRPr="00A34906">
              <w:rPr>
                <w:rFonts w:ascii="Times New Roman" w:hAnsi="Times New Roman" w:cs="Times New Roman"/>
                <w:bCs/>
                <w:sz w:val="24"/>
                <w:szCs w:val="24"/>
                <w:lang w:eastAsia="cs-CZ"/>
              </w:rPr>
              <w:t>2. Zlepšení přístupu k IKT, využití a kvality IKT</w:t>
            </w:r>
          </w:p>
        </w:tc>
        <w:tc>
          <w:tcPr>
            <w:tcW w:w="1701"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956 555,59</w:t>
            </w:r>
          </w:p>
        </w:tc>
        <w:tc>
          <w:tcPr>
            <w:tcW w:w="1560"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0,00</w:t>
            </w:r>
          </w:p>
        </w:tc>
        <w:tc>
          <w:tcPr>
            <w:tcW w:w="1842"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0,00</w:t>
            </w:r>
          </w:p>
        </w:tc>
        <w:tc>
          <w:tcPr>
            <w:tcW w:w="1418"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 0,00</w:t>
            </w:r>
          </w:p>
        </w:tc>
        <w:tc>
          <w:tcPr>
            <w:tcW w:w="1276"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 0,00</w:t>
            </w:r>
          </w:p>
        </w:tc>
        <w:tc>
          <w:tcPr>
            <w:tcW w:w="1842"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956 555,59</w:t>
            </w:r>
          </w:p>
        </w:tc>
      </w:tr>
      <w:tr w:rsidR="00183615" w:rsidRPr="00A34906" w:rsidTr="00D50018">
        <w:tc>
          <w:tcPr>
            <w:tcW w:w="4077" w:type="dxa"/>
            <w:shd w:val="clear" w:color="auto" w:fill="C6D9F1" w:themeFill="text2" w:themeFillTint="33"/>
            <w:vAlign w:val="center"/>
          </w:tcPr>
          <w:p w:rsidR="00040884" w:rsidRPr="00A34906" w:rsidRDefault="00040884" w:rsidP="00D50018">
            <w:pPr>
              <w:spacing w:after="120" w:line="240" w:lineRule="auto"/>
              <w:rPr>
                <w:rFonts w:ascii="Times New Roman" w:hAnsi="Times New Roman" w:cs="Times New Roman"/>
                <w:b/>
                <w:bCs/>
                <w:sz w:val="24"/>
                <w:szCs w:val="24"/>
                <w:lang w:eastAsia="cs-CZ"/>
              </w:rPr>
            </w:pPr>
            <w:r w:rsidRPr="00A34906">
              <w:rPr>
                <w:rFonts w:ascii="Times New Roman" w:hAnsi="Times New Roman" w:cs="Times New Roman"/>
                <w:bCs/>
                <w:sz w:val="24"/>
                <w:szCs w:val="24"/>
                <w:lang w:eastAsia="cs-CZ"/>
              </w:rPr>
              <w:t>3. Zvyšování konkurenceschopnosti malých a středních podniků</w:t>
            </w:r>
          </w:p>
        </w:tc>
        <w:tc>
          <w:tcPr>
            <w:tcW w:w="1701"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1 140 449,01</w:t>
            </w:r>
          </w:p>
        </w:tc>
        <w:tc>
          <w:tcPr>
            <w:tcW w:w="1560"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0,00</w:t>
            </w:r>
          </w:p>
        </w:tc>
        <w:tc>
          <w:tcPr>
            <w:tcW w:w="1842"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0,00</w:t>
            </w:r>
          </w:p>
        </w:tc>
        <w:tc>
          <w:tcPr>
            <w:tcW w:w="1418"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 0,00</w:t>
            </w:r>
          </w:p>
        </w:tc>
        <w:tc>
          <w:tcPr>
            <w:tcW w:w="1276"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 0,00</w:t>
            </w:r>
          </w:p>
        </w:tc>
        <w:tc>
          <w:tcPr>
            <w:tcW w:w="1842"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1 140 449,01</w:t>
            </w:r>
          </w:p>
        </w:tc>
      </w:tr>
      <w:tr w:rsidR="00183615" w:rsidRPr="00A34906" w:rsidTr="00D50018">
        <w:tc>
          <w:tcPr>
            <w:tcW w:w="4077" w:type="dxa"/>
            <w:shd w:val="clear" w:color="auto" w:fill="C6D9F1" w:themeFill="text2" w:themeFillTint="33"/>
            <w:vAlign w:val="center"/>
          </w:tcPr>
          <w:p w:rsidR="00040884" w:rsidRPr="00A34906" w:rsidRDefault="00040884" w:rsidP="00D50018">
            <w:pPr>
              <w:spacing w:after="120" w:line="240" w:lineRule="auto"/>
              <w:rPr>
                <w:rFonts w:ascii="Times New Roman" w:hAnsi="Times New Roman" w:cs="Times New Roman"/>
                <w:b/>
                <w:bCs/>
                <w:sz w:val="24"/>
                <w:szCs w:val="24"/>
                <w:lang w:eastAsia="cs-CZ"/>
              </w:rPr>
            </w:pPr>
            <w:r w:rsidRPr="00A34906">
              <w:rPr>
                <w:rFonts w:ascii="Times New Roman" w:hAnsi="Times New Roman" w:cs="Times New Roman"/>
                <w:bCs/>
                <w:sz w:val="24"/>
                <w:szCs w:val="24"/>
                <w:lang w:eastAsia="cs-CZ"/>
              </w:rPr>
              <w:t>4. Podpora posunu směrem k nízkouhlíkovému hospodářství ve všech odvětvích</w:t>
            </w:r>
          </w:p>
        </w:tc>
        <w:tc>
          <w:tcPr>
            <w:tcW w:w="1701"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1 481 694,55</w:t>
            </w:r>
          </w:p>
        </w:tc>
        <w:tc>
          <w:tcPr>
            <w:tcW w:w="1560"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0,00</w:t>
            </w:r>
          </w:p>
        </w:tc>
        <w:tc>
          <w:tcPr>
            <w:tcW w:w="1842"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491 794,53</w:t>
            </w:r>
          </w:p>
        </w:tc>
        <w:tc>
          <w:tcPr>
            <w:tcW w:w="1418"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 0,00</w:t>
            </w:r>
          </w:p>
        </w:tc>
        <w:tc>
          <w:tcPr>
            <w:tcW w:w="1276"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 0,00</w:t>
            </w:r>
          </w:p>
        </w:tc>
        <w:tc>
          <w:tcPr>
            <w:tcW w:w="1842"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1 973 489,09</w:t>
            </w:r>
          </w:p>
        </w:tc>
      </w:tr>
      <w:tr w:rsidR="00183615" w:rsidRPr="00A34906" w:rsidTr="00D50018">
        <w:tc>
          <w:tcPr>
            <w:tcW w:w="4077" w:type="dxa"/>
            <w:shd w:val="clear" w:color="auto" w:fill="C6D9F1" w:themeFill="text2" w:themeFillTint="33"/>
            <w:vAlign w:val="center"/>
          </w:tcPr>
          <w:p w:rsidR="00040884" w:rsidRPr="00A34906" w:rsidRDefault="00040884" w:rsidP="00D50018">
            <w:pPr>
              <w:spacing w:after="120" w:line="240" w:lineRule="auto"/>
              <w:rPr>
                <w:rFonts w:ascii="Times New Roman" w:hAnsi="Times New Roman" w:cs="Times New Roman"/>
                <w:b/>
                <w:bCs/>
                <w:sz w:val="24"/>
                <w:szCs w:val="24"/>
                <w:lang w:eastAsia="cs-CZ"/>
              </w:rPr>
            </w:pPr>
            <w:r w:rsidRPr="00A34906">
              <w:rPr>
                <w:rFonts w:ascii="Times New Roman" w:hAnsi="Times New Roman" w:cs="Times New Roman"/>
                <w:bCs/>
                <w:sz w:val="24"/>
                <w:szCs w:val="24"/>
                <w:lang w:eastAsia="cs-CZ"/>
              </w:rPr>
              <w:t>5. Podporování přizpůsobení se změně klimatu, předcházení rizikům a jejich řízení</w:t>
            </w:r>
          </w:p>
        </w:tc>
        <w:tc>
          <w:tcPr>
            <w:tcW w:w="1701"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228 933,25</w:t>
            </w:r>
          </w:p>
        </w:tc>
        <w:tc>
          <w:tcPr>
            <w:tcW w:w="1560"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0,00</w:t>
            </w:r>
          </w:p>
        </w:tc>
        <w:tc>
          <w:tcPr>
            <w:tcW w:w="1842"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122 948,63</w:t>
            </w:r>
          </w:p>
        </w:tc>
        <w:tc>
          <w:tcPr>
            <w:tcW w:w="1418"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 0,00</w:t>
            </w:r>
          </w:p>
        </w:tc>
        <w:tc>
          <w:tcPr>
            <w:tcW w:w="1276"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 0,00</w:t>
            </w:r>
          </w:p>
        </w:tc>
        <w:tc>
          <w:tcPr>
            <w:tcW w:w="1842"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351 881,88</w:t>
            </w:r>
          </w:p>
        </w:tc>
      </w:tr>
      <w:tr w:rsidR="00183615" w:rsidRPr="00A34906" w:rsidTr="00D50018">
        <w:tc>
          <w:tcPr>
            <w:tcW w:w="4077" w:type="dxa"/>
            <w:shd w:val="clear" w:color="auto" w:fill="C6D9F1" w:themeFill="text2" w:themeFillTint="33"/>
            <w:vAlign w:val="center"/>
          </w:tcPr>
          <w:p w:rsidR="00040884" w:rsidRPr="00A34906" w:rsidRDefault="00040884" w:rsidP="00D50018">
            <w:pPr>
              <w:spacing w:after="120" w:line="240" w:lineRule="auto"/>
              <w:rPr>
                <w:rFonts w:ascii="Times New Roman" w:hAnsi="Times New Roman" w:cs="Times New Roman"/>
                <w:b/>
                <w:bCs/>
                <w:sz w:val="24"/>
                <w:szCs w:val="24"/>
                <w:lang w:eastAsia="cs-CZ"/>
              </w:rPr>
            </w:pPr>
            <w:r w:rsidRPr="00A34906">
              <w:rPr>
                <w:rFonts w:ascii="Times New Roman" w:hAnsi="Times New Roman" w:cs="Times New Roman"/>
                <w:bCs/>
                <w:sz w:val="24"/>
                <w:szCs w:val="24"/>
                <w:lang w:eastAsia="cs-CZ"/>
              </w:rPr>
              <w:t xml:space="preserve">6. Zachování a ochrana životního prostředí a podporování účinného </w:t>
            </w:r>
            <w:r w:rsidRPr="00A34906">
              <w:rPr>
                <w:rFonts w:ascii="Times New Roman" w:hAnsi="Times New Roman" w:cs="Times New Roman"/>
                <w:bCs/>
                <w:sz w:val="24"/>
                <w:szCs w:val="24"/>
                <w:lang w:eastAsia="cs-CZ"/>
              </w:rPr>
              <w:lastRenderedPageBreak/>
              <w:t>využívání zdrojů</w:t>
            </w:r>
          </w:p>
        </w:tc>
        <w:tc>
          <w:tcPr>
            <w:tcW w:w="1701"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lastRenderedPageBreak/>
              <w:t>779 180,37</w:t>
            </w:r>
          </w:p>
        </w:tc>
        <w:tc>
          <w:tcPr>
            <w:tcW w:w="1560"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0,00</w:t>
            </w:r>
          </w:p>
        </w:tc>
        <w:tc>
          <w:tcPr>
            <w:tcW w:w="1842"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1 524 563,05</w:t>
            </w:r>
          </w:p>
        </w:tc>
        <w:tc>
          <w:tcPr>
            <w:tcW w:w="1418"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 0,00</w:t>
            </w:r>
          </w:p>
        </w:tc>
        <w:tc>
          <w:tcPr>
            <w:tcW w:w="1276"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 0,00</w:t>
            </w:r>
          </w:p>
        </w:tc>
        <w:tc>
          <w:tcPr>
            <w:tcW w:w="1842"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2 303 743,43</w:t>
            </w:r>
          </w:p>
        </w:tc>
      </w:tr>
      <w:tr w:rsidR="00183615" w:rsidRPr="00A34906" w:rsidTr="00D50018">
        <w:tc>
          <w:tcPr>
            <w:tcW w:w="4077" w:type="dxa"/>
            <w:shd w:val="clear" w:color="auto" w:fill="C6D9F1" w:themeFill="text2" w:themeFillTint="33"/>
            <w:vAlign w:val="center"/>
          </w:tcPr>
          <w:p w:rsidR="00040884" w:rsidRPr="00A34906" w:rsidRDefault="00040884" w:rsidP="00D50018">
            <w:pPr>
              <w:spacing w:after="120" w:line="240" w:lineRule="auto"/>
              <w:rPr>
                <w:rFonts w:ascii="Times New Roman" w:hAnsi="Times New Roman" w:cs="Times New Roman"/>
                <w:b/>
                <w:bCs/>
                <w:sz w:val="24"/>
                <w:szCs w:val="24"/>
                <w:lang w:eastAsia="cs-CZ"/>
              </w:rPr>
            </w:pPr>
            <w:r w:rsidRPr="00A34906">
              <w:rPr>
                <w:rFonts w:ascii="Times New Roman" w:hAnsi="Times New Roman" w:cs="Times New Roman"/>
                <w:bCs/>
                <w:sz w:val="24"/>
                <w:szCs w:val="24"/>
                <w:lang w:eastAsia="cs-CZ"/>
              </w:rPr>
              <w:lastRenderedPageBreak/>
              <w:t>7. Podpora udržitelné dopravy a odstraňování překážek v klíčových síťových infrastrukturách</w:t>
            </w:r>
          </w:p>
        </w:tc>
        <w:tc>
          <w:tcPr>
            <w:tcW w:w="1701"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2 088 896,26</w:t>
            </w:r>
          </w:p>
        </w:tc>
        <w:tc>
          <w:tcPr>
            <w:tcW w:w="1560"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0,00</w:t>
            </w:r>
          </w:p>
        </w:tc>
        <w:tc>
          <w:tcPr>
            <w:tcW w:w="1842"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3 979 065,87</w:t>
            </w:r>
          </w:p>
        </w:tc>
        <w:tc>
          <w:tcPr>
            <w:tcW w:w="1418"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 0,00</w:t>
            </w:r>
          </w:p>
        </w:tc>
        <w:tc>
          <w:tcPr>
            <w:tcW w:w="1276"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 0,00</w:t>
            </w:r>
          </w:p>
        </w:tc>
        <w:tc>
          <w:tcPr>
            <w:tcW w:w="1842"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6 067 962,13</w:t>
            </w:r>
          </w:p>
        </w:tc>
      </w:tr>
      <w:tr w:rsidR="00183615" w:rsidRPr="00A34906" w:rsidTr="00D50018">
        <w:tc>
          <w:tcPr>
            <w:tcW w:w="4077" w:type="dxa"/>
            <w:shd w:val="clear" w:color="auto" w:fill="C6D9F1" w:themeFill="text2" w:themeFillTint="33"/>
            <w:vAlign w:val="center"/>
          </w:tcPr>
          <w:p w:rsidR="00040884" w:rsidRPr="00A34906" w:rsidRDefault="00040884" w:rsidP="00D50018">
            <w:pPr>
              <w:spacing w:after="120" w:line="240" w:lineRule="auto"/>
              <w:rPr>
                <w:rFonts w:ascii="Times New Roman" w:hAnsi="Times New Roman" w:cs="Times New Roman"/>
                <w:b/>
                <w:bCs/>
                <w:sz w:val="24"/>
                <w:szCs w:val="24"/>
                <w:lang w:eastAsia="cs-CZ"/>
              </w:rPr>
            </w:pPr>
            <w:r w:rsidRPr="00A34906">
              <w:rPr>
                <w:rFonts w:ascii="Times New Roman" w:hAnsi="Times New Roman" w:cs="Times New Roman"/>
                <w:bCs/>
                <w:sz w:val="24"/>
                <w:szCs w:val="24"/>
                <w:lang w:eastAsia="cs-CZ"/>
              </w:rPr>
              <w:t>8. Podpora udržitelné a kvalitní zaměstnanosti a podpora mobility pracovních sil</w:t>
            </w:r>
          </w:p>
        </w:tc>
        <w:tc>
          <w:tcPr>
            <w:tcW w:w="1701"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194 858,34</w:t>
            </w:r>
          </w:p>
        </w:tc>
        <w:tc>
          <w:tcPr>
            <w:tcW w:w="1560" w:type="dxa"/>
            <w:shd w:val="clear" w:color="auto" w:fill="auto"/>
            <w:vAlign w:val="bottom"/>
          </w:tcPr>
          <w:p w:rsidR="00040884" w:rsidRPr="00183615" w:rsidRDefault="00040884" w:rsidP="006473CD">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 xml:space="preserve">1 282 </w:t>
            </w:r>
            <w:r w:rsidR="006473CD">
              <w:rPr>
                <w:rFonts w:ascii="Times New Roman" w:hAnsi="Times New Roman" w:cs="Times New Roman"/>
                <w:color w:val="000000"/>
                <w:sz w:val="24"/>
                <w:szCs w:val="24"/>
              </w:rPr>
              <w:t>213,79</w:t>
            </w:r>
          </w:p>
        </w:tc>
        <w:tc>
          <w:tcPr>
            <w:tcW w:w="1842"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0,00</w:t>
            </w:r>
          </w:p>
        </w:tc>
        <w:tc>
          <w:tcPr>
            <w:tcW w:w="1418"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 0,00</w:t>
            </w:r>
          </w:p>
        </w:tc>
        <w:tc>
          <w:tcPr>
            <w:tcW w:w="1276"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 0,00</w:t>
            </w:r>
          </w:p>
        </w:tc>
        <w:tc>
          <w:tcPr>
            <w:tcW w:w="1842" w:type="dxa"/>
            <w:shd w:val="clear" w:color="auto" w:fill="auto"/>
            <w:vAlign w:val="bottom"/>
          </w:tcPr>
          <w:p w:rsidR="00040884" w:rsidRPr="00183615" w:rsidRDefault="00040884" w:rsidP="006473CD">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 xml:space="preserve">1 477 </w:t>
            </w:r>
            <w:r w:rsidR="006473CD">
              <w:rPr>
                <w:rFonts w:ascii="Times New Roman" w:hAnsi="Times New Roman" w:cs="Times New Roman"/>
                <w:color w:val="000000"/>
                <w:sz w:val="24"/>
                <w:szCs w:val="24"/>
              </w:rPr>
              <w:t>072,13</w:t>
            </w:r>
          </w:p>
        </w:tc>
      </w:tr>
      <w:tr w:rsidR="00183615" w:rsidRPr="00A34906" w:rsidTr="00D50018">
        <w:tc>
          <w:tcPr>
            <w:tcW w:w="4077" w:type="dxa"/>
            <w:shd w:val="clear" w:color="auto" w:fill="C6D9F1" w:themeFill="text2" w:themeFillTint="33"/>
            <w:vAlign w:val="center"/>
          </w:tcPr>
          <w:p w:rsidR="00040884" w:rsidRPr="00A34906" w:rsidRDefault="00040884" w:rsidP="00D50018">
            <w:pPr>
              <w:spacing w:after="120" w:line="240" w:lineRule="auto"/>
              <w:rPr>
                <w:rFonts w:ascii="Times New Roman" w:hAnsi="Times New Roman" w:cs="Times New Roman"/>
                <w:b/>
                <w:bCs/>
                <w:sz w:val="24"/>
                <w:szCs w:val="24"/>
                <w:lang w:eastAsia="cs-CZ"/>
              </w:rPr>
            </w:pPr>
            <w:r w:rsidRPr="00A34906">
              <w:rPr>
                <w:rFonts w:ascii="Times New Roman" w:hAnsi="Times New Roman" w:cs="Times New Roman"/>
                <w:bCs/>
                <w:sz w:val="24"/>
                <w:szCs w:val="24"/>
                <w:lang w:eastAsia="cs-CZ"/>
              </w:rPr>
              <w:t>9. Podpora sociálního začleňování a boj proti chudobě a diskriminaci</w:t>
            </w:r>
          </w:p>
        </w:tc>
        <w:tc>
          <w:tcPr>
            <w:tcW w:w="1701"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791 952,17</w:t>
            </w:r>
          </w:p>
        </w:tc>
        <w:tc>
          <w:tcPr>
            <w:tcW w:w="1560"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892 829,26</w:t>
            </w:r>
          </w:p>
        </w:tc>
        <w:tc>
          <w:tcPr>
            <w:tcW w:w="1842"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0,00</w:t>
            </w:r>
          </w:p>
        </w:tc>
        <w:tc>
          <w:tcPr>
            <w:tcW w:w="1418"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 0,00</w:t>
            </w:r>
          </w:p>
        </w:tc>
        <w:tc>
          <w:tcPr>
            <w:tcW w:w="1276"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 0,00</w:t>
            </w:r>
          </w:p>
        </w:tc>
        <w:tc>
          <w:tcPr>
            <w:tcW w:w="1842"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1 684 781,43</w:t>
            </w:r>
          </w:p>
        </w:tc>
      </w:tr>
      <w:tr w:rsidR="00183615" w:rsidRPr="00A34906" w:rsidTr="00D50018">
        <w:tc>
          <w:tcPr>
            <w:tcW w:w="4077" w:type="dxa"/>
            <w:shd w:val="clear" w:color="auto" w:fill="C6D9F1" w:themeFill="text2" w:themeFillTint="33"/>
            <w:vAlign w:val="center"/>
          </w:tcPr>
          <w:p w:rsidR="00040884" w:rsidRPr="00A34906" w:rsidRDefault="00040884" w:rsidP="00D50018">
            <w:pPr>
              <w:spacing w:after="120" w:line="240" w:lineRule="auto"/>
              <w:rPr>
                <w:rFonts w:ascii="Times New Roman" w:hAnsi="Times New Roman" w:cs="Times New Roman"/>
                <w:b/>
                <w:bCs/>
                <w:sz w:val="24"/>
                <w:szCs w:val="24"/>
                <w:lang w:eastAsia="cs-CZ"/>
              </w:rPr>
            </w:pPr>
            <w:r w:rsidRPr="00A34906">
              <w:rPr>
                <w:rFonts w:ascii="Times New Roman" w:hAnsi="Times New Roman" w:cs="Times New Roman"/>
                <w:bCs/>
                <w:sz w:val="24"/>
                <w:szCs w:val="24"/>
                <w:lang w:eastAsia="cs-CZ"/>
              </w:rPr>
              <w:t>10. Investice do vzdělávání, odborného vzdělávání, včetně odborné přípravy pro získání dovedností a do celoživotního učení</w:t>
            </w:r>
          </w:p>
        </w:tc>
        <w:tc>
          <w:tcPr>
            <w:tcW w:w="1701"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938 678,04</w:t>
            </w:r>
          </w:p>
        </w:tc>
        <w:tc>
          <w:tcPr>
            <w:tcW w:w="1560"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1 034 477,68</w:t>
            </w:r>
          </w:p>
        </w:tc>
        <w:tc>
          <w:tcPr>
            <w:tcW w:w="1842"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0,00</w:t>
            </w:r>
          </w:p>
        </w:tc>
        <w:tc>
          <w:tcPr>
            <w:tcW w:w="1418"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 0,00</w:t>
            </w:r>
          </w:p>
        </w:tc>
        <w:tc>
          <w:tcPr>
            <w:tcW w:w="1276"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 0,00</w:t>
            </w:r>
          </w:p>
        </w:tc>
        <w:tc>
          <w:tcPr>
            <w:tcW w:w="1842"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1 973 155,71</w:t>
            </w:r>
          </w:p>
        </w:tc>
      </w:tr>
      <w:tr w:rsidR="00183615" w:rsidRPr="00A34906" w:rsidTr="00D50018">
        <w:tc>
          <w:tcPr>
            <w:tcW w:w="4077" w:type="dxa"/>
            <w:shd w:val="clear" w:color="auto" w:fill="C6D9F1" w:themeFill="text2" w:themeFillTint="33"/>
            <w:vAlign w:val="center"/>
          </w:tcPr>
          <w:p w:rsidR="00040884" w:rsidRPr="00A34906" w:rsidRDefault="00040884" w:rsidP="00D50018">
            <w:pPr>
              <w:spacing w:after="120" w:line="240" w:lineRule="auto"/>
              <w:rPr>
                <w:rFonts w:ascii="Times New Roman" w:hAnsi="Times New Roman" w:cs="Times New Roman"/>
                <w:b/>
                <w:bCs/>
                <w:sz w:val="24"/>
                <w:szCs w:val="24"/>
                <w:lang w:eastAsia="cs-CZ"/>
              </w:rPr>
            </w:pPr>
            <w:r w:rsidRPr="00A34906">
              <w:rPr>
                <w:rFonts w:ascii="Times New Roman" w:hAnsi="Times New Roman" w:cs="Times New Roman"/>
                <w:bCs/>
                <w:sz w:val="24"/>
                <w:szCs w:val="24"/>
                <w:lang w:eastAsia="cs-CZ"/>
              </w:rPr>
              <w:t>11. Zvyšování institucionální kapacity veřejných orgánů a zúčastněných subjektů a zlepšování účinnosti veřejné správy</w:t>
            </w:r>
          </w:p>
        </w:tc>
        <w:tc>
          <w:tcPr>
            <w:tcW w:w="1701"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97 429,17</w:t>
            </w:r>
          </w:p>
        </w:tc>
        <w:tc>
          <w:tcPr>
            <w:tcW w:w="1560"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113 322,14</w:t>
            </w:r>
          </w:p>
        </w:tc>
        <w:tc>
          <w:tcPr>
            <w:tcW w:w="1842"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0,00</w:t>
            </w:r>
          </w:p>
        </w:tc>
        <w:tc>
          <w:tcPr>
            <w:tcW w:w="1418"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 0,00</w:t>
            </w:r>
          </w:p>
        </w:tc>
        <w:tc>
          <w:tcPr>
            <w:tcW w:w="1276"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 0,00</w:t>
            </w:r>
          </w:p>
        </w:tc>
        <w:tc>
          <w:tcPr>
            <w:tcW w:w="1842"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210 751,31</w:t>
            </w:r>
          </w:p>
        </w:tc>
      </w:tr>
      <w:tr w:rsidR="00183615" w:rsidRPr="00A34906" w:rsidTr="00D50018">
        <w:tc>
          <w:tcPr>
            <w:tcW w:w="4077" w:type="dxa"/>
            <w:shd w:val="clear" w:color="auto" w:fill="C6D9F1" w:themeFill="text2" w:themeFillTint="33"/>
            <w:vAlign w:val="center"/>
          </w:tcPr>
          <w:p w:rsidR="00040884" w:rsidRPr="00A34906" w:rsidRDefault="00040884" w:rsidP="00D50018">
            <w:pPr>
              <w:spacing w:after="120" w:line="240" w:lineRule="auto"/>
              <w:rPr>
                <w:rFonts w:ascii="Times New Roman" w:hAnsi="Times New Roman" w:cs="Times New Roman"/>
                <w:b/>
                <w:bCs/>
                <w:sz w:val="24"/>
                <w:szCs w:val="24"/>
                <w:lang w:eastAsia="cs-CZ"/>
              </w:rPr>
            </w:pPr>
            <w:r w:rsidRPr="00A34906">
              <w:rPr>
                <w:rFonts w:ascii="Times New Roman" w:hAnsi="Times New Roman" w:cs="Times New Roman"/>
                <w:bCs/>
                <w:sz w:val="24"/>
                <w:szCs w:val="24"/>
                <w:lang w:eastAsia="cs-CZ"/>
              </w:rPr>
              <w:t>Technická pomoc</w:t>
            </w:r>
          </w:p>
        </w:tc>
        <w:tc>
          <w:tcPr>
            <w:tcW w:w="1701"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603 411,20</w:t>
            </w:r>
          </w:p>
        </w:tc>
        <w:tc>
          <w:tcPr>
            <w:tcW w:w="1560"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92 962,53</w:t>
            </w:r>
          </w:p>
        </w:tc>
        <w:tc>
          <w:tcPr>
            <w:tcW w:w="1842"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140 527,91</w:t>
            </w:r>
          </w:p>
        </w:tc>
        <w:tc>
          <w:tcPr>
            <w:tcW w:w="1418"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 0,00</w:t>
            </w:r>
          </w:p>
        </w:tc>
        <w:tc>
          <w:tcPr>
            <w:tcW w:w="1276"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 0,00</w:t>
            </w:r>
          </w:p>
        </w:tc>
        <w:tc>
          <w:tcPr>
            <w:tcW w:w="1842" w:type="dxa"/>
            <w:shd w:val="clear" w:color="auto" w:fill="auto"/>
            <w:vAlign w:val="bottom"/>
          </w:tcPr>
          <w:p w:rsidR="00040884" w:rsidRPr="00183615" w:rsidRDefault="00040884" w:rsidP="00D50018">
            <w:pPr>
              <w:jc w:val="right"/>
              <w:rPr>
                <w:rFonts w:ascii="Times New Roman" w:hAnsi="Times New Roman" w:cs="Times New Roman"/>
                <w:color w:val="000000"/>
                <w:sz w:val="24"/>
                <w:szCs w:val="24"/>
              </w:rPr>
            </w:pPr>
            <w:r w:rsidRPr="00183615">
              <w:rPr>
                <w:rFonts w:ascii="Times New Roman" w:hAnsi="Times New Roman" w:cs="Times New Roman"/>
                <w:color w:val="000000"/>
                <w:sz w:val="24"/>
                <w:szCs w:val="24"/>
              </w:rPr>
              <w:t>836 901,64</w:t>
            </w:r>
          </w:p>
        </w:tc>
      </w:tr>
      <w:tr w:rsidR="00183615" w:rsidRPr="00A34906" w:rsidTr="006473CD">
        <w:trPr>
          <w:trHeight w:val="738"/>
        </w:trPr>
        <w:tc>
          <w:tcPr>
            <w:tcW w:w="4077" w:type="dxa"/>
            <w:shd w:val="clear" w:color="auto" w:fill="C6D9F1" w:themeFill="text2" w:themeFillTint="33"/>
            <w:vAlign w:val="center"/>
          </w:tcPr>
          <w:p w:rsidR="00040884" w:rsidRPr="00A34906" w:rsidRDefault="00040884" w:rsidP="00D50018">
            <w:pPr>
              <w:spacing w:after="120" w:line="240" w:lineRule="auto"/>
              <w:rPr>
                <w:rFonts w:ascii="Times New Roman" w:hAnsi="Times New Roman" w:cs="Times New Roman"/>
                <w:b/>
                <w:bCs/>
                <w:sz w:val="24"/>
                <w:szCs w:val="24"/>
                <w:lang w:eastAsia="cs-CZ"/>
              </w:rPr>
            </w:pPr>
            <w:r w:rsidRPr="00A34906">
              <w:rPr>
                <w:rFonts w:ascii="Times New Roman" w:hAnsi="Times New Roman" w:cs="Times New Roman"/>
                <w:b/>
                <w:bCs/>
                <w:sz w:val="24"/>
                <w:szCs w:val="24"/>
                <w:lang w:eastAsia="cs-CZ"/>
              </w:rPr>
              <w:t>CELKEM</w:t>
            </w:r>
          </w:p>
        </w:tc>
        <w:tc>
          <w:tcPr>
            <w:tcW w:w="1701" w:type="dxa"/>
            <w:shd w:val="clear" w:color="auto" w:fill="auto"/>
            <w:vAlign w:val="bottom"/>
          </w:tcPr>
          <w:p w:rsidR="00040884" w:rsidRPr="00183615" w:rsidRDefault="00040884" w:rsidP="00D50018">
            <w:pPr>
              <w:jc w:val="right"/>
              <w:rPr>
                <w:rFonts w:ascii="Times New Roman" w:hAnsi="Times New Roman" w:cs="Times New Roman"/>
                <w:b/>
                <w:color w:val="000000"/>
                <w:sz w:val="24"/>
                <w:szCs w:val="24"/>
              </w:rPr>
            </w:pPr>
            <w:r w:rsidRPr="00183615">
              <w:rPr>
                <w:rFonts w:ascii="Times New Roman" w:hAnsi="Times New Roman" w:cs="Times New Roman"/>
                <w:b/>
                <w:color w:val="000000"/>
                <w:sz w:val="24"/>
                <w:szCs w:val="24"/>
              </w:rPr>
              <w:t>11 969 063,55</w:t>
            </w:r>
          </w:p>
        </w:tc>
        <w:tc>
          <w:tcPr>
            <w:tcW w:w="1560" w:type="dxa"/>
            <w:shd w:val="clear" w:color="auto" w:fill="auto"/>
            <w:vAlign w:val="bottom"/>
          </w:tcPr>
          <w:p w:rsidR="00040884" w:rsidRPr="00183615" w:rsidRDefault="006473CD" w:rsidP="006473CD">
            <w:pPr>
              <w:jc w:val="right"/>
              <w:rPr>
                <w:rFonts w:ascii="Times New Roman" w:hAnsi="Times New Roman" w:cs="Times New Roman"/>
                <w:b/>
                <w:color w:val="000000"/>
                <w:sz w:val="24"/>
                <w:szCs w:val="24"/>
              </w:rPr>
            </w:pPr>
            <w:r w:rsidRPr="006473CD">
              <w:rPr>
                <w:rFonts w:ascii="Times New Roman" w:hAnsi="Times New Roman" w:cs="Times New Roman"/>
                <w:b/>
                <w:color w:val="000000"/>
                <w:sz w:val="24"/>
                <w:szCs w:val="24"/>
              </w:rPr>
              <w:t>3 415 805,39</w:t>
            </w:r>
          </w:p>
        </w:tc>
        <w:tc>
          <w:tcPr>
            <w:tcW w:w="1842" w:type="dxa"/>
            <w:shd w:val="clear" w:color="auto" w:fill="auto"/>
            <w:vAlign w:val="bottom"/>
          </w:tcPr>
          <w:p w:rsidR="00040884" w:rsidRPr="00183615" w:rsidRDefault="00040884" w:rsidP="00D50018">
            <w:pPr>
              <w:jc w:val="right"/>
              <w:rPr>
                <w:rFonts w:ascii="Times New Roman" w:hAnsi="Times New Roman" w:cs="Times New Roman"/>
                <w:b/>
                <w:color w:val="000000"/>
                <w:sz w:val="24"/>
                <w:szCs w:val="24"/>
              </w:rPr>
            </w:pPr>
            <w:r w:rsidRPr="00183615">
              <w:rPr>
                <w:rFonts w:ascii="Times New Roman" w:hAnsi="Times New Roman" w:cs="Times New Roman"/>
                <w:b/>
                <w:color w:val="000000"/>
                <w:sz w:val="24"/>
                <w:szCs w:val="24"/>
              </w:rPr>
              <w:t>6 258 900,00</w:t>
            </w:r>
          </w:p>
        </w:tc>
        <w:tc>
          <w:tcPr>
            <w:tcW w:w="1418" w:type="dxa"/>
            <w:shd w:val="clear" w:color="auto" w:fill="auto"/>
            <w:vAlign w:val="bottom"/>
          </w:tcPr>
          <w:p w:rsidR="00040884" w:rsidRPr="00183615" w:rsidRDefault="00183615" w:rsidP="00D50018">
            <w:pPr>
              <w:jc w:val="right"/>
              <w:rPr>
                <w:rFonts w:ascii="Times New Roman" w:hAnsi="Times New Roman" w:cs="Times New Roman"/>
                <w:b/>
                <w:color w:val="000000"/>
                <w:sz w:val="24"/>
                <w:szCs w:val="24"/>
              </w:rPr>
            </w:pPr>
            <w:r w:rsidRPr="00183615">
              <w:rPr>
                <w:rFonts w:ascii="Times New Roman" w:hAnsi="Times New Roman" w:cs="Times New Roman"/>
                <w:b/>
                <w:color w:val="000000"/>
                <w:sz w:val="24"/>
                <w:szCs w:val="24"/>
              </w:rPr>
              <w:t>0,00</w:t>
            </w:r>
          </w:p>
        </w:tc>
        <w:tc>
          <w:tcPr>
            <w:tcW w:w="1276" w:type="dxa"/>
            <w:shd w:val="clear" w:color="auto" w:fill="auto"/>
            <w:vAlign w:val="bottom"/>
          </w:tcPr>
          <w:p w:rsidR="00040884" w:rsidRPr="00183615" w:rsidRDefault="00183615" w:rsidP="00D50018">
            <w:pPr>
              <w:jc w:val="right"/>
              <w:rPr>
                <w:rFonts w:ascii="Times New Roman" w:hAnsi="Times New Roman" w:cs="Times New Roman"/>
                <w:b/>
                <w:color w:val="000000"/>
                <w:sz w:val="24"/>
                <w:szCs w:val="24"/>
              </w:rPr>
            </w:pPr>
            <w:r w:rsidRPr="00183615">
              <w:rPr>
                <w:rFonts w:ascii="Times New Roman" w:hAnsi="Times New Roman" w:cs="Times New Roman"/>
                <w:b/>
                <w:color w:val="000000"/>
                <w:sz w:val="24"/>
                <w:szCs w:val="24"/>
              </w:rPr>
              <w:t>0,00</w:t>
            </w:r>
          </w:p>
        </w:tc>
        <w:tc>
          <w:tcPr>
            <w:tcW w:w="1842" w:type="dxa"/>
            <w:shd w:val="clear" w:color="auto" w:fill="auto"/>
            <w:vAlign w:val="bottom"/>
          </w:tcPr>
          <w:p w:rsidR="00040884" w:rsidRPr="00183615" w:rsidRDefault="006473CD" w:rsidP="006473CD">
            <w:pPr>
              <w:jc w:val="right"/>
              <w:rPr>
                <w:rFonts w:ascii="Times New Roman" w:hAnsi="Times New Roman" w:cs="Times New Roman"/>
                <w:b/>
                <w:color w:val="000000"/>
                <w:sz w:val="24"/>
                <w:szCs w:val="24"/>
              </w:rPr>
            </w:pPr>
            <w:r w:rsidRPr="006473CD">
              <w:rPr>
                <w:rFonts w:ascii="Times New Roman" w:hAnsi="Times New Roman" w:cs="Times New Roman"/>
                <w:b/>
                <w:color w:val="000000"/>
                <w:sz w:val="24"/>
                <w:szCs w:val="24"/>
              </w:rPr>
              <w:t>21 643 768,</w:t>
            </w:r>
            <w:r>
              <w:rPr>
                <w:rFonts w:ascii="Times New Roman" w:hAnsi="Times New Roman" w:cs="Times New Roman"/>
                <w:b/>
                <w:color w:val="000000"/>
                <w:sz w:val="24"/>
                <w:szCs w:val="24"/>
              </w:rPr>
              <w:t>94</w:t>
            </w:r>
          </w:p>
        </w:tc>
      </w:tr>
    </w:tbl>
    <w:p w:rsidR="00183615" w:rsidRDefault="00183615" w:rsidP="00183615">
      <w:pPr>
        <w:pStyle w:val="Nadpis3"/>
        <w:numPr>
          <w:ilvl w:val="0"/>
          <w:numId w:val="0"/>
        </w:numPr>
        <w:spacing w:after="120"/>
        <w:ind w:left="720"/>
        <w:rPr>
          <w:rFonts w:ascii="Times New Roman" w:hAnsi="Times New Roman" w:cs="Times New Roman"/>
        </w:rPr>
        <w:sectPr w:rsidR="00183615" w:rsidSect="00183615">
          <w:pgSz w:w="16838" w:h="11906" w:orient="landscape"/>
          <w:pgMar w:top="1418" w:right="1418" w:bottom="1418" w:left="1418" w:header="708" w:footer="708" w:gutter="0"/>
          <w:cols w:space="708"/>
          <w:docGrid w:linePitch="360"/>
        </w:sectPr>
      </w:pPr>
    </w:p>
    <w:p w:rsidR="004D1512" w:rsidRDefault="004D1512" w:rsidP="0059011D">
      <w:pPr>
        <w:pStyle w:val="Nadpis3"/>
        <w:spacing w:after="120"/>
        <w:rPr>
          <w:rFonts w:ascii="Times New Roman" w:hAnsi="Times New Roman" w:cs="Times New Roman"/>
        </w:rPr>
      </w:pPr>
      <w:bookmarkStart w:id="57" w:name="_Toc374702877"/>
      <w:r w:rsidRPr="000B521F">
        <w:rPr>
          <w:rFonts w:ascii="Times New Roman" w:hAnsi="Times New Roman" w:cs="Times New Roman"/>
        </w:rPr>
        <w:lastRenderedPageBreak/>
        <w:t>Informace k Iniciativě na podporu zaměstnanosti mladých lidí, která se týká tematického cíle 8 “Podpora udržitelné a kvalitní zaměstnanosti a podpora mobility pracovních sil”</w:t>
      </w:r>
      <w:bookmarkEnd w:id="57"/>
    </w:p>
    <w:p w:rsidR="00267C96" w:rsidRPr="00267C96" w:rsidRDefault="00267C96" w:rsidP="00267C96">
      <w:pPr>
        <w:rPr>
          <w:lang w:eastAsia="cs-CZ"/>
        </w:rPr>
      </w:pPr>
    </w:p>
    <w:p w:rsidR="003C5226" w:rsidRPr="000B521F" w:rsidRDefault="00323BAE" w:rsidP="0059011D">
      <w:pPr>
        <w:pStyle w:val="Tabulka"/>
        <w:spacing w:before="120" w:after="60"/>
        <w:rPr>
          <w:szCs w:val="20"/>
        </w:rPr>
      </w:pPr>
      <w:r>
        <w:rPr>
          <w:szCs w:val="20"/>
        </w:rPr>
        <w:t>Tabulka 1-5: I</w:t>
      </w:r>
      <w:r w:rsidR="003C5226" w:rsidRPr="000B521F">
        <w:rPr>
          <w:szCs w:val="20"/>
        </w:rPr>
        <w:t>nformace k Iniciativě na podporu zaměstnanosti mladých lidí, která se týká tematického cíle 8 “Podpora udržitelné a kvalitní zaměstnanosti a podpora mobility pracovních sil”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6"/>
        <w:gridCol w:w="4307"/>
      </w:tblGrid>
      <w:tr w:rsidR="00A66CEC" w:rsidRPr="000B521F" w:rsidTr="009719D2">
        <w:tc>
          <w:tcPr>
            <w:tcW w:w="4306" w:type="dxa"/>
            <w:shd w:val="clear" w:color="auto" w:fill="C6D9F1" w:themeFill="text2" w:themeFillTint="33"/>
          </w:tcPr>
          <w:p w:rsidR="00A66CEC" w:rsidRPr="000B521F" w:rsidRDefault="00A66CEC" w:rsidP="0059011D">
            <w:pPr>
              <w:spacing w:after="120" w:line="240" w:lineRule="auto"/>
              <w:rPr>
                <w:rFonts w:ascii="Times New Roman" w:hAnsi="Times New Roman" w:cs="Times New Roman"/>
                <w:b/>
                <w:bCs/>
                <w:sz w:val="24"/>
                <w:szCs w:val="24"/>
                <w:lang w:eastAsia="cs-CZ"/>
              </w:rPr>
            </w:pPr>
            <w:r w:rsidRPr="000B521F">
              <w:rPr>
                <w:rFonts w:ascii="Times New Roman" w:hAnsi="Times New Roman" w:cs="Times New Roman"/>
                <w:bCs/>
                <w:sz w:val="24"/>
                <w:szCs w:val="24"/>
                <w:lang w:eastAsia="cs-CZ"/>
              </w:rPr>
              <w:t>Specifická alokace na IZM</w:t>
            </w:r>
          </w:p>
        </w:tc>
        <w:tc>
          <w:tcPr>
            <w:tcW w:w="4307" w:type="dxa"/>
            <w:shd w:val="clear" w:color="auto" w:fill="auto"/>
          </w:tcPr>
          <w:p w:rsidR="00A66CEC" w:rsidRPr="000B521F" w:rsidRDefault="00A66CEC" w:rsidP="0059011D">
            <w:pPr>
              <w:spacing w:after="120" w:line="240" w:lineRule="auto"/>
              <w:rPr>
                <w:rFonts w:ascii="Times New Roman" w:hAnsi="Times New Roman" w:cs="Times New Roman"/>
                <w:sz w:val="24"/>
                <w:szCs w:val="24"/>
                <w:lang w:eastAsia="cs-CZ"/>
              </w:rPr>
            </w:pPr>
            <w:r w:rsidRPr="000B521F">
              <w:rPr>
                <w:rFonts w:ascii="Times New Roman" w:hAnsi="Times New Roman" w:cs="Times New Roman"/>
                <w:sz w:val="24"/>
                <w:szCs w:val="24"/>
                <w:lang w:eastAsia="cs-CZ"/>
              </w:rPr>
              <w:t>(EUR)</w:t>
            </w:r>
            <w:r w:rsidR="00CD13E8" w:rsidRPr="000B521F">
              <w:rPr>
                <w:rFonts w:ascii="Times New Roman" w:hAnsi="Times New Roman" w:cs="Times New Roman"/>
                <w:sz w:val="24"/>
                <w:szCs w:val="24"/>
                <w:lang w:eastAsia="cs-CZ"/>
              </w:rPr>
              <w:t xml:space="preserve"> </w:t>
            </w:r>
            <w:r w:rsidR="00CD13E8" w:rsidRPr="000B521F">
              <w:rPr>
                <w:rFonts w:ascii="Times New Roman" w:hAnsi="Times New Roman" w:cs="Times New Roman"/>
                <w:sz w:val="24"/>
                <w:szCs w:val="24"/>
                <w:lang w:val="en-GB" w:eastAsia="cs-CZ"/>
              </w:rPr>
              <w:t>14 349 000 (EUR)</w:t>
            </w:r>
          </w:p>
        </w:tc>
      </w:tr>
      <w:tr w:rsidR="00A66CEC" w:rsidRPr="000B521F" w:rsidTr="009719D2">
        <w:tc>
          <w:tcPr>
            <w:tcW w:w="4306" w:type="dxa"/>
            <w:shd w:val="clear" w:color="auto" w:fill="C6D9F1" w:themeFill="text2" w:themeFillTint="33"/>
          </w:tcPr>
          <w:p w:rsidR="00A66CEC" w:rsidRPr="000B521F" w:rsidRDefault="00A66CEC" w:rsidP="0059011D">
            <w:pPr>
              <w:spacing w:after="120" w:line="240" w:lineRule="auto"/>
              <w:rPr>
                <w:rFonts w:ascii="Times New Roman" w:hAnsi="Times New Roman" w:cs="Times New Roman"/>
                <w:b/>
                <w:bCs/>
                <w:sz w:val="24"/>
                <w:szCs w:val="24"/>
                <w:lang w:eastAsia="cs-CZ"/>
              </w:rPr>
            </w:pPr>
            <w:r w:rsidRPr="000B521F">
              <w:rPr>
                <w:rFonts w:ascii="Times New Roman" w:hAnsi="Times New Roman" w:cs="Times New Roman"/>
                <w:bCs/>
                <w:sz w:val="24"/>
                <w:szCs w:val="24"/>
                <w:lang w:eastAsia="cs-CZ"/>
              </w:rPr>
              <w:t>Odpovídající podpora z ESF</w:t>
            </w:r>
          </w:p>
        </w:tc>
        <w:tc>
          <w:tcPr>
            <w:tcW w:w="4307" w:type="dxa"/>
            <w:shd w:val="clear" w:color="auto" w:fill="auto"/>
          </w:tcPr>
          <w:p w:rsidR="00A66CEC" w:rsidRPr="000B521F" w:rsidRDefault="00A66CEC" w:rsidP="0059011D">
            <w:pPr>
              <w:spacing w:after="120" w:line="240" w:lineRule="auto"/>
              <w:rPr>
                <w:rFonts w:ascii="Times New Roman" w:hAnsi="Times New Roman" w:cs="Times New Roman"/>
                <w:sz w:val="24"/>
                <w:szCs w:val="24"/>
                <w:lang w:eastAsia="cs-CZ"/>
              </w:rPr>
            </w:pPr>
            <w:r w:rsidRPr="000B521F">
              <w:rPr>
                <w:rFonts w:ascii="Times New Roman" w:hAnsi="Times New Roman" w:cs="Times New Roman"/>
                <w:sz w:val="24"/>
                <w:szCs w:val="24"/>
                <w:lang w:eastAsia="cs-CZ"/>
              </w:rPr>
              <w:t>(EUR)</w:t>
            </w:r>
            <w:r w:rsidR="00CD13E8" w:rsidRPr="000B521F">
              <w:rPr>
                <w:rFonts w:ascii="Times New Roman" w:hAnsi="Times New Roman" w:cs="Times New Roman"/>
                <w:sz w:val="24"/>
                <w:szCs w:val="24"/>
                <w:lang w:eastAsia="cs-CZ"/>
              </w:rPr>
              <w:t xml:space="preserve"> </w:t>
            </w:r>
            <w:r w:rsidR="00CD13E8" w:rsidRPr="000B521F">
              <w:rPr>
                <w:rFonts w:ascii="Times New Roman" w:hAnsi="Times New Roman" w:cs="Times New Roman"/>
                <w:sz w:val="24"/>
                <w:szCs w:val="24"/>
                <w:lang w:val="en-GB" w:eastAsia="cs-CZ"/>
              </w:rPr>
              <w:t>14 349 000 (EUR)</w:t>
            </w:r>
          </w:p>
        </w:tc>
      </w:tr>
    </w:tbl>
    <w:p w:rsidR="00267C96" w:rsidRDefault="00267C96" w:rsidP="00267C96">
      <w:pPr>
        <w:pStyle w:val="Nadpis3"/>
        <w:numPr>
          <w:ilvl w:val="0"/>
          <w:numId w:val="0"/>
        </w:numPr>
        <w:spacing w:after="120"/>
        <w:ind w:left="720"/>
        <w:rPr>
          <w:rFonts w:ascii="Times New Roman" w:hAnsi="Times New Roman" w:cs="Times New Roman"/>
        </w:rPr>
      </w:pPr>
    </w:p>
    <w:p w:rsidR="00DF78B4" w:rsidRDefault="00DF78B4" w:rsidP="0059011D">
      <w:pPr>
        <w:pStyle w:val="Nadpis3"/>
        <w:spacing w:after="120"/>
        <w:rPr>
          <w:rFonts w:ascii="Times New Roman" w:hAnsi="Times New Roman" w:cs="Times New Roman"/>
        </w:rPr>
      </w:pPr>
      <w:bookmarkStart w:id="58" w:name="_Toc374702878"/>
      <w:r w:rsidRPr="000B521F">
        <w:rPr>
          <w:rFonts w:ascii="Times New Roman" w:hAnsi="Times New Roman" w:cs="Times New Roman"/>
        </w:rPr>
        <w:t>Informace k alokaci na technickou pomoc podle kategorie regionů, kde je to vhodné</w:t>
      </w:r>
      <w:bookmarkEnd w:id="58"/>
    </w:p>
    <w:p w:rsidR="00F3719F" w:rsidRDefault="00F3719F" w:rsidP="00F3719F">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Jak vyplývá z níže uvedené tabulky 1-6, </w:t>
      </w:r>
      <w:r w:rsidRPr="00F3719F">
        <w:rPr>
          <w:rFonts w:ascii="Times New Roman" w:hAnsi="Times New Roman" w:cs="Times New Roman"/>
          <w:sz w:val="24"/>
          <w:szCs w:val="24"/>
        </w:rPr>
        <w:t>Česká republika plní požadavky legislativy na maximální zastoupení složky technická pomoc.</w:t>
      </w:r>
    </w:p>
    <w:p w:rsidR="00267C96" w:rsidRPr="00F3719F" w:rsidRDefault="00267C96" w:rsidP="00F3719F">
      <w:pPr>
        <w:spacing w:after="120" w:line="240" w:lineRule="auto"/>
        <w:jc w:val="both"/>
        <w:rPr>
          <w:rFonts w:ascii="Times New Roman" w:hAnsi="Times New Roman" w:cs="Times New Roman"/>
          <w:sz w:val="24"/>
          <w:szCs w:val="24"/>
        </w:rPr>
      </w:pPr>
    </w:p>
    <w:p w:rsidR="00DF78B4" w:rsidRPr="000B521F" w:rsidRDefault="00DF78B4" w:rsidP="0059011D">
      <w:pPr>
        <w:pStyle w:val="Tabulka"/>
        <w:spacing w:before="120" w:after="60"/>
        <w:rPr>
          <w:szCs w:val="20"/>
        </w:rPr>
      </w:pPr>
      <w:r w:rsidRPr="000B521F">
        <w:rPr>
          <w:szCs w:val="20"/>
        </w:rPr>
        <w:t>Tabulka 1-6</w:t>
      </w:r>
      <w:r w:rsidR="00323BAE">
        <w:rPr>
          <w:szCs w:val="20"/>
        </w:rPr>
        <w:t xml:space="preserve">: </w:t>
      </w:r>
      <w:r w:rsidRPr="000B521F">
        <w:rPr>
          <w:szCs w:val="20"/>
        </w:rPr>
        <w:t>Informace k alokaci na technickou pomoc podle kategorie region, kde je to vhodné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8"/>
        <w:gridCol w:w="2148"/>
        <w:gridCol w:w="2148"/>
        <w:gridCol w:w="2149"/>
      </w:tblGrid>
      <w:tr w:rsidR="003C01BF" w:rsidRPr="000B521F" w:rsidTr="009719D2">
        <w:tc>
          <w:tcPr>
            <w:tcW w:w="2148" w:type="dxa"/>
            <w:shd w:val="clear" w:color="auto" w:fill="8DB3E2" w:themeFill="text2" w:themeFillTint="66"/>
          </w:tcPr>
          <w:p w:rsidR="003C01BF" w:rsidRPr="000B521F" w:rsidRDefault="003C01BF" w:rsidP="0059011D">
            <w:pPr>
              <w:spacing w:after="120" w:line="240" w:lineRule="auto"/>
              <w:rPr>
                <w:rFonts w:ascii="Times New Roman" w:hAnsi="Times New Roman" w:cs="Times New Roman"/>
                <w:b/>
                <w:bCs/>
                <w:sz w:val="24"/>
                <w:szCs w:val="24"/>
                <w:lang w:eastAsia="cs-CZ"/>
              </w:rPr>
            </w:pPr>
            <w:r w:rsidRPr="000B521F">
              <w:rPr>
                <w:rFonts w:ascii="Times New Roman" w:hAnsi="Times New Roman" w:cs="Times New Roman"/>
                <w:b/>
                <w:bCs/>
                <w:sz w:val="24"/>
                <w:szCs w:val="24"/>
                <w:lang w:eastAsia="cs-CZ"/>
              </w:rPr>
              <w:t>Fond</w:t>
            </w:r>
          </w:p>
        </w:tc>
        <w:tc>
          <w:tcPr>
            <w:tcW w:w="2148" w:type="dxa"/>
            <w:shd w:val="clear" w:color="auto" w:fill="8DB3E2" w:themeFill="text2" w:themeFillTint="66"/>
          </w:tcPr>
          <w:p w:rsidR="003C01BF" w:rsidRPr="000B521F" w:rsidRDefault="003C01BF" w:rsidP="0059011D">
            <w:pPr>
              <w:spacing w:after="120" w:line="240" w:lineRule="auto"/>
              <w:rPr>
                <w:rFonts w:ascii="Times New Roman" w:hAnsi="Times New Roman" w:cs="Times New Roman"/>
                <w:b/>
                <w:bCs/>
                <w:sz w:val="24"/>
                <w:szCs w:val="24"/>
                <w:lang w:eastAsia="cs-CZ"/>
              </w:rPr>
            </w:pPr>
            <w:r w:rsidRPr="000B521F">
              <w:rPr>
                <w:rFonts w:ascii="Times New Roman" w:hAnsi="Times New Roman" w:cs="Times New Roman"/>
                <w:b/>
                <w:bCs/>
                <w:sz w:val="24"/>
                <w:szCs w:val="24"/>
                <w:lang w:eastAsia="cs-CZ"/>
              </w:rPr>
              <w:t>Kategorie regionů, kde je to vhodné</w:t>
            </w:r>
          </w:p>
        </w:tc>
        <w:tc>
          <w:tcPr>
            <w:tcW w:w="2148" w:type="dxa"/>
            <w:shd w:val="clear" w:color="auto" w:fill="8DB3E2" w:themeFill="text2" w:themeFillTint="66"/>
          </w:tcPr>
          <w:p w:rsidR="003C01BF" w:rsidRPr="000B521F" w:rsidRDefault="003C01BF" w:rsidP="0059011D">
            <w:pPr>
              <w:spacing w:after="120" w:line="240" w:lineRule="auto"/>
              <w:rPr>
                <w:rFonts w:ascii="Times New Roman" w:hAnsi="Times New Roman" w:cs="Times New Roman"/>
                <w:b/>
                <w:bCs/>
                <w:sz w:val="24"/>
                <w:szCs w:val="24"/>
                <w:lang w:eastAsia="cs-CZ"/>
              </w:rPr>
            </w:pPr>
            <w:r w:rsidRPr="000B521F">
              <w:rPr>
                <w:rFonts w:ascii="Times New Roman" w:hAnsi="Times New Roman" w:cs="Times New Roman"/>
                <w:b/>
                <w:bCs/>
                <w:sz w:val="24"/>
                <w:szCs w:val="24"/>
                <w:lang w:eastAsia="cs-CZ"/>
              </w:rPr>
              <w:t>Alokace na technickou pomoc (EUR)</w:t>
            </w:r>
          </w:p>
        </w:tc>
        <w:tc>
          <w:tcPr>
            <w:tcW w:w="2149" w:type="dxa"/>
            <w:shd w:val="clear" w:color="auto" w:fill="8DB3E2" w:themeFill="text2" w:themeFillTint="66"/>
          </w:tcPr>
          <w:p w:rsidR="003C01BF" w:rsidRPr="000B521F" w:rsidRDefault="003C01BF" w:rsidP="0059011D">
            <w:pPr>
              <w:spacing w:after="120" w:line="240" w:lineRule="auto"/>
              <w:rPr>
                <w:rFonts w:ascii="Times New Roman" w:hAnsi="Times New Roman" w:cs="Times New Roman"/>
                <w:b/>
                <w:bCs/>
                <w:sz w:val="24"/>
                <w:szCs w:val="24"/>
                <w:lang w:eastAsia="cs-CZ"/>
              </w:rPr>
            </w:pPr>
            <w:r w:rsidRPr="000B521F">
              <w:rPr>
                <w:rFonts w:ascii="Times New Roman" w:hAnsi="Times New Roman" w:cs="Times New Roman"/>
                <w:b/>
                <w:bCs/>
                <w:sz w:val="24"/>
                <w:szCs w:val="24"/>
                <w:lang w:eastAsia="cs-CZ"/>
              </w:rPr>
              <w:t>Podíl technické pomoci na celkové alokaci (podle fondu a podle kategorie region, kde je to vhodné)</w:t>
            </w:r>
          </w:p>
        </w:tc>
      </w:tr>
      <w:tr w:rsidR="00CD13E8" w:rsidRPr="000B521F" w:rsidTr="009719D2">
        <w:trPr>
          <w:trHeight w:val="75"/>
        </w:trPr>
        <w:tc>
          <w:tcPr>
            <w:tcW w:w="2148" w:type="dxa"/>
            <w:vMerge w:val="restart"/>
            <w:shd w:val="clear" w:color="auto" w:fill="C6D9F1" w:themeFill="text2" w:themeFillTint="33"/>
          </w:tcPr>
          <w:p w:rsidR="00CD13E8" w:rsidRPr="000B521F" w:rsidRDefault="00CD13E8" w:rsidP="0059011D">
            <w:pPr>
              <w:spacing w:after="120" w:line="240" w:lineRule="auto"/>
              <w:rPr>
                <w:rFonts w:ascii="Times New Roman" w:hAnsi="Times New Roman" w:cs="Times New Roman"/>
                <w:b/>
                <w:bCs/>
                <w:sz w:val="24"/>
                <w:szCs w:val="24"/>
                <w:lang w:eastAsia="cs-CZ"/>
              </w:rPr>
            </w:pPr>
            <w:r w:rsidRPr="000B521F">
              <w:rPr>
                <w:rFonts w:ascii="Times New Roman" w:hAnsi="Times New Roman" w:cs="Times New Roman"/>
                <w:b/>
                <w:bCs/>
                <w:sz w:val="24"/>
                <w:szCs w:val="24"/>
                <w:lang w:eastAsia="cs-CZ"/>
              </w:rPr>
              <w:t>EFRR</w:t>
            </w:r>
          </w:p>
        </w:tc>
        <w:tc>
          <w:tcPr>
            <w:tcW w:w="2148" w:type="dxa"/>
            <w:shd w:val="clear" w:color="auto" w:fill="auto"/>
            <w:vAlign w:val="center"/>
          </w:tcPr>
          <w:p w:rsidR="00CD13E8" w:rsidRPr="000B521F" w:rsidRDefault="00CD13E8" w:rsidP="0059011D">
            <w:pPr>
              <w:spacing w:after="120" w:line="240" w:lineRule="auto"/>
              <w:rPr>
                <w:rFonts w:ascii="Times New Roman" w:hAnsi="Times New Roman" w:cs="Times New Roman"/>
                <w:sz w:val="24"/>
                <w:szCs w:val="24"/>
                <w:lang w:eastAsia="cs-CZ"/>
              </w:rPr>
            </w:pPr>
            <w:r w:rsidRPr="000B521F">
              <w:rPr>
                <w:rFonts w:ascii="Times New Roman" w:hAnsi="Times New Roman" w:cs="Times New Roman"/>
                <w:sz w:val="24"/>
                <w:szCs w:val="24"/>
                <w:lang w:eastAsia="cs-CZ"/>
              </w:rPr>
              <w:t>Méně rozvinuté regiony</w:t>
            </w:r>
          </w:p>
        </w:tc>
        <w:tc>
          <w:tcPr>
            <w:tcW w:w="2148" w:type="dxa"/>
            <w:shd w:val="clear" w:color="auto" w:fill="auto"/>
            <w:vAlign w:val="center"/>
          </w:tcPr>
          <w:p w:rsidR="00CD13E8" w:rsidRPr="000B521F" w:rsidRDefault="00CD13E8" w:rsidP="0059011D">
            <w:pPr>
              <w:spacing w:after="120" w:line="240" w:lineRule="auto"/>
              <w:rPr>
                <w:rFonts w:ascii="Times New Roman" w:hAnsi="Times New Roman" w:cs="Times New Roman"/>
                <w:iCs/>
                <w:color w:val="000000"/>
                <w:sz w:val="24"/>
                <w:szCs w:val="24"/>
              </w:rPr>
            </w:pPr>
            <w:r w:rsidRPr="000B521F">
              <w:rPr>
                <w:rFonts w:ascii="Times New Roman" w:hAnsi="Times New Roman" w:cs="Times New Roman"/>
                <w:iCs/>
                <w:color w:val="000000"/>
                <w:sz w:val="24"/>
                <w:szCs w:val="24"/>
              </w:rPr>
              <w:t>588 847 243</w:t>
            </w:r>
          </w:p>
        </w:tc>
        <w:tc>
          <w:tcPr>
            <w:tcW w:w="2149" w:type="dxa"/>
            <w:shd w:val="clear" w:color="auto" w:fill="auto"/>
            <w:vAlign w:val="center"/>
          </w:tcPr>
          <w:p w:rsidR="00CD13E8" w:rsidRPr="000B521F" w:rsidRDefault="00CD13E8" w:rsidP="0059011D">
            <w:pPr>
              <w:spacing w:after="120" w:line="240" w:lineRule="auto"/>
              <w:rPr>
                <w:rFonts w:ascii="Times New Roman" w:hAnsi="Times New Roman" w:cs="Times New Roman"/>
                <w:iCs/>
                <w:color w:val="000000"/>
                <w:sz w:val="24"/>
                <w:szCs w:val="24"/>
              </w:rPr>
            </w:pPr>
            <w:r w:rsidRPr="000B521F">
              <w:rPr>
                <w:rFonts w:ascii="Times New Roman" w:hAnsi="Times New Roman" w:cs="Times New Roman"/>
                <w:iCs/>
                <w:color w:val="000000"/>
                <w:sz w:val="24"/>
                <w:szCs w:val="24"/>
              </w:rPr>
              <w:t>4,99%</w:t>
            </w:r>
          </w:p>
        </w:tc>
      </w:tr>
      <w:tr w:rsidR="00CD13E8" w:rsidRPr="000B521F" w:rsidTr="009719D2">
        <w:trPr>
          <w:trHeight w:val="75"/>
        </w:trPr>
        <w:tc>
          <w:tcPr>
            <w:tcW w:w="2148" w:type="dxa"/>
            <w:vMerge/>
            <w:shd w:val="clear" w:color="auto" w:fill="C6D9F1" w:themeFill="text2" w:themeFillTint="33"/>
          </w:tcPr>
          <w:p w:rsidR="00CD13E8" w:rsidRPr="000B521F" w:rsidRDefault="00CD13E8" w:rsidP="0059011D">
            <w:pPr>
              <w:spacing w:after="0" w:line="240" w:lineRule="auto"/>
              <w:rPr>
                <w:rFonts w:ascii="Times New Roman" w:hAnsi="Times New Roman" w:cs="Times New Roman"/>
                <w:b/>
                <w:bCs/>
                <w:sz w:val="24"/>
                <w:szCs w:val="24"/>
                <w:lang w:eastAsia="cs-CZ"/>
              </w:rPr>
            </w:pPr>
          </w:p>
        </w:tc>
        <w:tc>
          <w:tcPr>
            <w:tcW w:w="2148" w:type="dxa"/>
            <w:shd w:val="clear" w:color="auto" w:fill="auto"/>
            <w:vAlign w:val="center"/>
          </w:tcPr>
          <w:p w:rsidR="00CD13E8" w:rsidRPr="000B521F" w:rsidRDefault="00CD13E8" w:rsidP="0059011D">
            <w:pPr>
              <w:spacing w:after="120" w:line="240" w:lineRule="auto"/>
              <w:rPr>
                <w:rFonts w:ascii="Times New Roman" w:hAnsi="Times New Roman" w:cs="Times New Roman"/>
                <w:sz w:val="24"/>
                <w:szCs w:val="24"/>
                <w:lang w:eastAsia="cs-CZ"/>
              </w:rPr>
            </w:pPr>
            <w:r w:rsidRPr="000B521F">
              <w:rPr>
                <w:rFonts w:ascii="Times New Roman" w:hAnsi="Times New Roman" w:cs="Times New Roman"/>
                <w:sz w:val="24"/>
                <w:szCs w:val="24"/>
                <w:lang w:eastAsia="cs-CZ"/>
              </w:rPr>
              <w:t>Přechodové regiony</w:t>
            </w:r>
          </w:p>
        </w:tc>
        <w:tc>
          <w:tcPr>
            <w:tcW w:w="2148" w:type="dxa"/>
            <w:shd w:val="clear" w:color="auto" w:fill="auto"/>
            <w:vAlign w:val="center"/>
          </w:tcPr>
          <w:p w:rsidR="00CD13E8" w:rsidRPr="000B521F" w:rsidRDefault="00CD13E8" w:rsidP="0059011D">
            <w:pPr>
              <w:spacing w:after="120" w:line="240" w:lineRule="auto"/>
              <w:rPr>
                <w:rFonts w:ascii="Times New Roman" w:hAnsi="Times New Roman" w:cs="Times New Roman"/>
                <w:sz w:val="24"/>
                <w:szCs w:val="24"/>
                <w:lang w:eastAsia="cs-CZ"/>
              </w:rPr>
            </w:pPr>
            <w:r w:rsidRPr="000B521F">
              <w:rPr>
                <w:rFonts w:ascii="Times New Roman" w:hAnsi="Times New Roman" w:cs="Times New Roman"/>
                <w:sz w:val="24"/>
                <w:szCs w:val="24"/>
                <w:lang w:eastAsia="cs-CZ"/>
              </w:rPr>
              <w:t>pro ČR není relevantní</w:t>
            </w:r>
          </w:p>
        </w:tc>
        <w:tc>
          <w:tcPr>
            <w:tcW w:w="2149" w:type="dxa"/>
            <w:shd w:val="clear" w:color="auto" w:fill="auto"/>
            <w:vAlign w:val="center"/>
          </w:tcPr>
          <w:p w:rsidR="00CD13E8" w:rsidRPr="000B521F" w:rsidRDefault="00CD13E8" w:rsidP="0059011D">
            <w:pPr>
              <w:spacing w:after="120" w:line="240" w:lineRule="auto"/>
              <w:rPr>
                <w:rFonts w:ascii="Times New Roman" w:hAnsi="Times New Roman" w:cs="Times New Roman"/>
                <w:sz w:val="24"/>
                <w:szCs w:val="24"/>
                <w:lang w:eastAsia="cs-CZ"/>
              </w:rPr>
            </w:pPr>
            <w:r w:rsidRPr="000B521F">
              <w:rPr>
                <w:rFonts w:ascii="Times New Roman" w:hAnsi="Times New Roman" w:cs="Times New Roman"/>
                <w:sz w:val="24"/>
                <w:szCs w:val="24"/>
                <w:lang w:eastAsia="cs-CZ"/>
              </w:rPr>
              <w:t>pro ČR není relevantní</w:t>
            </w:r>
          </w:p>
        </w:tc>
      </w:tr>
      <w:tr w:rsidR="00CD13E8" w:rsidRPr="000B521F" w:rsidTr="009719D2">
        <w:trPr>
          <w:trHeight w:val="75"/>
        </w:trPr>
        <w:tc>
          <w:tcPr>
            <w:tcW w:w="2148" w:type="dxa"/>
            <w:vMerge/>
            <w:shd w:val="clear" w:color="auto" w:fill="C6D9F1" w:themeFill="text2" w:themeFillTint="33"/>
          </w:tcPr>
          <w:p w:rsidR="00CD13E8" w:rsidRPr="000B521F" w:rsidRDefault="00CD13E8" w:rsidP="0059011D">
            <w:pPr>
              <w:spacing w:after="0" w:line="240" w:lineRule="auto"/>
              <w:rPr>
                <w:rFonts w:ascii="Times New Roman" w:hAnsi="Times New Roman" w:cs="Times New Roman"/>
                <w:b/>
                <w:bCs/>
                <w:sz w:val="24"/>
                <w:szCs w:val="24"/>
                <w:lang w:eastAsia="cs-CZ"/>
              </w:rPr>
            </w:pPr>
          </w:p>
        </w:tc>
        <w:tc>
          <w:tcPr>
            <w:tcW w:w="2148" w:type="dxa"/>
            <w:shd w:val="clear" w:color="auto" w:fill="auto"/>
            <w:vAlign w:val="center"/>
          </w:tcPr>
          <w:p w:rsidR="00CD13E8" w:rsidRPr="000B521F" w:rsidRDefault="00CD13E8" w:rsidP="0059011D">
            <w:pPr>
              <w:spacing w:after="120" w:line="240" w:lineRule="auto"/>
              <w:rPr>
                <w:rFonts w:ascii="Times New Roman" w:hAnsi="Times New Roman" w:cs="Times New Roman"/>
                <w:sz w:val="24"/>
                <w:szCs w:val="24"/>
                <w:lang w:eastAsia="cs-CZ"/>
              </w:rPr>
            </w:pPr>
            <w:r w:rsidRPr="000B521F">
              <w:rPr>
                <w:rFonts w:ascii="Times New Roman" w:hAnsi="Times New Roman" w:cs="Times New Roman"/>
                <w:sz w:val="24"/>
                <w:szCs w:val="24"/>
                <w:lang w:eastAsia="cs-CZ"/>
              </w:rPr>
              <w:t>Více rozvinuté regiony</w:t>
            </w:r>
          </w:p>
        </w:tc>
        <w:tc>
          <w:tcPr>
            <w:tcW w:w="2148" w:type="dxa"/>
            <w:shd w:val="clear" w:color="auto" w:fill="auto"/>
            <w:vAlign w:val="center"/>
          </w:tcPr>
          <w:p w:rsidR="00CD13E8" w:rsidRPr="000B521F" w:rsidRDefault="00CD13E8" w:rsidP="0059011D">
            <w:pPr>
              <w:spacing w:after="120" w:line="240" w:lineRule="auto"/>
              <w:rPr>
                <w:rFonts w:ascii="Times New Roman" w:hAnsi="Times New Roman" w:cs="Times New Roman"/>
                <w:iCs/>
                <w:color w:val="000000"/>
                <w:sz w:val="24"/>
                <w:szCs w:val="24"/>
              </w:rPr>
            </w:pPr>
            <w:r w:rsidRPr="000B521F">
              <w:rPr>
                <w:rFonts w:ascii="Times New Roman" w:hAnsi="Times New Roman" w:cs="Times New Roman"/>
                <w:iCs/>
                <w:color w:val="000000"/>
                <w:sz w:val="24"/>
                <w:szCs w:val="24"/>
              </w:rPr>
              <w:t>3 671 664</w:t>
            </w:r>
          </w:p>
        </w:tc>
        <w:tc>
          <w:tcPr>
            <w:tcW w:w="2149" w:type="dxa"/>
            <w:shd w:val="clear" w:color="auto" w:fill="auto"/>
            <w:vAlign w:val="center"/>
          </w:tcPr>
          <w:p w:rsidR="00CD13E8" w:rsidRPr="000B521F" w:rsidRDefault="00CD13E8" w:rsidP="0059011D">
            <w:pPr>
              <w:spacing w:after="120" w:line="240" w:lineRule="auto"/>
              <w:rPr>
                <w:rFonts w:ascii="Times New Roman" w:hAnsi="Times New Roman" w:cs="Times New Roman"/>
                <w:iCs/>
                <w:color w:val="000000"/>
                <w:sz w:val="24"/>
                <w:szCs w:val="24"/>
              </w:rPr>
            </w:pPr>
            <w:r w:rsidRPr="000B521F">
              <w:rPr>
                <w:rFonts w:ascii="Times New Roman" w:hAnsi="Times New Roman" w:cs="Times New Roman"/>
                <w:iCs/>
                <w:color w:val="000000"/>
                <w:sz w:val="24"/>
                <w:szCs w:val="24"/>
              </w:rPr>
              <w:t>2,1%</w:t>
            </w:r>
          </w:p>
        </w:tc>
      </w:tr>
      <w:tr w:rsidR="00CD13E8" w:rsidRPr="000B521F" w:rsidTr="009719D2">
        <w:trPr>
          <w:trHeight w:val="75"/>
        </w:trPr>
        <w:tc>
          <w:tcPr>
            <w:tcW w:w="2148" w:type="dxa"/>
            <w:vMerge w:val="restart"/>
            <w:shd w:val="clear" w:color="auto" w:fill="C6D9F1" w:themeFill="text2" w:themeFillTint="33"/>
          </w:tcPr>
          <w:p w:rsidR="00CD13E8" w:rsidRPr="000B521F" w:rsidRDefault="00CD13E8" w:rsidP="0059011D">
            <w:pPr>
              <w:spacing w:after="120" w:line="240" w:lineRule="auto"/>
              <w:rPr>
                <w:rFonts w:ascii="Times New Roman" w:hAnsi="Times New Roman" w:cs="Times New Roman"/>
                <w:b/>
                <w:bCs/>
                <w:sz w:val="24"/>
                <w:szCs w:val="24"/>
                <w:lang w:eastAsia="cs-CZ"/>
              </w:rPr>
            </w:pPr>
            <w:r w:rsidRPr="000B521F">
              <w:rPr>
                <w:rFonts w:ascii="Times New Roman" w:hAnsi="Times New Roman" w:cs="Times New Roman"/>
                <w:b/>
                <w:bCs/>
                <w:sz w:val="24"/>
                <w:szCs w:val="24"/>
                <w:lang w:eastAsia="cs-CZ"/>
              </w:rPr>
              <w:t>ESF</w:t>
            </w:r>
          </w:p>
        </w:tc>
        <w:tc>
          <w:tcPr>
            <w:tcW w:w="2148" w:type="dxa"/>
            <w:shd w:val="clear" w:color="auto" w:fill="auto"/>
            <w:vAlign w:val="center"/>
          </w:tcPr>
          <w:p w:rsidR="00CD13E8" w:rsidRPr="000B521F" w:rsidRDefault="00CD13E8" w:rsidP="0059011D">
            <w:pPr>
              <w:spacing w:after="120" w:line="240" w:lineRule="auto"/>
              <w:rPr>
                <w:rFonts w:ascii="Times New Roman" w:hAnsi="Times New Roman" w:cs="Times New Roman"/>
                <w:sz w:val="24"/>
                <w:szCs w:val="24"/>
                <w:lang w:eastAsia="cs-CZ"/>
              </w:rPr>
            </w:pPr>
            <w:r w:rsidRPr="000B521F">
              <w:rPr>
                <w:rFonts w:ascii="Times New Roman" w:hAnsi="Times New Roman" w:cs="Times New Roman"/>
                <w:sz w:val="24"/>
                <w:szCs w:val="24"/>
                <w:lang w:eastAsia="cs-CZ"/>
              </w:rPr>
              <w:t>Méně rozvinuté regiony</w:t>
            </w:r>
          </w:p>
        </w:tc>
        <w:tc>
          <w:tcPr>
            <w:tcW w:w="2148" w:type="dxa"/>
            <w:shd w:val="clear" w:color="auto" w:fill="auto"/>
            <w:vAlign w:val="center"/>
          </w:tcPr>
          <w:p w:rsidR="00CD13E8" w:rsidRPr="000B521F" w:rsidRDefault="00CD13E8" w:rsidP="0059011D">
            <w:pPr>
              <w:spacing w:after="120" w:line="240" w:lineRule="auto"/>
              <w:rPr>
                <w:rFonts w:ascii="Times New Roman" w:hAnsi="Times New Roman" w:cs="Times New Roman"/>
                <w:iCs/>
                <w:color w:val="000000"/>
                <w:sz w:val="24"/>
                <w:szCs w:val="24"/>
              </w:rPr>
            </w:pPr>
            <w:r w:rsidRPr="000B521F">
              <w:rPr>
                <w:rFonts w:ascii="Times New Roman" w:hAnsi="Times New Roman" w:cs="Times New Roman"/>
                <w:iCs/>
                <w:color w:val="000000"/>
                <w:sz w:val="24"/>
                <w:szCs w:val="24"/>
              </w:rPr>
              <w:t>84 885 500</w:t>
            </w:r>
          </w:p>
        </w:tc>
        <w:tc>
          <w:tcPr>
            <w:tcW w:w="2149" w:type="dxa"/>
            <w:shd w:val="clear" w:color="auto" w:fill="auto"/>
            <w:vAlign w:val="center"/>
          </w:tcPr>
          <w:p w:rsidR="00CD13E8" w:rsidRPr="000B521F" w:rsidRDefault="00CD13E8" w:rsidP="0059011D">
            <w:pPr>
              <w:spacing w:after="120" w:line="240" w:lineRule="auto"/>
              <w:rPr>
                <w:rFonts w:ascii="Times New Roman" w:hAnsi="Times New Roman" w:cs="Times New Roman"/>
                <w:iCs/>
                <w:color w:val="000000"/>
                <w:sz w:val="24"/>
                <w:szCs w:val="24"/>
              </w:rPr>
            </w:pPr>
            <w:r w:rsidRPr="000B521F">
              <w:rPr>
                <w:rFonts w:ascii="Times New Roman" w:hAnsi="Times New Roman" w:cs="Times New Roman"/>
                <w:iCs/>
                <w:color w:val="000000"/>
                <w:sz w:val="24"/>
                <w:szCs w:val="24"/>
              </w:rPr>
              <w:t>2,6%</w:t>
            </w:r>
          </w:p>
        </w:tc>
      </w:tr>
      <w:tr w:rsidR="00CD13E8" w:rsidRPr="000B521F" w:rsidTr="009719D2">
        <w:trPr>
          <w:trHeight w:val="75"/>
        </w:trPr>
        <w:tc>
          <w:tcPr>
            <w:tcW w:w="2148" w:type="dxa"/>
            <w:vMerge/>
            <w:shd w:val="clear" w:color="auto" w:fill="C6D9F1" w:themeFill="text2" w:themeFillTint="33"/>
          </w:tcPr>
          <w:p w:rsidR="00CD13E8" w:rsidRPr="000B521F" w:rsidRDefault="00CD13E8" w:rsidP="0059011D">
            <w:pPr>
              <w:spacing w:after="0" w:line="240" w:lineRule="auto"/>
              <w:rPr>
                <w:rFonts w:ascii="Times New Roman" w:hAnsi="Times New Roman" w:cs="Times New Roman"/>
                <w:b/>
                <w:bCs/>
                <w:sz w:val="24"/>
                <w:szCs w:val="24"/>
                <w:lang w:eastAsia="cs-CZ"/>
              </w:rPr>
            </w:pPr>
          </w:p>
        </w:tc>
        <w:tc>
          <w:tcPr>
            <w:tcW w:w="2148" w:type="dxa"/>
            <w:shd w:val="clear" w:color="auto" w:fill="auto"/>
            <w:vAlign w:val="center"/>
          </w:tcPr>
          <w:p w:rsidR="00CD13E8" w:rsidRPr="000B521F" w:rsidRDefault="00CD13E8" w:rsidP="0059011D">
            <w:pPr>
              <w:spacing w:after="120" w:line="240" w:lineRule="auto"/>
              <w:rPr>
                <w:rFonts w:ascii="Times New Roman" w:hAnsi="Times New Roman" w:cs="Times New Roman"/>
                <w:sz w:val="24"/>
                <w:szCs w:val="24"/>
                <w:lang w:eastAsia="cs-CZ"/>
              </w:rPr>
            </w:pPr>
            <w:r w:rsidRPr="000B521F">
              <w:rPr>
                <w:rFonts w:ascii="Times New Roman" w:hAnsi="Times New Roman" w:cs="Times New Roman"/>
                <w:sz w:val="24"/>
                <w:szCs w:val="24"/>
                <w:lang w:eastAsia="cs-CZ"/>
              </w:rPr>
              <w:t>Přechodové regiony</w:t>
            </w:r>
          </w:p>
        </w:tc>
        <w:tc>
          <w:tcPr>
            <w:tcW w:w="2148" w:type="dxa"/>
            <w:shd w:val="clear" w:color="auto" w:fill="auto"/>
            <w:vAlign w:val="center"/>
          </w:tcPr>
          <w:p w:rsidR="00CD13E8" w:rsidRPr="000B521F" w:rsidRDefault="00CD13E8" w:rsidP="0059011D">
            <w:pPr>
              <w:spacing w:after="120" w:line="240" w:lineRule="auto"/>
              <w:rPr>
                <w:rFonts w:ascii="Times New Roman" w:hAnsi="Times New Roman" w:cs="Times New Roman"/>
                <w:sz w:val="24"/>
                <w:szCs w:val="24"/>
                <w:lang w:eastAsia="cs-CZ"/>
              </w:rPr>
            </w:pPr>
            <w:r w:rsidRPr="000B521F">
              <w:rPr>
                <w:rFonts w:ascii="Times New Roman" w:hAnsi="Times New Roman" w:cs="Times New Roman"/>
                <w:sz w:val="24"/>
                <w:szCs w:val="24"/>
                <w:lang w:eastAsia="cs-CZ"/>
              </w:rPr>
              <w:t>pro ČR není relevantní</w:t>
            </w:r>
          </w:p>
        </w:tc>
        <w:tc>
          <w:tcPr>
            <w:tcW w:w="2149" w:type="dxa"/>
            <w:shd w:val="clear" w:color="auto" w:fill="auto"/>
            <w:vAlign w:val="center"/>
          </w:tcPr>
          <w:p w:rsidR="00CD13E8" w:rsidRPr="000B521F" w:rsidRDefault="00CD13E8" w:rsidP="0059011D">
            <w:pPr>
              <w:spacing w:after="120" w:line="240" w:lineRule="auto"/>
              <w:rPr>
                <w:rFonts w:ascii="Times New Roman" w:hAnsi="Times New Roman" w:cs="Times New Roman"/>
                <w:sz w:val="24"/>
                <w:szCs w:val="24"/>
                <w:lang w:eastAsia="cs-CZ"/>
              </w:rPr>
            </w:pPr>
            <w:r w:rsidRPr="000B521F">
              <w:rPr>
                <w:rFonts w:ascii="Times New Roman" w:hAnsi="Times New Roman" w:cs="Times New Roman"/>
                <w:sz w:val="24"/>
                <w:szCs w:val="24"/>
                <w:lang w:eastAsia="cs-CZ"/>
              </w:rPr>
              <w:t>pro ČR není relevantní</w:t>
            </w:r>
          </w:p>
        </w:tc>
      </w:tr>
      <w:tr w:rsidR="00CD13E8" w:rsidRPr="000B521F" w:rsidTr="009719D2">
        <w:trPr>
          <w:trHeight w:val="75"/>
        </w:trPr>
        <w:tc>
          <w:tcPr>
            <w:tcW w:w="2148" w:type="dxa"/>
            <w:vMerge/>
            <w:shd w:val="clear" w:color="auto" w:fill="C6D9F1" w:themeFill="text2" w:themeFillTint="33"/>
          </w:tcPr>
          <w:p w:rsidR="00CD13E8" w:rsidRPr="000B521F" w:rsidRDefault="00CD13E8" w:rsidP="0059011D">
            <w:pPr>
              <w:spacing w:after="0" w:line="240" w:lineRule="auto"/>
              <w:rPr>
                <w:rFonts w:ascii="Times New Roman" w:hAnsi="Times New Roman" w:cs="Times New Roman"/>
                <w:b/>
                <w:bCs/>
                <w:sz w:val="24"/>
                <w:szCs w:val="24"/>
                <w:lang w:eastAsia="cs-CZ"/>
              </w:rPr>
            </w:pPr>
          </w:p>
        </w:tc>
        <w:tc>
          <w:tcPr>
            <w:tcW w:w="2148" w:type="dxa"/>
            <w:shd w:val="clear" w:color="auto" w:fill="auto"/>
            <w:vAlign w:val="center"/>
          </w:tcPr>
          <w:p w:rsidR="00CD13E8" w:rsidRPr="000B521F" w:rsidRDefault="00CD13E8" w:rsidP="0059011D">
            <w:pPr>
              <w:spacing w:after="120" w:line="240" w:lineRule="auto"/>
              <w:rPr>
                <w:rFonts w:ascii="Times New Roman" w:hAnsi="Times New Roman" w:cs="Times New Roman"/>
                <w:sz w:val="24"/>
                <w:szCs w:val="24"/>
                <w:lang w:eastAsia="cs-CZ"/>
              </w:rPr>
            </w:pPr>
            <w:r w:rsidRPr="000B521F">
              <w:rPr>
                <w:rFonts w:ascii="Times New Roman" w:hAnsi="Times New Roman" w:cs="Times New Roman"/>
                <w:sz w:val="24"/>
                <w:szCs w:val="24"/>
                <w:lang w:eastAsia="cs-CZ"/>
              </w:rPr>
              <w:t>Více rozvinuté regiony</w:t>
            </w:r>
          </w:p>
        </w:tc>
        <w:tc>
          <w:tcPr>
            <w:tcW w:w="2148" w:type="dxa"/>
            <w:shd w:val="clear" w:color="auto" w:fill="auto"/>
            <w:vAlign w:val="center"/>
          </w:tcPr>
          <w:p w:rsidR="00CD13E8" w:rsidRPr="000B521F" w:rsidRDefault="00CD13E8" w:rsidP="0059011D">
            <w:pPr>
              <w:spacing w:after="120" w:line="240" w:lineRule="auto"/>
              <w:rPr>
                <w:rFonts w:ascii="Times New Roman" w:hAnsi="Times New Roman" w:cs="Times New Roman"/>
                <w:iCs/>
                <w:color w:val="000000"/>
                <w:sz w:val="24"/>
                <w:szCs w:val="24"/>
              </w:rPr>
            </w:pPr>
            <w:r w:rsidRPr="000B521F">
              <w:rPr>
                <w:rFonts w:ascii="Times New Roman" w:hAnsi="Times New Roman" w:cs="Times New Roman"/>
                <w:iCs/>
                <w:color w:val="000000"/>
                <w:sz w:val="24"/>
                <w:szCs w:val="24"/>
              </w:rPr>
              <w:t>8 077 025</w:t>
            </w:r>
          </w:p>
        </w:tc>
        <w:tc>
          <w:tcPr>
            <w:tcW w:w="2149" w:type="dxa"/>
            <w:shd w:val="clear" w:color="auto" w:fill="auto"/>
            <w:vAlign w:val="center"/>
          </w:tcPr>
          <w:p w:rsidR="00CD13E8" w:rsidRPr="000B521F" w:rsidRDefault="00CD13E8" w:rsidP="0059011D">
            <w:pPr>
              <w:spacing w:after="120" w:line="240" w:lineRule="auto"/>
              <w:rPr>
                <w:rFonts w:ascii="Times New Roman" w:hAnsi="Times New Roman" w:cs="Times New Roman"/>
                <w:iCs/>
                <w:color w:val="000000"/>
                <w:sz w:val="24"/>
                <w:szCs w:val="24"/>
              </w:rPr>
            </w:pPr>
            <w:r w:rsidRPr="000B521F">
              <w:rPr>
                <w:rFonts w:ascii="Times New Roman" w:hAnsi="Times New Roman" w:cs="Times New Roman"/>
                <w:iCs/>
                <w:color w:val="000000"/>
                <w:sz w:val="24"/>
                <w:szCs w:val="24"/>
              </w:rPr>
              <w:t>5,6%</w:t>
            </w:r>
          </w:p>
        </w:tc>
      </w:tr>
      <w:tr w:rsidR="00CD13E8" w:rsidRPr="000B521F" w:rsidTr="009719D2">
        <w:tc>
          <w:tcPr>
            <w:tcW w:w="2148" w:type="dxa"/>
            <w:shd w:val="clear" w:color="auto" w:fill="C6D9F1" w:themeFill="text2" w:themeFillTint="33"/>
          </w:tcPr>
          <w:p w:rsidR="00CD13E8" w:rsidRPr="000B521F" w:rsidRDefault="00CD13E8" w:rsidP="0059011D">
            <w:pPr>
              <w:spacing w:after="120" w:line="240" w:lineRule="auto"/>
              <w:rPr>
                <w:rFonts w:ascii="Times New Roman" w:hAnsi="Times New Roman" w:cs="Times New Roman"/>
                <w:b/>
                <w:bCs/>
                <w:sz w:val="24"/>
                <w:szCs w:val="24"/>
                <w:lang w:eastAsia="cs-CZ"/>
              </w:rPr>
            </w:pPr>
            <w:r w:rsidRPr="000B521F">
              <w:rPr>
                <w:rFonts w:ascii="Times New Roman" w:hAnsi="Times New Roman" w:cs="Times New Roman"/>
                <w:b/>
                <w:bCs/>
                <w:sz w:val="24"/>
                <w:szCs w:val="24"/>
                <w:lang w:eastAsia="cs-CZ"/>
              </w:rPr>
              <w:t>Fond soudržnosti</w:t>
            </w:r>
          </w:p>
        </w:tc>
        <w:tc>
          <w:tcPr>
            <w:tcW w:w="2148" w:type="dxa"/>
            <w:shd w:val="clear" w:color="auto" w:fill="auto"/>
            <w:vAlign w:val="center"/>
          </w:tcPr>
          <w:p w:rsidR="00CD13E8" w:rsidRPr="000B521F" w:rsidRDefault="00CD13E8" w:rsidP="0059011D">
            <w:pPr>
              <w:spacing w:after="120" w:line="240" w:lineRule="auto"/>
              <w:rPr>
                <w:rFonts w:ascii="Times New Roman" w:hAnsi="Times New Roman" w:cs="Times New Roman"/>
                <w:sz w:val="24"/>
                <w:szCs w:val="24"/>
                <w:lang w:eastAsia="cs-CZ"/>
              </w:rPr>
            </w:pPr>
            <w:r w:rsidRPr="000B521F">
              <w:rPr>
                <w:rFonts w:ascii="Times New Roman" w:hAnsi="Times New Roman" w:cs="Times New Roman"/>
                <w:sz w:val="24"/>
                <w:szCs w:val="24"/>
                <w:lang w:eastAsia="cs-CZ"/>
              </w:rPr>
              <w:t>není relevantní</w:t>
            </w:r>
          </w:p>
        </w:tc>
        <w:tc>
          <w:tcPr>
            <w:tcW w:w="2148" w:type="dxa"/>
            <w:shd w:val="clear" w:color="auto" w:fill="auto"/>
            <w:vAlign w:val="center"/>
          </w:tcPr>
          <w:p w:rsidR="00CD13E8" w:rsidRPr="000B521F" w:rsidRDefault="00CD13E8" w:rsidP="0059011D">
            <w:pPr>
              <w:spacing w:after="120" w:line="240" w:lineRule="auto"/>
              <w:rPr>
                <w:rFonts w:ascii="Times New Roman" w:hAnsi="Times New Roman" w:cs="Times New Roman"/>
                <w:iCs/>
                <w:color w:val="000000"/>
                <w:sz w:val="24"/>
                <w:szCs w:val="24"/>
              </w:rPr>
            </w:pPr>
            <w:r w:rsidRPr="000B521F">
              <w:rPr>
                <w:rFonts w:ascii="Times New Roman" w:hAnsi="Times New Roman" w:cs="Times New Roman"/>
                <w:iCs/>
                <w:color w:val="000000"/>
                <w:sz w:val="24"/>
                <w:szCs w:val="24"/>
              </w:rPr>
              <w:t>140 527 911</w:t>
            </w:r>
          </w:p>
        </w:tc>
        <w:tc>
          <w:tcPr>
            <w:tcW w:w="2149" w:type="dxa"/>
            <w:shd w:val="clear" w:color="auto" w:fill="auto"/>
            <w:vAlign w:val="center"/>
          </w:tcPr>
          <w:p w:rsidR="00CD13E8" w:rsidRPr="000B521F" w:rsidRDefault="00CD13E8" w:rsidP="0059011D">
            <w:pPr>
              <w:spacing w:after="120" w:line="240" w:lineRule="auto"/>
              <w:rPr>
                <w:rFonts w:ascii="Times New Roman" w:hAnsi="Times New Roman" w:cs="Times New Roman"/>
                <w:iCs/>
                <w:color w:val="000000"/>
                <w:sz w:val="24"/>
                <w:szCs w:val="24"/>
              </w:rPr>
            </w:pPr>
            <w:r w:rsidRPr="000B521F">
              <w:rPr>
                <w:rFonts w:ascii="Times New Roman" w:hAnsi="Times New Roman" w:cs="Times New Roman"/>
                <w:iCs/>
                <w:color w:val="000000"/>
                <w:sz w:val="24"/>
                <w:szCs w:val="24"/>
              </w:rPr>
              <w:t>2,2%</w:t>
            </w:r>
          </w:p>
        </w:tc>
      </w:tr>
      <w:tr w:rsidR="00CD13E8" w:rsidRPr="000B521F" w:rsidTr="009719D2">
        <w:tc>
          <w:tcPr>
            <w:tcW w:w="2148" w:type="dxa"/>
            <w:shd w:val="clear" w:color="auto" w:fill="C6D9F1" w:themeFill="text2" w:themeFillTint="33"/>
          </w:tcPr>
          <w:p w:rsidR="00CD13E8" w:rsidRPr="000B521F" w:rsidRDefault="00CD13E8" w:rsidP="0059011D">
            <w:pPr>
              <w:spacing w:after="120" w:line="240" w:lineRule="auto"/>
              <w:rPr>
                <w:rFonts w:ascii="Times New Roman" w:hAnsi="Times New Roman" w:cs="Times New Roman"/>
                <w:b/>
                <w:bCs/>
                <w:sz w:val="24"/>
                <w:szCs w:val="24"/>
                <w:lang w:eastAsia="cs-CZ"/>
              </w:rPr>
            </w:pPr>
            <w:r w:rsidRPr="000B521F">
              <w:rPr>
                <w:rFonts w:ascii="Times New Roman" w:hAnsi="Times New Roman" w:cs="Times New Roman"/>
                <w:b/>
                <w:bCs/>
                <w:sz w:val="24"/>
                <w:szCs w:val="24"/>
                <w:lang w:eastAsia="cs-CZ"/>
              </w:rPr>
              <w:t>EZFRV</w:t>
            </w:r>
          </w:p>
        </w:tc>
        <w:tc>
          <w:tcPr>
            <w:tcW w:w="2148" w:type="dxa"/>
            <w:shd w:val="clear" w:color="auto" w:fill="auto"/>
            <w:vAlign w:val="center"/>
          </w:tcPr>
          <w:p w:rsidR="00CD13E8" w:rsidRPr="000B521F" w:rsidRDefault="00CD13E8" w:rsidP="0059011D">
            <w:pPr>
              <w:spacing w:after="120" w:line="240" w:lineRule="auto"/>
              <w:rPr>
                <w:rFonts w:ascii="Times New Roman" w:hAnsi="Times New Roman" w:cs="Times New Roman"/>
                <w:sz w:val="24"/>
                <w:szCs w:val="24"/>
                <w:lang w:eastAsia="cs-CZ"/>
              </w:rPr>
            </w:pPr>
            <w:r w:rsidRPr="000B521F">
              <w:rPr>
                <w:rFonts w:ascii="Times New Roman" w:hAnsi="Times New Roman" w:cs="Times New Roman"/>
                <w:sz w:val="24"/>
                <w:szCs w:val="24"/>
                <w:lang w:eastAsia="cs-CZ"/>
              </w:rPr>
              <w:t>není relevantní</w:t>
            </w:r>
          </w:p>
        </w:tc>
        <w:tc>
          <w:tcPr>
            <w:tcW w:w="2148" w:type="dxa"/>
            <w:shd w:val="clear" w:color="auto" w:fill="auto"/>
            <w:vAlign w:val="center"/>
          </w:tcPr>
          <w:p w:rsidR="00CD13E8" w:rsidRPr="000B521F" w:rsidRDefault="00CD13E8" w:rsidP="0059011D">
            <w:pPr>
              <w:spacing w:after="120" w:line="240" w:lineRule="auto"/>
              <w:rPr>
                <w:rFonts w:ascii="Times New Roman" w:hAnsi="Times New Roman" w:cs="Times New Roman"/>
                <w:sz w:val="24"/>
                <w:szCs w:val="24"/>
                <w:lang w:eastAsia="cs-CZ"/>
              </w:rPr>
            </w:pPr>
            <w:r w:rsidRPr="000B521F">
              <w:rPr>
                <w:rFonts w:ascii="Times New Roman" w:hAnsi="Times New Roman" w:cs="Times New Roman"/>
                <w:sz w:val="24"/>
                <w:szCs w:val="24"/>
                <w:lang w:eastAsia="cs-CZ"/>
              </w:rPr>
              <w:t>Pro ČR není relevantní</w:t>
            </w:r>
          </w:p>
        </w:tc>
        <w:tc>
          <w:tcPr>
            <w:tcW w:w="2149" w:type="dxa"/>
            <w:shd w:val="clear" w:color="auto" w:fill="auto"/>
            <w:vAlign w:val="center"/>
          </w:tcPr>
          <w:p w:rsidR="00CD13E8" w:rsidRPr="000B521F" w:rsidRDefault="00CD13E8" w:rsidP="0059011D">
            <w:pPr>
              <w:spacing w:after="120" w:line="240" w:lineRule="auto"/>
              <w:rPr>
                <w:rFonts w:ascii="Times New Roman" w:hAnsi="Times New Roman" w:cs="Times New Roman"/>
                <w:sz w:val="24"/>
                <w:szCs w:val="24"/>
                <w:lang w:eastAsia="cs-CZ"/>
              </w:rPr>
            </w:pPr>
            <w:r w:rsidRPr="000B521F">
              <w:rPr>
                <w:rFonts w:ascii="Times New Roman" w:hAnsi="Times New Roman" w:cs="Times New Roman"/>
                <w:sz w:val="24"/>
                <w:szCs w:val="24"/>
                <w:lang w:eastAsia="cs-CZ"/>
              </w:rPr>
              <w:t>Pro ČR není relevantní</w:t>
            </w:r>
          </w:p>
        </w:tc>
      </w:tr>
      <w:tr w:rsidR="00CD13E8" w:rsidRPr="000B521F" w:rsidTr="009719D2">
        <w:tc>
          <w:tcPr>
            <w:tcW w:w="2148" w:type="dxa"/>
            <w:shd w:val="clear" w:color="auto" w:fill="C6D9F1" w:themeFill="text2" w:themeFillTint="33"/>
          </w:tcPr>
          <w:p w:rsidR="00CD13E8" w:rsidRPr="000B521F" w:rsidRDefault="00CD13E8" w:rsidP="0059011D">
            <w:pPr>
              <w:spacing w:after="120" w:line="240" w:lineRule="auto"/>
              <w:rPr>
                <w:rFonts w:ascii="Times New Roman" w:hAnsi="Times New Roman" w:cs="Times New Roman"/>
                <w:b/>
                <w:bCs/>
                <w:sz w:val="24"/>
                <w:szCs w:val="24"/>
                <w:lang w:eastAsia="cs-CZ"/>
              </w:rPr>
            </w:pPr>
            <w:r w:rsidRPr="000B521F">
              <w:rPr>
                <w:rFonts w:ascii="Times New Roman" w:hAnsi="Times New Roman" w:cs="Times New Roman"/>
                <w:b/>
                <w:bCs/>
                <w:sz w:val="24"/>
                <w:szCs w:val="24"/>
                <w:lang w:eastAsia="cs-CZ"/>
              </w:rPr>
              <w:t>ENRF</w:t>
            </w:r>
          </w:p>
        </w:tc>
        <w:tc>
          <w:tcPr>
            <w:tcW w:w="2148" w:type="dxa"/>
            <w:shd w:val="clear" w:color="auto" w:fill="auto"/>
            <w:vAlign w:val="center"/>
          </w:tcPr>
          <w:p w:rsidR="00CD13E8" w:rsidRPr="000B521F" w:rsidRDefault="00CD13E8" w:rsidP="0059011D">
            <w:pPr>
              <w:spacing w:after="120" w:line="240" w:lineRule="auto"/>
              <w:rPr>
                <w:rFonts w:ascii="Times New Roman" w:hAnsi="Times New Roman" w:cs="Times New Roman"/>
                <w:sz w:val="24"/>
                <w:szCs w:val="24"/>
                <w:lang w:eastAsia="cs-CZ"/>
              </w:rPr>
            </w:pPr>
            <w:r w:rsidRPr="000B521F">
              <w:rPr>
                <w:rFonts w:ascii="Times New Roman" w:hAnsi="Times New Roman" w:cs="Times New Roman"/>
                <w:sz w:val="24"/>
                <w:szCs w:val="24"/>
                <w:lang w:eastAsia="cs-CZ"/>
              </w:rPr>
              <w:t>není relevantní</w:t>
            </w:r>
          </w:p>
        </w:tc>
        <w:tc>
          <w:tcPr>
            <w:tcW w:w="2148" w:type="dxa"/>
            <w:shd w:val="clear" w:color="auto" w:fill="auto"/>
            <w:vAlign w:val="center"/>
          </w:tcPr>
          <w:p w:rsidR="00CD13E8" w:rsidRPr="000B521F" w:rsidRDefault="00CD13E8" w:rsidP="0059011D">
            <w:pPr>
              <w:spacing w:after="120" w:line="240" w:lineRule="auto"/>
              <w:rPr>
                <w:rFonts w:ascii="Times New Roman" w:hAnsi="Times New Roman" w:cs="Times New Roman"/>
                <w:sz w:val="24"/>
                <w:szCs w:val="24"/>
                <w:lang w:eastAsia="cs-CZ"/>
              </w:rPr>
            </w:pPr>
            <w:r w:rsidRPr="000B521F">
              <w:rPr>
                <w:rFonts w:ascii="Times New Roman" w:hAnsi="Times New Roman" w:cs="Times New Roman"/>
                <w:sz w:val="24"/>
                <w:szCs w:val="24"/>
                <w:lang w:eastAsia="cs-CZ"/>
              </w:rPr>
              <w:t>Pro ČR není relevantní</w:t>
            </w:r>
          </w:p>
        </w:tc>
        <w:tc>
          <w:tcPr>
            <w:tcW w:w="2149" w:type="dxa"/>
            <w:shd w:val="clear" w:color="auto" w:fill="auto"/>
            <w:vAlign w:val="center"/>
          </w:tcPr>
          <w:p w:rsidR="00CD13E8" w:rsidRPr="000B521F" w:rsidRDefault="00CD13E8" w:rsidP="0059011D">
            <w:pPr>
              <w:spacing w:after="120" w:line="240" w:lineRule="auto"/>
              <w:rPr>
                <w:rFonts w:ascii="Times New Roman" w:hAnsi="Times New Roman" w:cs="Times New Roman"/>
                <w:sz w:val="24"/>
                <w:szCs w:val="24"/>
                <w:lang w:eastAsia="cs-CZ"/>
              </w:rPr>
            </w:pPr>
            <w:r w:rsidRPr="000B521F">
              <w:rPr>
                <w:rFonts w:ascii="Times New Roman" w:hAnsi="Times New Roman" w:cs="Times New Roman"/>
                <w:sz w:val="24"/>
                <w:szCs w:val="24"/>
                <w:lang w:eastAsia="cs-CZ"/>
              </w:rPr>
              <w:t>Pro ČR není relevantní</w:t>
            </w:r>
          </w:p>
        </w:tc>
      </w:tr>
    </w:tbl>
    <w:p w:rsidR="00DF78B4" w:rsidRPr="000B521F" w:rsidRDefault="00C50A19" w:rsidP="0059011D">
      <w:pPr>
        <w:pStyle w:val="Nadpis3"/>
        <w:spacing w:after="120"/>
        <w:rPr>
          <w:rFonts w:ascii="Times New Roman" w:hAnsi="Times New Roman" w:cs="Times New Roman"/>
        </w:rPr>
      </w:pPr>
      <w:bookmarkStart w:id="59" w:name="_Toc374702879"/>
      <w:r w:rsidRPr="000B521F">
        <w:rPr>
          <w:rFonts w:ascii="Times New Roman" w:hAnsi="Times New Roman" w:cs="Times New Roman"/>
        </w:rPr>
        <w:lastRenderedPageBreak/>
        <w:t>Podíl ESF na strukturálních fondech (EFRR a ESF)</w:t>
      </w:r>
      <w:bookmarkEnd w:id="59"/>
    </w:p>
    <w:p w:rsidR="00267C96" w:rsidRDefault="00267C96" w:rsidP="00F3719F">
      <w:pPr>
        <w:spacing w:line="240" w:lineRule="auto"/>
        <w:rPr>
          <w:rFonts w:ascii="Times New Roman" w:hAnsi="Times New Roman" w:cs="Times New Roman"/>
          <w:sz w:val="24"/>
          <w:szCs w:val="24"/>
        </w:rPr>
      </w:pPr>
    </w:p>
    <w:p w:rsidR="00F3719F" w:rsidRPr="00F3719F" w:rsidRDefault="00F3719F" w:rsidP="00F3719F">
      <w:pPr>
        <w:spacing w:line="240" w:lineRule="auto"/>
        <w:rPr>
          <w:rFonts w:ascii="Times New Roman" w:hAnsi="Times New Roman" w:cs="Times New Roman"/>
          <w:sz w:val="24"/>
          <w:szCs w:val="24"/>
        </w:rPr>
      </w:pPr>
      <w:r>
        <w:rPr>
          <w:rFonts w:ascii="Times New Roman" w:hAnsi="Times New Roman" w:cs="Times New Roman"/>
          <w:sz w:val="24"/>
          <w:szCs w:val="24"/>
        </w:rPr>
        <w:t xml:space="preserve">Jak vyplývá z níže uvedené tabulky 1-7, </w:t>
      </w:r>
      <w:r w:rsidRPr="00F3719F">
        <w:rPr>
          <w:rFonts w:ascii="Times New Roman" w:hAnsi="Times New Roman" w:cs="Times New Roman"/>
          <w:sz w:val="24"/>
          <w:szCs w:val="24"/>
        </w:rPr>
        <w:t>Česká republika splňuje požadavek legislativy na minimální podíl ESF.</w:t>
      </w:r>
    </w:p>
    <w:p w:rsidR="00C50A19" w:rsidRPr="000B521F" w:rsidRDefault="00C50A19" w:rsidP="0059011D">
      <w:pPr>
        <w:pStyle w:val="Tabulka"/>
        <w:spacing w:before="120" w:after="60"/>
        <w:rPr>
          <w:szCs w:val="20"/>
        </w:rPr>
      </w:pPr>
      <w:r w:rsidRPr="000B521F">
        <w:rPr>
          <w:szCs w:val="20"/>
        </w:rPr>
        <w:t>Tabulka 1-7</w:t>
      </w:r>
      <w:r w:rsidR="00B26F79">
        <w:rPr>
          <w:szCs w:val="20"/>
        </w:rPr>
        <w:t xml:space="preserve">: </w:t>
      </w:r>
      <w:r w:rsidRPr="000B521F">
        <w:rPr>
          <w:szCs w:val="20"/>
        </w:rPr>
        <w:t>Podíl ESF na strukturálních fondech (EFRR a ESF) (Čl. 84(3) a Příloha III</w:t>
      </w:r>
      <w:r w:rsidR="00AD2283" w:rsidRPr="000B521F">
        <w:rPr>
          <w:szCs w:val="20"/>
        </w:rPr>
        <w:t>c</w:t>
      </w:r>
      <w:r w:rsidRPr="000B521F">
        <w:rPr>
          <w:szCs w:val="20"/>
        </w:rPr>
        <w:t xml:space="preserve"> obecného nařízení)</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7621"/>
        <w:gridCol w:w="992"/>
      </w:tblGrid>
      <w:tr w:rsidR="00AC77B3" w:rsidRPr="000B521F" w:rsidTr="009719D2">
        <w:tc>
          <w:tcPr>
            <w:tcW w:w="7621" w:type="dxa"/>
            <w:tcBorders>
              <w:top w:val="single" w:sz="8" w:space="0" w:color="4F81BD"/>
              <w:left w:val="single" w:sz="8" w:space="0" w:color="4F81BD"/>
              <w:bottom w:val="single" w:sz="8" w:space="0" w:color="4F81BD"/>
              <w:right w:val="single" w:sz="8" w:space="0" w:color="4F81BD"/>
            </w:tcBorders>
            <w:shd w:val="clear" w:color="auto" w:fill="C6D9F1" w:themeFill="text2" w:themeFillTint="33"/>
          </w:tcPr>
          <w:p w:rsidR="00AC77B3" w:rsidRPr="000B521F" w:rsidRDefault="000630A6" w:rsidP="0059011D">
            <w:pPr>
              <w:spacing w:after="120" w:line="240" w:lineRule="auto"/>
              <w:rPr>
                <w:rFonts w:ascii="Times New Roman" w:hAnsi="Times New Roman" w:cs="Times New Roman"/>
                <w:b/>
                <w:bCs/>
                <w:sz w:val="24"/>
                <w:szCs w:val="24"/>
                <w:lang w:eastAsia="cs-CZ"/>
              </w:rPr>
            </w:pPr>
            <w:r w:rsidRPr="000B521F">
              <w:rPr>
                <w:rFonts w:ascii="Times New Roman" w:hAnsi="Times New Roman" w:cs="Times New Roman"/>
                <w:sz w:val="24"/>
                <w:szCs w:val="24"/>
                <w:lang w:eastAsia="cs-CZ"/>
              </w:rPr>
              <w:t>Podíl ESF na zdrojích strukturálních fondů (ESF a EFRR) v operačních programech pro region cílů Konvergence a Regionální</w:t>
            </w:r>
            <w:r w:rsidRPr="000B521F">
              <w:rPr>
                <w:rFonts w:ascii="Times New Roman" w:hAnsi="Times New Roman" w:cs="Times New Roman"/>
                <w:bCs/>
                <w:sz w:val="24"/>
                <w:szCs w:val="24"/>
                <w:lang w:eastAsia="cs-CZ"/>
              </w:rPr>
              <w:t xml:space="preserve"> konkurenceschopnost a zaměstnanost v programovém období 2007-2013</w:t>
            </w:r>
          </w:p>
        </w:tc>
        <w:tc>
          <w:tcPr>
            <w:tcW w:w="992" w:type="dxa"/>
            <w:tcBorders>
              <w:top w:val="single" w:sz="8" w:space="0" w:color="4F81BD"/>
              <w:left w:val="single" w:sz="8" w:space="0" w:color="4F81BD"/>
              <w:bottom w:val="single" w:sz="8" w:space="0" w:color="4F81BD"/>
              <w:right w:val="single" w:sz="8" w:space="0" w:color="4F81BD"/>
            </w:tcBorders>
            <w:shd w:val="clear" w:color="auto" w:fill="auto"/>
          </w:tcPr>
          <w:p w:rsidR="00AC77B3" w:rsidRPr="000B521F" w:rsidRDefault="00CD13E8" w:rsidP="0059011D">
            <w:pPr>
              <w:spacing w:after="120" w:line="240" w:lineRule="auto"/>
              <w:rPr>
                <w:rFonts w:ascii="Times New Roman" w:hAnsi="Times New Roman" w:cs="Times New Roman"/>
                <w:sz w:val="24"/>
                <w:szCs w:val="24"/>
                <w:lang w:eastAsia="cs-CZ"/>
              </w:rPr>
            </w:pPr>
            <w:r w:rsidRPr="000B521F">
              <w:rPr>
                <w:rFonts w:ascii="Times New Roman" w:hAnsi="Times New Roman" w:cs="Times New Roman"/>
                <w:sz w:val="24"/>
                <w:szCs w:val="24"/>
                <w:lang w:eastAsia="cs-CZ"/>
              </w:rPr>
              <w:t>21,4 %</w:t>
            </w:r>
          </w:p>
        </w:tc>
      </w:tr>
      <w:tr w:rsidR="00AC77B3" w:rsidRPr="000B521F" w:rsidTr="009719D2">
        <w:tc>
          <w:tcPr>
            <w:tcW w:w="7621" w:type="dxa"/>
            <w:tcBorders>
              <w:top w:val="single" w:sz="8" w:space="0" w:color="4F81BD"/>
              <w:left w:val="single" w:sz="8" w:space="0" w:color="4F81BD"/>
              <w:bottom w:val="single" w:sz="8" w:space="0" w:color="4F81BD"/>
              <w:right w:val="single" w:sz="8" w:space="0" w:color="4F81BD"/>
            </w:tcBorders>
            <w:shd w:val="clear" w:color="auto" w:fill="C6D9F1" w:themeFill="text2" w:themeFillTint="33"/>
          </w:tcPr>
          <w:p w:rsidR="00AC77B3" w:rsidRPr="000B521F" w:rsidRDefault="00AC77B3" w:rsidP="0059011D">
            <w:pPr>
              <w:spacing w:after="120" w:line="240" w:lineRule="auto"/>
              <w:rPr>
                <w:rFonts w:ascii="Times New Roman" w:hAnsi="Times New Roman" w:cs="Times New Roman"/>
                <w:b/>
                <w:bCs/>
                <w:sz w:val="24"/>
                <w:szCs w:val="24"/>
                <w:lang w:eastAsia="cs-CZ"/>
              </w:rPr>
            </w:pPr>
            <w:r w:rsidRPr="000B521F">
              <w:rPr>
                <w:rFonts w:ascii="Times New Roman" w:hAnsi="Times New Roman" w:cs="Times New Roman"/>
                <w:bCs/>
                <w:sz w:val="24"/>
                <w:szCs w:val="24"/>
                <w:lang w:eastAsia="cs-CZ"/>
              </w:rPr>
              <w:t>Odpovídající podpora z ESF</w:t>
            </w:r>
          </w:p>
        </w:tc>
        <w:tc>
          <w:tcPr>
            <w:tcW w:w="992" w:type="dxa"/>
            <w:tcBorders>
              <w:top w:val="single" w:sz="8" w:space="0" w:color="4F81BD"/>
              <w:left w:val="single" w:sz="8" w:space="0" w:color="4F81BD"/>
              <w:bottom w:val="single" w:sz="8" w:space="0" w:color="4F81BD"/>
              <w:right w:val="single" w:sz="8" w:space="0" w:color="4F81BD"/>
            </w:tcBorders>
            <w:shd w:val="clear" w:color="auto" w:fill="auto"/>
          </w:tcPr>
          <w:p w:rsidR="00AC77B3" w:rsidRPr="000B521F" w:rsidRDefault="00CD13E8" w:rsidP="0059011D">
            <w:pPr>
              <w:spacing w:after="120" w:line="240" w:lineRule="auto"/>
              <w:rPr>
                <w:rFonts w:ascii="Times New Roman" w:hAnsi="Times New Roman" w:cs="Times New Roman"/>
                <w:bCs/>
                <w:sz w:val="24"/>
                <w:szCs w:val="24"/>
                <w:lang w:eastAsia="cs-CZ"/>
              </w:rPr>
            </w:pPr>
            <w:r w:rsidRPr="000B521F">
              <w:rPr>
                <w:rFonts w:ascii="Times New Roman" w:hAnsi="Times New Roman" w:cs="Times New Roman"/>
                <w:bCs/>
                <w:sz w:val="24"/>
                <w:szCs w:val="24"/>
                <w:lang w:eastAsia="cs-CZ"/>
              </w:rPr>
              <w:t>22,1 %</w:t>
            </w:r>
          </w:p>
        </w:tc>
      </w:tr>
      <w:tr w:rsidR="00AC77B3" w:rsidRPr="000B521F" w:rsidTr="009719D2">
        <w:tc>
          <w:tcPr>
            <w:tcW w:w="7621" w:type="dxa"/>
            <w:tcBorders>
              <w:top w:val="single" w:sz="8" w:space="0" w:color="4F81BD"/>
              <w:left w:val="single" w:sz="8" w:space="0" w:color="4F81BD"/>
              <w:bottom w:val="single" w:sz="8" w:space="0" w:color="4F81BD"/>
              <w:right w:val="single" w:sz="8" w:space="0" w:color="4F81BD"/>
            </w:tcBorders>
            <w:shd w:val="clear" w:color="auto" w:fill="C6D9F1" w:themeFill="text2" w:themeFillTint="33"/>
          </w:tcPr>
          <w:p w:rsidR="00AC77B3" w:rsidRPr="000B521F" w:rsidRDefault="00642739" w:rsidP="0059011D">
            <w:pPr>
              <w:spacing w:after="120" w:line="240" w:lineRule="auto"/>
              <w:rPr>
                <w:rFonts w:ascii="Times New Roman" w:hAnsi="Times New Roman" w:cs="Times New Roman"/>
                <w:bCs/>
                <w:sz w:val="24"/>
                <w:szCs w:val="24"/>
                <w:lang w:eastAsia="cs-CZ"/>
              </w:rPr>
            </w:pPr>
            <w:bookmarkStart w:id="60" w:name="_Toc350333627"/>
            <w:r w:rsidRPr="000B521F">
              <w:rPr>
                <w:rFonts w:ascii="Times New Roman" w:hAnsi="Times New Roman" w:cs="Times New Roman"/>
                <w:bCs/>
                <w:sz w:val="24"/>
                <w:szCs w:val="24"/>
                <w:lang w:eastAsia="cs-CZ"/>
              </w:rPr>
              <w:t>Podíl ESF na zdrojích strukturálních fondů v programovém období 2014-2020</w:t>
            </w:r>
          </w:p>
        </w:tc>
        <w:tc>
          <w:tcPr>
            <w:tcW w:w="992" w:type="dxa"/>
            <w:tcBorders>
              <w:top w:val="single" w:sz="8" w:space="0" w:color="4F81BD"/>
              <w:left w:val="single" w:sz="8" w:space="0" w:color="4F81BD"/>
              <w:bottom w:val="single" w:sz="8" w:space="0" w:color="4F81BD"/>
              <w:right w:val="single" w:sz="8" w:space="0" w:color="4F81BD"/>
            </w:tcBorders>
            <w:shd w:val="clear" w:color="auto" w:fill="auto"/>
          </w:tcPr>
          <w:p w:rsidR="00AC77B3" w:rsidRPr="000B521F" w:rsidRDefault="00CD13E8" w:rsidP="0059011D">
            <w:pPr>
              <w:spacing w:after="120" w:line="240" w:lineRule="auto"/>
              <w:rPr>
                <w:rFonts w:ascii="Times New Roman" w:hAnsi="Times New Roman" w:cs="Times New Roman"/>
                <w:bCs/>
                <w:sz w:val="24"/>
                <w:szCs w:val="24"/>
                <w:lang w:eastAsia="cs-CZ"/>
              </w:rPr>
            </w:pPr>
            <w:r w:rsidRPr="000B521F">
              <w:rPr>
                <w:rFonts w:ascii="Times New Roman" w:hAnsi="Times New Roman" w:cs="Times New Roman"/>
                <w:bCs/>
                <w:sz w:val="24"/>
                <w:szCs w:val="24"/>
                <w:lang w:eastAsia="cs-CZ"/>
              </w:rPr>
              <w:t>22,1 %</w:t>
            </w:r>
          </w:p>
        </w:tc>
      </w:tr>
    </w:tbl>
    <w:p w:rsidR="0044586B" w:rsidRPr="000B521F" w:rsidRDefault="0044586B" w:rsidP="0059011D">
      <w:pPr>
        <w:pStyle w:val="Nadpis3"/>
        <w:numPr>
          <w:ilvl w:val="0"/>
          <w:numId w:val="0"/>
        </w:numPr>
        <w:spacing w:after="120"/>
        <w:rPr>
          <w:rFonts w:ascii="Times New Roman" w:eastAsia="Calibri" w:hAnsi="Times New Roman" w:cs="Times New Roman"/>
          <w:b w:val="0"/>
          <w:bCs w:val="0"/>
          <w:lang w:eastAsia="en-US"/>
        </w:rPr>
      </w:pPr>
      <w:bookmarkStart w:id="61" w:name="_Toc374702880"/>
      <w:r w:rsidRPr="000B521F">
        <w:rPr>
          <w:rFonts w:ascii="Times New Roman" w:eastAsia="Calibri" w:hAnsi="Times New Roman" w:cs="Times New Roman"/>
          <w:bCs w:val="0"/>
          <w:lang w:eastAsia="en-US"/>
        </w:rPr>
        <w:t>Celková indikativní výše podpory EU pro cíl Klimatická změna (EUR)</w:t>
      </w:r>
      <w:r w:rsidRPr="000B521F">
        <w:rPr>
          <w:rFonts w:ascii="Times New Roman" w:eastAsia="Calibri" w:hAnsi="Times New Roman" w:cs="Times New Roman"/>
          <w:b w:val="0"/>
          <w:bCs w:val="0"/>
          <w:lang w:eastAsia="en-US"/>
        </w:rPr>
        <w:t xml:space="preserve"> (Celková podpora Unie, zahrnující výkonnostní rezervu)</w:t>
      </w:r>
      <w:bookmarkEnd w:id="61"/>
    </w:p>
    <w:p w:rsidR="0044586B" w:rsidRPr="000B521F" w:rsidRDefault="0044586B" w:rsidP="0059011D">
      <w:pPr>
        <w:spacing w:after="120" w:line="240" w:lineRule="auto"/>
        <w:rPr>
          <w:rFonts w:ascii="Times New Roman" w:hAnsi="Times New Roman" w:cs="Times New Roman"/>
          <w:color w:val="000000"/>
          <w:sz w:val="24"/>
          <w:szCs w:val="24"/>
          <w:lang w:eastAsia="cs-CZ"/>
        </w:rPr>
      </w:pPr>
      <w:r w:rsidRPr="000B521F">
        <w:rPr>
          <w:rFonts w:ascii="Times New Roman" w:hAnsi="Times New Roman" w:cs="Times New Roman"/>
          <w:color w:val="000000"/>
          <w:sz w:val="24"/>
          <w:szCs w:val="24"/>
          <w:lang w:eastAsia="cs-CZ"/>
        </w:rPr>
        <w:t>5 996 020 000 € (20,76646 %) – jen SF a FS</w:t>
      </w:r>
    </w:p>
    <w:p w:rsidR="0044586B" w:rsidRPr="000B521F" w:rsidRDefault="0044586B" w:rsidP="0059011D">
      <w:pPr>
        <w:spacing w:after="120" w:line="240" w:lineRule="auto"/>
        <w:rPr>
          <w:rFonts w:ascii="Times New Roman" w:hAnsi="Times New Roman" w:cs="Times New Roman"/>
          <w:color w:val="000000"/>
          <w:sz w:val="24"/>
          <w:szCs w:val="24"/>
          <w:lang w:eastAsia="cs-CZ"/>
        </w:rPr>
      </w:pPr>
      <w:r w:rsidRPr="000B521F">
        <w:rPr>
          <w:rFonts w:ascii="Times New Roman" w:hAnsi="Times New Roman" w:cs="Times New Roman"/>
          <w:color w:val="000000"/>
          <w:sz w:val="24"/>
          <w:szCs w:val="24"/>
          <w:lang w:eastAsia="cs-CZ"/>
        </w:rPr>
        <w:t>5 996 020 000 € (24,31459 %) - ESIF</w:t>
      </w:r>
    </w:p>
    <w:p w:rsidR="00507842" w:rsidRPr="000B521F" w:rsidRDefault="00507842" w:rsidP="0059011D">
      <w:pPr>
        <w:pStyle w:val="Nadpis3"/>
        <w:spacing w:after="120"/>
        <w:rPr>
          <w:rFonts w:ascii="Times New Roman" w:hAnsi="Times New Roman" w:cs="Times New Roman"/>
        </w:rPr>
      </w:pPr>
      <w:bookmarkStart w:id="62" w:name="_Toc374702881"/>
      <w:r w:rsidRPr="000B521F">
        <w:rPr>
          <w:rFonts w:ascii="Times New Roman" w:hAnsi="Times New Roman" w:cs="Times New Roman"/>
        </w:rPr>
        <w:t>Indikativní příspěvek k cíli v oblasti změny klimatu</w:t>
      </w:r>
      <w:bookmarkEnd w:id="60"/>
      <w:r w:rsidR="00395E61" w:rsidRPr="000B521F">
        <w:rPr>
          <w:rFonts w:ascii="Times New Roman" w:hAnsi="Times New Roman" w:cs="Times New Roman"/>
        </w:rPr>
        <w:t xml:space="preserve"> (celková podpora Unie včetně výkonnostní rezervy)</w:t>
      </w:r>
      <w:bookmarkEnd w:id="62"/>
    </w:p>
    <w:p w:rsidR="00507842" w:rsidRPr="000B521F" w:rsidRDefault="00507842"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Jednání expertní pracovní skupiny na téma metodiky vydané formou prováděcího aktu EK proběhlo dne 21. března 2013, další jednání je plánováno ještě v prvním pololetí roku 2013. Indikativní alokace bude moci být proto doplněna až po upřesnění potřebných informací ze strany EK.</w:t>
      </w:r>
    </w:p>
    <w:p w:rsidR="00507842" w:rsidRPr="000B521F" w:rsidRDefault="00507842"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Alokaci automaticky generuje systém SFC na základě tabulek programů, které jsou v systému zadány. Hodnotu lze ručně upravovat včetně případů, kdy nejsou k okamžiku předložení Dohody o partnerství do systému zadána data o všech programech.</w:t>
      </w:r>
    </w:p>
    <w:p w:rsidR="00507842" w:rsidRPr="000B521F" w:rsidRDefault="00507842"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Strategie Evropa 2020 pro všechny členské státy EU vytyčuje tři hlavní cíle v oblasti životního prostředí a změny klimatu: snížení emisí skleníkových plynů oproti</w:t>
      </w:r>
      <w:r w:rsidR="00B00FD5" w:rsidRPr="000B521F">
        <w:rPr>
          <w:rFonts w:ascii="Times New Roman" w:hAnsi="Times New Roman" w:cs="Times New Roman"/>
          <w:sz w:val="24"/>
          <w:szCs w:val="24"/>
        </w:rPr>
        <w:t xml:space="preserve"> úrovním roku 1990 nejméně o 20</w:t>
      </w:r>
      <w:r w:rsidR="00213CEA" w:rsidRPr="000B521F">
        <w:rPr>
          <w:rFonts w:ascii="Times New Roman" w:hAnsi="Times New Roman" w:cs="Times New Roman"/>
          <w:sz w:val="24"/>
          <w:szCs w:val="24"/>
        </w:rPr>
        <w:t xml:space="preserve"> </w:t>
      </w:r>
      <w:r w:rsidRPr="000B521F">
        <w:rPr>
          <w:rFonts w:ascii="Times New Roman" w:hAnsi="Times New Roman" w:cs="Times New Roman"/>
          <w:sz w:val="24"/>
          <w:szCs w:val="24"/>
        </w:rPr>
        <w:t>%, nebo poku</w:t>
      </w:r>
      <w:r w:rsidR="00B00FD5" w:rsidRPr="000B521F">
        <w:rPr>
          <w:rFonts w:ascii="Times New Roman" w:hAnsi="Times New Roman" w:cs="Times New Roman"/>
          <w:sz w:val="24"/>
          <w:szCs w:val="24"/>
        </w:rPr>
        <w:t>d budou podmínky příznivé, o 30</w:t>
      </w:r>
      <w:r w:rsidR="00213CEA" w:rsidRPr="000B521F">
        <w:rPr>
          <w:rFonts w:ascii="Times New Roman" w:hAnsi="Times New Roman" w:cs="Times New Roman"/>
          <w:sz w:val="24"/>
          <w:szCs w:val="24"/>
        </w:rPr>
        <w:t xml:space="preserve"> </w:t>
      </w:r>
      <w:r w:rsidRPr="000B521F">
        <w:rPr>
          <w:rFonts w:ascii="Times New Roman" w:hAnsi="Times New Roman" w:cs="Times New Roman"/>
          <w:sz w:val="24"/>
          <w:szCs w:val="24"/>
        </w:rPr>
        <w:t>%; zvýšení podílu obnovitelných zdrojů energie v</w:t>
      </w:r>
      <w:r w:rsidR="00B00FD5" w:rsidRPr="000B521F">
        <w:rPr>
          <w:rFonts w:ascii="Times New Roman" w:hAnsi="Times New Roman" w:cs="Times New Roman"/>
          <w:sz w:val="24"/>
          <w:szCs w:val="24"/>
        </w:rPr>
        <w:t xml:space="preserve"> konečné spotřebě energie na 20</w:t>
      </w:r>
      <w:r w:rsidR="00213CEA" w:rsidRPr="000B521F">
        <w:rPr>
          <w:rFonts w:ascii="Times New Roman" w:hAnsi="Times New Roman" w:cs="Times New Roman"/>
          <w:sz w:val="24"/>
          <w:szCs w:val="24"/>
        </w:rPr>
        <w:t xml:space="preserve"> </w:t>
      </w:r>
      <w:r w:rsidRPr="000B521F">
        <w:rPr>
          <w:rFonts w:ascii="Times New Roman" w:hAnsi="Times New Roman" w:cs="Times New Roman"/>
          <w:sz w:val="24"/>
          <w:szCs w:val="24"/>
        </w:rPr>
        <w:t>% a zvý</w:t>
      </w:r>
      <w:r w:rsidR="00B00FD5" w:rsidRPr="000B521F">
        <w:rPr>
          <w:rFonts w:ascii="Times New Roman" w:hAnsi="Times New Roman" w:cs="Times New Roman"/>
          <w:sz w:val="24"/>
          <w:szCs w:val="24"/>
        </w:rPr>
        <w:t>šení energetické účinnosti o 20</w:t>
      </w:r>
      <w:r w:rsidRPr="000B521F">
        <w:rPr>
          <w:rFonts w:ascii="Times New Roman" w:hAnsi="Times New Roman" w:cs="Times New Roman"/>
          <w:sz w:val="24"/>
          <w:szCs w:val="24"/>
        </w:rPr>
        <w:t>%.</w:t>
      </w:r>
    </w:p>
    <w:p w:rsidR="00507842" w:rsidRPr="000B521F" w:rsidRDefault="00507842"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Podle čl. 8 obecného nařízení by měly intervence podporované z</w:t>
      </w:r>
      <w:r w:rsidR="00B00FD5" w:rsidRPr="000B521F">
        <w:rPr>
          <w:rFonts w:ascii="Times New Roman" w:hAnsi="Times New Roman" w:cs="Times New Roman"/>
          <w:sz w:val="24"/>
          <w:szCs w:val="24"/>
        </w:rPr>
        <w:t xml:space="preserve"> ESI </w:t>
      </w:r>
      <w:r w:rsidRPr="000B521F">
        <w:rPr>
          <w:rFonts w:ascii="Times New Roman" w:hAnsi="Times New Roman" w:cs="Times New Roman"/>
          <w:sz w:val="24"/>
          <w:szCs w:val="24"/>
        </w:rPr>
        <w:t xml:space="preserve">fondů přispívat k udržitelnému rozvoji. V rámci udržitelného rozvoje by poté podpora z prostředků politiky soudržnosti měla směřovat k ochraně a zlepšování životního prostředí. Na podrobnější úrovni následně nařízení stanoví, že členské státy a </w:t>
      </w:r>
      <w:r w:rsidR="00B00FD5" w:rsidRPr="000B521F">
        <w:rPr>
          <w:rFonts w:ascii="Times New Roman" w:hAnsi="Times New Roman" w:cs="Times New Roman"/>
          <w:sz w:val="24"/>
          <w:szCs w:val="24"/>
        </w:rPr>
        <w:t>EK</w:t>
      </w:r>
      <w:r w:rsidRPr="000B521F">
        <w:rPr>
          <w:rFonts w:ascii="Times New Roman" w:hAnsi="Times New Roman" w:cs="Times New Roman"/>
          <w:sz w:val="24"/>
          <w:szCs w:val="24"/>
        </w:rPr>
        <w:t xml:space="preserve"> zajistí, v rámci intervencí v oblasti životního prostředí, opatření vedoucí ke zmírňování a přizpůsobování se změně klimatu. Ke splnění těchto cílů by měly přispět především tematické cíle (TC):</w:t>
      </w:r>
    </w:p>
    <w:p w:rsidR="00507842" w:rsidRPr="000B521F" w:rsidRDefault="00507842" w:rsidP="0059011D">
      <w:pPr>
        <w:pStyle w:val="Odstavecseseznamem"/>
        <w:numPr>
          <w:ilvl w:val="0"/>
          <w:numId w:val="3"/>
        </w:num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TC 4 -Podpora přechodu na nízkouhlíkové </w:t>
      </w:r>
      <w:r w:rsidR="00B00FD5" w:rsidRPr="000B521F">
        <w:rPr>
          <w:rFonts w:ascii="Times New Roman" w:hAnsi="Times New Roman" w:cs="Times New Roman"/>
          <w:sz w:val="24"/>
          <w:szCs w:val="24"/>
        </w:rPr>
        <w:t>hospodářství ve všech odvětvích</w:t>
      </w:r>
    </w:p>
    <w:p w:rsidR="00507842" w:rsidRPr="000B521F" w:rsidRDefault="00507842" w:rsidP="0059011D">
      <w:pPr>
        <w:pStyle w:val="Odstavecseseznamem"/>
        <w:numPr>
          <w:ilvl w:val="0"/>
          <w:numId w:val="3"/>
        </w:num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TC 5 -Podpora přizpůsobení se změně klimatu, pře</w:t>
      </w:r>
      <w:r w:rsidR="00B00FD5" w:rsidRPr="000B521F">
        <w:rPr>
          <w:rFonts w:ascii="Times New Roman" w:hAnsi="Times New Roman" w:cs="Times New Roman"/>
          <w:sz w:val="24"/>
          <w:szCs w:val="24"/>
        </w:rPr>
        <w:t>dcházení rizikům a řízení rizik</w:t>
      </w:r>
    </w:p>
    <w:p w:rsidR="00507842" w:rsidRPr="000B521F" w:rsidRDefault="00507842" w:rsidP="0059011D">
      <w:pPr>
        <w:pStyle w:val="Odstavecseseznamem"/>
        <w:numPr>
          <w:ilvl w:val="0"/>
          <w:numId w:val="3"/>
        </w:num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TC 6 -Ochrana životního prostředí a po</w:t>
      </w:r>
      <w:r w:rsidR="00B00FD5" w:rsidRPr="000B521F">
        <w:rPr>
          <w:rFonts w:ascii="Times New Roman" w:hAnsi="Times New Roman" w:cs="Times New Roman"/>
          <w:sz w:val="24"/>
          <w:szCs w:val="24"/>
        </w:rPr>
        <w:t>dpora účinného využívání zdrojů</w:t>
      </w:r>
    </w:p>
    <w:p w:rsidR="000C765E" w:rsidRPr="000B521F" w:rsidRDefault="000C765E" w:rsidP="0059011D">
      <w:pPr>
        <w:spacing w:after="120" w:line="240" w:lineRule="auto"/>
        <w:jc w:val="both"/>
        <w:rPr>
          <w:rFonts w:ascii="Times New Roman" w:hAnsi="Times New Roman" w:cs="Times New Roman"/>
          <w:sz w:val="24"/>
          <w:szCs w:val="24"/>
        </w:rPr>
      </w:pPr>
    </w:p>
    <w:p w:rsidR="00213CEA" w:rsidRPr="000B521F" w:rsidRDefault="00213CEA"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lastRenderedPageBreak/>
        <w:t>Indikativní příspěvek k cíli v oblasti změny klimatu bude doplněn v návaznosti na projednání alokací.</w:t>
      </w:r>
    </w:p>
    <w:p w:rsidR="00507842" w:rsidRPr="000B521F" w:rsidRDefault="00507842" w:rsidP="0059011D">
      <w:pPr>
        <w:pStyle w:val="Nadpis2"/>
      </w:pPr>
      <w:bookmarkStart w:id="63" w:name="_Toc350333628"/>
      <w:bookmarkStart w:id="64" w:name="_Toc374702882"/>
      <w:r w:rsidRPr="000B521F">
        <w:t>Uplatnění horizontálních principů a cílů pro implementaci fondů</w:t>
      </w:r>
      <w:bookmarkEnd w:id="63"/>
      <w:bookmarkEnd w:id="64"/>
    </w:p>
    <w:p w:rsidR="008206A4" w:rsidRPr="000B521F" w:rsidRDefault="002B37A2" w:rsidP="0059011D">
      <w:pPr>
        <w:pStyle w:val="Nadpis3"/>
        <w:numPr>
          <w:ilvl w:val="2"/>
          <w:numId w:val="47"/>
        </w:numPr>
        <w:spacing w:after="120"/>
        <w:rPr>
          <w:rFonts w:ascii="Times New Roman" w:hAnsi="Times New Roman" w:cs="Times New Roman"/>
        </w:rPr>
      </w:pPr>
      <w:bookmarkStart w:id="65" w:name="_Toc350333629"/>
      <w:bookmarkStart w:id="66" w:name="_Toc374702883"/>
      <w:r w:rsidRPr="000B521F">
        <w:rPr>
          <w:rFonts w:ascii="Times New Roman" w:hAnsi="Times New Roman" w:cs="Times New Roman"/>
        </w:rPr>
        <w:t>Zajištění principu partnerství</w:t>
      </w:r>
      <w:bookmarkEnd w:id="65"/>
      <w:bookmarkEnd w:id="66"/>
    </w:p>
    <w:p w:rsidR="002B37A2" w:rsidRPr="000B521F" w:rsidRDefault="002B37A2" w:rsidP="0059011D">
      <w:pPr>
        <w:spacing w:after="120" w:line="240" w:lineRule="auto"/>
        <w:jc w:val="both"/>
        <w:rPr>
          <w:rFonts w:ascii="Times New Roman" w:hAnsi="Times New Roman" w:cs="Times New Roman"/>
          <w:b/>
          <w:sz w:val="24"/>
          <w:szCs w:val="24"/>
          <w:u w:val="single"/>
        </w:rPr>
      </w:pPr>
      <w:r w:rsidRPr="000B521F">
        <w:rPr>
          <w:rFonts w:ascii="Times New Roman" w:hAnsi="Times New Roman" w:cs="Times New Roman"/>
          <w:b/>
          <w:sz w:val="24"/>
          <w:szCs w:val="24"/>
          <w:u w:val="single"/>
        </w:rPr>
        <w:t xml:space="preserve">Fáze přípravy Dohody o partnerství a programů pro programové období 2014–2020 </w:t>
      </w:r>
    </w:p>
    <w:p w:rsidR="002B37A2" w:rsidRPr="000B521F" w:rsidRDefault="002B37A2"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ČR vycházela při nastavování principu partnerství ze zkušeností získaných při přípravě a implementaci předstrukturálních nástrojů i programových období 2004–2006 i 2007–2013. Zodpovědnou institucí za zpracování celkové strategie implementace fondů ESIF v ČR je MMR, a to na základě usnesení vlády ze dne 28. listopadu 2012 č. 867 a ze dne 12. června 2013 č. 447 a 448. </w:t>
      </w:r>
    </w:p>
    <w:p w:rsidR="002B37A2" w:rsidRPr="000B521F" w:rsidRDefault="002B37A2"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MMR zapojilo jednotlivé partnery již od počátku přípravy programového období 2014–2020. Pro diskuse k stanovování principů programového období 2014–2020 a definování požadavků na obsah a systém implementace ESI fondů byly </w:t>
      </w:r>
      <w:r w:rsidRPr="000B521F">
        <w:rPr>
          <w:rFonts w:ascii="Times New Roman" w:hAnsi="Times New Roman" w:cs="Times New Roman"/>
          <w:b/>
          <w:sz w:val="24"/>
          <w:szCs w:val="24"/>
        </w:rPr>
        <w:t>využity platformy určené pro projednávání realizace programového období 2007–2013</w:t>
      </w:r>
      <w:r w:rsidRPr="000B521F">
        <w:rPr>
          <w:rFonts w:ascii="Times New Roman" w:hAnsi="Times New Roman" w:cs="Times New Roman"/>
          <w:sz w:val="24"/>
          <w:szCs w:val="24"/>
        </w:rPr>
        <w:t xml:space="preserve">, zejména pak Koordinační výbory NSRR </w:t>
      </w:r>
      <w:r w:rsidRPr="000B521F">
        <w:rPr>
          <w:rFonts w:ascii="Times New Roman" w:hAnsi="Times New Roman" w:cs="Times New Roman"/>
          <w:color w:val="000000"/>
          <w:sz w:val="24"/>
          <w:szCs w:val="24"/>
        </w:rPr>
        <w:t>(členství uvedeno v příloze 5.</w:t>
      </w:r>
      <w:r w:rsidR="00213CEA" w:rsidRPr="000B521F">
        <w:rPr>
          <w:rFonts w:ascii="Times New Roman" w:hAnsi="Times New Roman" w:cs="Times New Roman"/>
          <w:color w:val="000000"/>
          <w:sz w:val="24"/>
          <w:szCs w:val="24"/>
        </w:rPr>
        <w:t>1</w:t>
      </w:r>
      <w:r w:rsidRPr="000B521F">
        <w:rPr>
          <w:rFonts w:ascii="Times New Roman" w:hAnsi="Times New Roman" w:cs="Times New Roman"/>
          <w:color w:val="000000"/>
          <w:sz w:val="24"/>
          <w:szCs w:val="24"/>
        </w:rPr>
        <w:t xml:space="preserve">). </w:t>
      </w:r>
      <w:r w:rsidRPr="000B521F">
        <w:rPr>
          <w:rFonts w:ascii="Times New Roman" w:hAnsi="Times New Roman" w:cs="Times New Roman"/>
          <w:sz w:val="24"/>
          <w:szCs w:val="24"/>
        </w:rPr>
        <w:t xml:space="preserve">Pro snadnější komunikaci se všemi partnery je v průběhu celého procesu přípravy programového období 2014–2020 využívána také </w:t>
      </w:r>
      <w:r w:rsidRPr="000B521F">
        <w:rPr>
          <w:rFonts w:ascii="Times New Roman" w:hAnsi="Times New Roman" w:cs="Times New Roman"/>
          <w:b/>
          <w:sz w:val="24"/>
          <w:szCs w:val="24"/>
        </w:rPr>
        <w:t xml:space="preserve">Resortní koordinační skupina MMR pro EU </w:t>
      </w:r>
      <w:r w:rsidRPr="000B521F">
        <w:rPr>
          <w:rFonts w:ascii="Times New Roman" w:hAnsi="Times New Roman" w:cs="Times New Roman"/>
          <w:color w:val="000000"/>
          <w:sz w:val="24"/>
          <w:szCs w:val="24"/>
        </w:rPr>
        <w:t>(členství uvedeno v příloze 5.</w:t>
      </w:r>
      <w:r w:rsidR="00213CEA" w:rsidRPr="000B521F">
        <w:rPr>
          <w:rFonts w:ascii="Times New Roman" w:hAnsi="Times New Roman" w:cs="Times New Roman"/>
          <w:color w:val="000000"/>
          <w:sz w:val="24"/>
          <w:szCs w:val="24"/>
        </w:rPr>
        <w:t>1</w:t>
      </w:r>
      <w:r w:rsidRPr="000B521F">
        <w:rPr>
          <w:rFonts w:ascii="Times New Roman" w:hAnsi="Times New Roman" w:cs="Times New Roman"/>
          <w:color w:val="000000"/>
          <w:sz w:val="24"/>
          <w:szCs w:val="24"/>
        </w:rPr>
        <w:t>)</w:t>
      </w:r>
      <w:r w:rsidRPr="000B521F">
        <w:rPr>
          <w:rFonts w:ascii="Times New Roman" w:hAnsi="Times New Roman" w:cs="Times New Roman"/>
          <w:sz w:val="24"/>
          <w:szCs w:val="24"/>
        </w:rPr>
        <w:t>, která slouží k připomínkování jednotlivých materiálů a bezodkladnému informování partnerů o aktuálním dění v rámci přípravy programového období 2014–2020 na národní i evropské úrovni.</w:t>
      </w:r>
    </w:p>
    <w:p w:rsidR="002B37A2" w:rsidRPr="000B521F" w:rsidRDefault="002B37A2" w:rsidP="0059011D">
      <w:p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b/>
          <w:color w:val="000000"/>
          <w:sz w:val="24"/>
          <w:szCs w:val="24"/>
        </w:rPr>
        <w:t>Do jednotlivých částí Dohody byly zapracovány podklady od jednotlivých partnerů</w:t>
      </w:r>
      <w:r w:rsidRPr="000B521F">
        <w:rPr>
          <w:rFonts w:ascii="Times New Roman" w:hAnsi="Times New Roman" w:cs="Times New Roman"/>
          <w:color w:val="000000"/>
          <w:sz w:val="24"/>
          <w:szCs w:val="24"/>
        </w:rPr>
        <w:t>, zejména řídicích orgánů v souvislosti s paralelní přípravou programových dokumentů, ministerstva zemědělství jako gestora politiky rozvoje venkova a společné rybářské politiky v ČR, Úřadu vlády ČR jako gestora Národního programu reforem, regionálních a místních partnerů v souvislosti s nastavováním územní dimenze, resortů a dalších institucí, které jsou gestory předběžných podmínek ve smyslu Akčního plánu řízení a koordinace předběžných podmínek, který byl na návrh MMR schválen usnesením vlády č. 809 ze dne 23. října 2013.</w:t>
      </w:r>
    </w:p>
    <w:p w:rsidR="00044A2E" w:rsidRDefault="00044A2E" w:rsidP="00044A2E">
      <w:pPr>
        <w:spacing w:after="120" w:line="240" w:lineRule="auto"/>
        <w:jc w:val="both"/>
        <w:rPr>
          <w:rFonts w:ascii="Times New Roman" w:eastAsiaTheme="minorHAnsi" w:hAnsi="Times New Roman" w:cs="Times New Roman"/>
          <w:color w:val="000000" w:themeColor="text1"/>
          <w:sz w:val="24"/>
          <w:szCs w:val="24"/>
        </w:rPr>
      </w:pPr>
      <w:r>
        <w:rPr>
          <w:rFonts w:ascii="Times New Roman" w:eastAsiaTheme="minorHAnsi" w:hAnsi="Times New Roman" w:cs="Times New Roman"/>
          <w:b/>
          <w:color w:val="000000" w:themeColor="text1"/>
          <w:sz w:val="24"/>
          <w:szCs w:val="24"/>
        </w:rPr>
        <w:t>Řada partnerů z různých sfér předložila své připomínky</w:t>
      </w:r>
      <w:r>
        <w:rPr>
          <w:rFonts w:ascii="Times New Roman" w:eastAsiaTheme="minorHAnsi" w:hAnsi="Times New Roman" w:cs="Times New Roman"/>
          <w:color w:val="000000" w:themeColor="text1"/>
          <w:sz w:val="24"/>
          <w:szCs w:val="24"/>
        </w:rPr>
        <w:t xml:space="preserve"> v rámci meziresortního připomínkového řízení ve všech fázích přípravy, a to při definování návrhu národních rozvojových priorit, dopracování tematických okruhů, nastavování struktury programů až po jednotlivé fáze přípravy Dohody o partnerství. Předložení dokumentu k připomínkám všem resortům a dalším institucím je povinnou součástí přípravy materiálů před jejich postoupením vládě ČR. Ačkoliv jsou připomínková místa pevně stanovena Jednacím řádem vlády ČR, MMR dokumenty týkající se přípravy Dohody předkládá k vyjádření všem partnerům, kteří jsou členy Pracovní skupiny pro přípravu Dohody o partnerství (viz příloha 5.1). Připomínky předložené ze strany všech partnerů byly řádně vypořádány a způsob jejich vypořádání byl partnerům zaslán, v případě potřeby rovněž projednán prezenčně s cílem nalezení shody. Spousta podnětů zazněla také během jednání různých platforem a byla následně reflektována ve zpracovávaných dokumentech, popřípadě bilaterálně komunikována s předkladatelem.</w:t>
      </w:r>
    </w:p>
    <w:p w:rsidR="002B37A2" w:rsidRPr="000B521F" w:rsidRDefault="00044A2E" w:rsidP="00044A2E">
      <w:pPr>
        <w:spacing w:after="120" w:line="240" w:lineRule="auto"/>
        <w:jc w:val="both"/>
        <w:rPr>
          <w:rFonts w:ascii="Times New Roman" w:hAnsi="Times New Roman" w:cs="Times New Roman"/>
          <w:color w:val="000000"/>
          <w:sz w:val="24"/>
          <w:szCs w:val="24"/>
        </w:rPr>
      </w:pPr>
      <w:r>
        <w:rPr>
          <w:rFonts w:ascii="Times New Roman" w:eastAsiaTheme="minorHAnsi" w:hAnsi="Times New Roman" w:cs="Times New Roman"/>
          <w:color w:val="000000" w:themeColor="text1"/>
          <w:sz w:val="24"/>
          <w:szCs w:val="24"/>
        </w:rPr>
        <w:t xml:space="preserve">Příspěvky partnerů se týkaly zejména analytického základu Dohody - od problémových analýz, národních rozvojových priorit, tematických okruhů až po samotnou analytickou část Dohody. V tomto ohledu byla v rámci spolupráce s partnery v mnohém doplněna analýza potřeb a rozvojového potenciálu ČR, díky podkladům jednotlivých resortů byla analýza doplněna o četná data dokládající identifikované potřeby. Významný vliv na dokument měly dále zkušenosti celé implementační struktury napříč orgány veřejné správy, ale i dalších institucí. Tyto zkušenosti jsou široce sdíleny a předávány a promítly se tak do zkušeností a posunů ve srovnání s programovým obdobím 2007–2013. Na základě podnětů a zkušeností </w:t>
      </w:r>
      <w:r>
        <w:rPr>
          <w:rFonts w:ascii="Times New Roman" w:eastAsiaTheme="minorHAnsi" w:hAnsi="Times New Roman" w:cs="Times New Roman"/>
          <w:color w:val="000000" w:themeColor="text1"/>
          <w:sz w:val="24"/>
          <w:szCs w:val="24"/>
        </w:rPr>
        <w:lastRenderedPageBreak/>
        <w:t>zúčastněných byl také zpracován variantní návrh vymezení programů tak, aby konečné vymezení programů odpovídalo reálným potřebám. Zásadní přidanou hodnotu partnerů lze také spatřovat při plnění a hodnocení předběžných podmínek. Na základě debat s partnery na regionální úrovni byla zpracována kapitola Dohody týkající se územní dimenze (kap. 3), ale také identifikace územní dimenze v rámci jednotlivých problémových oblastí.</w:t>
      </w:r>
    </w:p>
    <w:p w:rsidR="002B37A2" w:rsidRPr="000B521F" w:rsidRDefault="002B37A2" w:rsidP="0059011D">
      <w:p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 xml:space="preserve">Princip partnerství je naplňován nejen při přípravě věcného zaměření intervencí pro čerpání z fondů ESIF v programovém období 2014–2020, ale také při nastavování systému řízení Dohody a jednotlivých programů. MMR v úzké spolupráci se všemi partnery připravilo materiál „Doporučení ke zjednodušení administrativní zátěže pro žadatele a příjemce při čerpání finančních prostředků z fondů EU v programovém období 2014–2020“, do jehož tvorby byli </w:t>
      </w:r>
      <w:r w:rsidRPr="000B521F">
        <w:rPr>
          <w:rFonts w:ascii="Times New Roman" w:hAnsi="Times New Roman" w:cs="Times New Roman"/>
          <w:b/>
          <w:color w:val="000000"/>
          <w:sz w:val="24"/>
          <w:szCs w:val="24"/>
        </w:rPr>
        <w:t>zapojeni nejen odborníci</w:t>
      </w:r>
      <w:r w:rsidRPr="000B521F">
        <w:rPr>
          <w:rFonts w:ascii="Times New Roman" w:hAnsi="Times New Roman" w:cs="Times New Roman"/>
          <w:color w:val="000000"/>
          <w:sz w:val="24"/>
          <w:szCs w:val="24"/>
        </w:rPr>
        <w:t xml:space="preserve"> a pracovníci, kteří se zabývají implementací evropských fondů, </w:t>
      </w:r>
      <w:r w:rsidRPr="000B521F">
        <w:rPr>
          <w:rFonts w:ascii="Times New Roman" w:hAnsi="Times New Roman" w:cs="Times New Roman"/>
          <w:b/>
          <w:color w:val="000000"/>
          <w:sz w:val="24"/>
          <w:szCs w:val="24"/>
        </w:rPr>
        <w:t xml:space="preserve">ale také široká veřejnost </w:t>
      </w:r>
      <w:r w:rsidRPr="000B521F">
        <w:rPr>
          <w:rFonts w:ascii="Times New Roman" w:hAnsi="Times New Roman" w:cs="Times New Roman"/>
          <w:color w:val="000000"/>
          <w:sz w:val="24"/>
          <w:szCs w:val="24"/>
        </w:rPr>
        <w:t xml:space="preserve">formou elektronického dotazníkového šetření, jehož závěry byly debatovány za široké účasti partnerů na konferenci v lednu 2012. </w:t>
      </w:r>
    </w:p>
    <w:p w:rsidR="002B37A2" w:rsidRPr="000B521F" w:rsidRDefault="002B37A2"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K respektování a řádnému nastavení principu partnerství na všech úrovních systému i ve všech fázích přípravy slouží nově ustavené platformy na základě materiálu </w:t>
      </w:r>
      <w:r w:rsidRPr="000B521F">
        <w:rPr>
          <w:rFonts w:ascii="Times New Roman" w:hAnsi="Times New Roman" w:cs="Times New Roman"/>
          <w:b/>
          <w:sz w:val="24"/>
          <w:szCs w:val="24"/>
        </w:rPr>
        <w:t>„Vymezení platforem pro programové období 2014–2020“</w:t>
      </w:r>
      <w:r w:rsidRPr="000B521F">
        <w:rPr>
          <w:rFonts w:ascii="Times New Roman" w:hAnsi="Times New Roman" w:cs="Times New Roman"/>
          <w:sz w:val="24"/>
          <w:szCs w:val="24"/>
        </w:rPr>
        <w:t xml:space="preserve">, který byl vzat vládou na vědomí dne 20. února 2013 a který obsahuje </w:t>
      </w:r>
      <w:r w:rsidRPr="000B521F">
        <w:rPr>
          <w:rFonts w:ascii="Times New Roman" w:hAnsi="Times New Roman" w:cs="Times New Roman"/>
          <w:b/>
          <w:sz w:val="24"/>
          <w:szCs w:val="24"/>
        </w:rPr>
        <w:t>návrh platforem pro přípravu i realizaci</w:t>
      </w:r>
      <w:r w:rsidRPr="000B521F">
        <w:rPr>
          <w:rFonts w:ascii="Times New Roman" w:hAnsi="Times New Roman" w:cs="Times New Roman"/>
          <w:sz w:val="24"/>
          <w:szCs w:val="24"/>
        </w:rPr>
        <w:t xml:space="preserve"> programového období 2014–2020 (konkrétní platformy uvedeny v příloze 5.</w:t>
      </w:r>
      <w:r w:rsidR="00213CEA" w:rsidRPr="000B521F">
        <w:rPr>
          <w:rFonts w:ascii="Times New Roman" w:hAnsi="Times New Roman" w:cs="Times New Roman"/>
          <w:sz w:val="24"/>
          <w:szCs w:val="24"/>
        </w:rPr>
        <w:t>1</w:t>
      </w:r>
      <w:r w:rsidRPr="000B521F">
        <w:rPr>
          <w:rFonts w:ascii="Times New Roman" w:hAnsi="Times New Roman" w:cs="Times New Roman"/>
          <w:sz w:val="24"/>
          <w:szCs w:val="24"/>
        </w:rPr>
        <w:t xml:space="preserve">), přičemž stanovuje jejich základní charakteristiky – termín vzniku, předsedu, členství, činnosti a sekretariát. Platformy jsou nejen základním prvkem pro nastavení a realizaci principu partnerství, ale také důležitým </w:t>
      </w:r>
      <w:r w:rsidRPr="000B521F">
        <w:rPr>
          <w:rFonts w:ascii="Times New Roman" w:hAnsi="Times New Roman" w:cs="Times New Roman"/>
          <w:b/>
          <w:sz w:val="24"/>
          <w:szCs w:val="24"/>
        </w:rPr>
        <w:t>nástrojem pro zajištění vzájemné provázanosti a koordinace</w:t>
      </w:r>
      <w:r w:rsidRPr="000B521F">
        <w:rPr>
          <w:rFonts w:ascii="Times New Roman" w:hAnsi="Times New Roman" w:cs="Times New Roman"/>
          <w:sz w:val="24"/>
          <w:szCs w:val="24"/>
        </w:rPr>
        <w:t xml:space="preserve"> zpracování programů mezi sebou i vůči Dohodě.</w:t>
      </w:r>
    </w:p>
    <w:p w:rsidR="002B37A2" w:rsidRPr="000B521F" w:rsidRDefault="002B37A2"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b/>
          <w:sz w:val="24"/>
          <w:szCs w:val="24"/>
        </w:rPr>
        <w:t>Naplňování principu partnerství při přípravě programů</w:t>
      </w:r>
      <w:r w:rsidRPr="000B521F">
        <w:rPr>
          <w:rFonts w:ascii="Times New Roman" w:hAnsi="Times New Roman" w:cs="Times New Roman"/>
          <w:sz w:val="24"/>
          <w:szCs w:val="24"/>
        </w:rPr>
        <w:t xml:space="preserve"> spolufinancovaných z fondů ESIF v programovém období 2014–2020 je rovněž koordinováno ze strany MMR. MMR doporučilo řídicím orgánům zapojit relevantní partnery ze všech oblastí působení daného programu a realizaci principu partnerství MMR průběžně monitoruje. Zástupci MMR se jednání platforem řídicích orgánů rovněž účastní.</w:t>
      </w:r>
    </w:p>
    <w:p w:rsidR="002B37A2" w:rsidRPr="000B521F" w:rsidRDefault="002B37A2"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b/>
          <w:sz w:val="24"/>
          <w:szCs w:val="24"/>
        </w:rPr>
        <w:t>Výběr relevantních partnerů</w:t>
      </w:r>
      <w:r w:rsidRPr="000B521F">
        <w:rPr>
          <w:rFonts w:ascii="Times New Roman" w:hAnsi="Times New Roman" w:cs="Times New Roman"/>
          <w:sz w:val="24"/>
          <w:szCs w:val="24"/>
        </w:rPr>
        <w:t xml:space="preserve"> zapojených do procesu přípravy Dohody a programů pro programové období 2014–2020 byl uskutečněn v souladu s článkem 5 návrhu obecného nařízení a Etickým kodexem EK pro partnerství. Pozornost byla věnována zejména zapojení všech relevantních partnerů tak, aby byl v rámci celého procesu přípravy programového období 2014–2020 uplatňován princip partnerství a víceúrovňové správy s důrazem na reprezentativní zastoupení všech oblastí společenského života. V úvahu byly rovněž vzaty zkušenosti se spoluprací v rámci přípravy a realizace programového období 2007–2013. Díky širokému zastoupení partnerů v rámci jednotlivých pracovních skupin je tak zajištěn přenos informací nejen mezi platformami na programové a „střechové“ úrovni, ale také do jednotlivých sfér společenského života. </w:t>
      </w:r>
    </w:p>
    <w:p w:rsidR="002B37A2" w:rsidRPr="000B521F" w:rsidRDefault="002B37A2"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Nastavené partnerství zahrnuje regionální a místní orgány a města realizující integrované systémy udržitelného rozvoje měst v rámci integrovaných územních investic, společně s hospodářskými a sociálními partnery; dále zástupce nevládních organizací, kteří mají znalosti o průřezových otázkách jako je rovnost pohlaví, nediskriminace a sociální začleňování, zástupce univerzit a výzkumných institucí. Klíčovými partnery jsou rovněž vedle regionálních a místních orgánů obchodní komory, podnikatelské organizace, odborové organizace, sdružení pro vzdělávání pracovníků, poskytovatelé sociálních a zdravotních služeb a další nevládní organizace. </w:t>
      </w:r>
    </w:p>
    <w:p w:rsidR="002B37A2" w:rsidRPr="000B521F" w:rsidRDefault="002B37A2"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Do přípravy programového období 2014–2020 přispívají rovněž </w:t>
      </w:r>
      <w:r w:rsidRPr="000B521F">
        <w:rPr>
          <w:rFonts w:ascii="Times New Roman" w:hAnsi="Times New Roman" w:cs="Times New Roman"/>
          <w:b/>
          <w:sz w:val="24"/>
          <w:szCs w:val="24"/>
        </w:rPr>
        <w:t>zástupci neziskového sektoru</w:t>
      </w:r>
      <w:r w:rsidRPr="000B521F">
        <w:rPr>
          <w:rFonts w:ascii="Times New Roman" w:hAnsi="Times New Roman" w:cs="Times New Roman"/>
          <w:sz w:val="24"/>
          <w:szCs w:val="24"/>
        </w:rPr>
        <w:t xml:space="preserve">. Jednání platforem se pravidelně účastní zástupce Rady vlády pro nestátní neziskové organizace, která se zabývá vytvářením vhodného prostředí pro existenci a činnost nestátních </w:t>
      </w:r>
      <w:r w:rsidRPr="000B521F">
        <w:rPr>
          <w:rFonts w:ascii="Times New Roman" w:hAnsi="Times New Roman" w:cs="Times New Roman"/>
          <w:sz w:val="24"/>
          <w:szCs w:val="24"/>
        </w:rPr>
        <w:lastRenderedPageBreak/>
        <w:t>neziskových organizací (NNO). Ze strany široké sítě NNO</w:t>
      </w:r>
      <w:r w:rsidR="000557A9" w:rsidRPr="000B521F">
        <w:rPr>
          <w:rFonts w:ascii="Times New Roman" w:hAnsi="Times New Roman" w:cs="Times New Roman"/>
          <w:sz w:val="24"/>
          <w:szCs w:val="24"/>
        </w:rPr>
        <w:t xml:space="preserve"> zastupujících environmentální, sociální, zdravotní (včetně organizací zastupujících osoby se zdravotním postižením), vzdělávací sektor či oblast lidských práv a genderu</w:t>
      </w:r>
      <w:r w:rsidRPr="000B521F">
        <w:rPr>
          <w:rFonts w:ascii="Times New Roman" w:hAnsi="Times New Roman" w:cs="Times New Roman"/>
          <w:sz w:val="24"/>
          <w:szCs w:val="24"/>
        </w:rPr>
        <w:t xml:space="preserve"> byla dále vytvořena platforma Partnerství NNO 2014+, která vysílá zástupce z řad NNO v relevantních oblastech na jednání příslušných pracovních skupin vytvořených MMR a řídicími orgány, a sdílí informace v rámci širokého okruhu NNO v ČR. </w:t>
      </w:r>
    </w:p>
    <w:p w:rsidR="002B37A2" w:rsidRPr="000B521F" w:rsidRDefault="002B37A2"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Pro </w:t>
      </w:r>
      <w:r w:rsidRPr="000B521F">
        <w:rPr>
          <w:rFonts w:ascii="Times New Roman" w:hAnsi="Times New Roman" w:cs="Times New Roman"/>
          <w:b/>
          <w:sz w:val="24"/>
          <w:szCs w:val="24"/>
        </w:rPr>
        <w:t>rozvoj venkova</w:t>
      </w:r>
      <w:r w:rsidRPr="000B521F">
        <w:rPr>
          <w:rFonts w:ascii="Times New Roman" w:hAnsi="Times New Roman" w:cs="Times New Roman"/>
          <w:sz w:val="24"/>
          <w:szCs w:val="24"/>
        </w:rPr>
        <w:t xml:space="preserve"> mezi zúčastněné partnery také patří zástupci veřejných a soukromých organizací v odvětvích, která jsou důležitá pro rozvoj venkova, regionální nebo místní podnikatelská sdružení, organizace žen na venkově, ekologické nevládní organizace, nevládní organizace odpovědné za nediskriminaci nebo rovnost, zástupci sdružení místních akčních skupin, které se podílejí na místním rozvoji řízeném komunitními organizacemi, sdružení pracující na poli integrovaného rozvoje venkova (např. sdružení místních rozvojových agentur). Partnery pro nastavování oblasti </w:t>
      </w:r>
      <w:r w:rsidRPr="000B521F">
        <w:rPr>
          <w:rFonts w:ascii="Times New Roman" w:hAnsi="Times New Roman" w:cs="Times New Roman"/>
          <w:b/>
          <w:sz w:val="24"/>
          <w:szCs w:val="24"/>
        </w:rPr>
        <w:t>rybářství</w:t>
      </w:r>
      <w:r w:rsidRPr="000B521F">
        <w:rPr>
          <w:rFonts w:ascii="Times New Roman" w:hAnsi="Times New Roman" w:cs="Times New Roman"/>
          <w:sz w:val="24"/>
          <w:szCs w:val="24"/>
        </w:rPr>
        <w:t xml:space="preserve"> jsou dále různá občanská sdružení v oblasti akvakultury, zástupci akademické sféry i místních orgánů.</w:t>
      </w:r>
    </w:p>
    <w:p w:rsidR="002B37A2" w:rsidRPr="000B521F" w:rsidRDefault="002B37A2"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MMR zajišťuje nejen předávání informací relevantním partnerům, ale také </w:t>
      </w:r>
      <w:r w:rsidRPr="000B521F">
        <w:rPr>
          <w:rFonts w:ascii="Times New Roman" w:hAnsi="Times New Roman" w:cs="Times New Roman"/>
          <w:b/>
          <w:sz w:val="24"/>
          <w:szCs w:val="24"/>
        </w:rPr>
        <w:t>informovanost široké veřejnosti o přípravě programového období 2014–2020</w:t>
      </w:r>
      <w:r w:rsidRPr="000B521F">
        <w:rPr>
          <w:rFonts w:ascii="Times New Roman" w:hAnsi="Times New Roman" w:cs="Times New Roman"/>
          <w:sz w:val="24"/>
          <w:szCs w:val="24"/>
        </w:rPr>
        <w:t>. Veškeré informace a relevantní dokumenty týkající se přípravy Dohody a programů 2014–2020 MMR sdílí prostřednictvím webové stránky www.strukturalni-fondy.cz a dalších publicitních aktivit. Byla uspořádána řada konferencí a seminářů zaměřených ať již na horizontální otázky přípravy programového období 2014–2020, nebo konkrétní tematické oblasti realizace Dohody a programů v následujících letech. Zároveň MMR zřídilo e-mailovou adresu „priprava2014@mmr.cz“, kam mohou zájemci z řad všech partnerů, ale i občanské veřejnosti zasílat dotazy, podněty a zkušenosti týkající se implementace fondů ESIF.</w:t>
      </w:r>
    </w:p>
    <w:p w:rsidR="002B37A2" w:rsidRPr="000B521F" w:rsidRDefault="002B37A2" w:rsidP="0059011D">
      <w:pPr>
        <w:keepNext/>
        <w:spacing w:after="120" w:line="240" w:lineRule="auto"/>
        <w:jc w:val="both"/>
        <w:rPr>
          <w:rFonts w:ascii="Times New Roman" w:hAnsi="Times New Roman" w:cs="Times New Roman"/>
          <w:b/>
          <w:sz w:val="24"/>
          <w:szCs w:val="24"/>
          <w:u w:val="single"/>
        </w:rPr>
      </w:pPr>
      <w:r w:rsidRPr="000B521F">
        <w:rPr>
          <w:rFonts w:ascii="Times New Roman" w:hAnsi="Times New Roman" w:cs="Times New Roman"/>
          <w:b/>
          <w:sz w:val="24"/>
          <w:szCs w:val="24"/>
          <w:u w:val="single"/>
        </w:rPr>
        <w:t>Fáze implementace fondů ESIF v programovém období 2014–2020</w:t>
      </w:r>
    </w:p>
    <w:p w:rsidR="002B37A2" w:rsidRPr="000B521F" w:rsidRDefault="002B37A2"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V souladu s článkem 5 návrhu obecného nařízení a Etickým kodexem Evropské komise pro partnerství budou relevantní partneři zapojeni nejen do přípravy, ale také do realizace programového období 2014–2020. Součástí výše zmíněného materiálu </w:t>
      </w:r>
      <w:r w:rsidRPr="000B521F">
        <w:rPr>
          <w:rFonts w:ascii="Times New Roman" w:hAnsi="Times New Roman" w:cs="Times New Roman"/>
          <w:b/>
          <w:sz w:val="24"/>
          <w:szCs w:val="24"/>
        </w:rPr>
        <w:t>„Vymezení platforem pro programové období 2014–2020“</w:t>
      </w:r>
      <w:r w:rsidRPr="000B521F">
        <w:rPr>
          <w:rFonts w:ascii="Times New Roman" w:hAnsi="Times New Roman" w:cs="Times New Roman"/>
          <w:sz w:val="24"/>
          <w:szCs w:val="24"/>
        </w:rPr>
        <w:t xml:space="preserve"> je také přehled platforem, které budou sloužit ve fázi realizace programového období 2014–2020 (konkrétní platformy uvedeny v příloze 5.</w:t>
      </w:r>
      <w:r w:rsidR="00213CEA" w:rsidRPr="000B521F">
        <w:rPr>
          <w:rFonts w:ascii="Times New Roman" w:hAnsi="Times New Roman" w:cs="Times New Roman"/>
          <w:sz w:val="24"/>
          <w:szCs w:val="24"/>
        </w:rPr>
        <w:t>1</w:t>
      </w:r>
      <w:r w:rsidRPr="000B521F">
        <w:rPr>
          <w:rFonts w:ascii="Times New Roman" w:hAnsi="Times New Roman" w:cs="Times New Roman"/>
          <w:sz w:val="24"/>
          <w:szCs w:val="24"/>
        </w:rPr>
        <w:t>). Partneři budou mít rovněž možnost ovlivnit proces implementace jednotlivých programů prostřednictvím monitorovacích výborů.</w:t>
      </w:r>
    </w:p>
    <w:p w:rsidR="002B37A2" w:rsidRPr="000B521F" w:rsidRDefault="002B37A2"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b/>
          <w:sz w:val="24"/>
          <w:szCs w:val="24"/>
          <w:u w:val="single"/>
        </w:rPr>
        <w:t>Při přípravě Zprávy o pokroku</w:t>
      </w:r>
      <w:r w:rsidRPr="000B521F">
        <w:rPr>
          <w:rFonts w:ascii="Times New Roman" w:hAnsi="Times New Roman" w:cs="Times New Roman"/>
          <w:sz w:val="24"/>
          <w:szCs w:val="24"/>
        </w:rPr>
        <w:t xml:space="preserve"> je nutné zajistit </w:t>
      </w:r>
      <w:r w:rsidRPr="000B521F">
        <w:rPr>
          <w:rFonts w:ascii="Times New Roman" w:hAnsi="Times New Roman" w:cs="Times New Roman"/>
          <w:b/>
          <w:sz w:val="24"/>
          <w:szCs w:val="24"/>
        </w:rPr>
        <w:t>spolupráci zejména s řídicími orgány</w:t>
      </w:r>
      <w:r w:rsidRPr="000B521F">
        <w:rPr>
          <w:rFonts w:ascii="Times New Roman" w:hAnsi="Times New Roman" w:cs="Times New Roman"/>
          <w:sz w:val="24"/>
          <w:szCs w:val="24"/>
        </w:rPr>
        <w:t xml:space="preserve"> vzhledem k tomu, že naplňování cílů Dohody je přímo úměrné naplňování cílů programů, a to zejména v souvislosti s přenosem dat a zajištění kvalitativních komentářů. Dále budou zapojeni </w:t>
      </w:r>
      <w:r w:rsidRPr="000B521F">
        <w:rPr>
          <w:rFonts w:ascii="Times New Roman" w:hAnsi="Times New Roman" w:cs="Times New Roman"/>
          <w:b/>
          <w:sz w:val="24"/>
          <w:szCs w:val="24"/>
        </w:rPr>
        <w:t xml:space="preserve">gestoři odpovědní za plnění jednotlivých předběžných podmínek </w:t>
      </w:r>
      <w:r w:rsidRPr="000B521F">
        <w:rPr>
          <w:rFonts w:ascii="Times New Roman" w:hAnsi="Times New Roman" w:cs="Times New Roman"/>
          <w:sz w:val="24"/>
          <w:szCs w:val="24"/>
        </w:rPr>
        <w:t xml:space="preserve">pro zajištění aktuálních informací o stavu realizace daných opatření. V souvislosti s vyhodnocením příspěvku ke strategii Evropa 2020 bude do procesu zapojen také </w:t>
      </w:r>
      <w:r w:rsidRPr="000B521F">
        <w:rPr>
          <w:rFonts w:ascii="Times New Roman" w:hAnsi="Times New Roman" w:cs="Times New Roman"/>
          <w:b/>
          <w:sz w:val="24"/>
          <w:szCs w:val="24"/>
        </w:rPr>
        <w:t>Úřad vlády ČR</w:t>
      </w:r>
      <w:r w:rsidRPr="000B521F">
        <w:rPr>
          <w:rFonts w:ascii="Times New Roman" w:hAnsi="Times New Roman" w:cs="Times New Roman"/>
          <w:sz w:val="24"/>
          <w:szCs w:val="24"/>
        </w:rPr>
        <w:t>, který průběžně monitoruje a vyhodnocuje plnění Národního programu reforem, jež je zastřešujícím národním dokumentem pro plnění cílů strategie Evropa 2020. Podrobnosti ke struktuře Zprávy o pokroku implementace Dohody a postupu její přípravy se zapojením partnerů budou blíže specifikovány v Metodice řízení programů.</w:t>
      </w:r>
    </w:p>
    <w:p w:rsidR="008206A4" w:rsidRPr="000B521F" w:rsidRDefault="00507842" w:rsidP="0059011D">
      <w:pPr>
        <w:pStyle w:val="Nadpis3"/>
        <w:numPr>
          <w:ilvl w:val="2"/>
          <w:numId w:val="50"/>
        </w:numPr>
        <w:spacing w:after="120"/>
        <w:rPr>
          <w:rFonts w:ascii="Times New Roman" w:hAnsi="Times New Roman" w:cs="Times New Roman"/>
        </w:rPr>
      </w:pPr>
      <w:bookmarkStart w:id="67" w:name="_Toc350333630"/>
      <w:bookmarkStart w:id="68" w:name="_Toc374702884"/>
      <w:r w:rsidRPr="000B521F">
        <w:rPr>
          <w:rFonts w:ascii="Times New Roman" w:hAnsi="Times New Roman" w:cs="Times New Roman"/>
        </w:rPr>
        <w:t>Podpora rovnosti mezi muži a ženami, nediskriminace</w:t>
      </w:r>
      <w:bookmarkEnd w:id="67"/>
      <w:bookmarkEnd w:id="68"/>
    </w:p>
    <w:p w:rsidR="00552D11" w:rsidRPr="000B521F" w:rsidRDefault="00552D11" w:rsidP="0059011D">
      <w:pPr>
        <w:pStyle w:val="Default"/>
        <w:spacing w:after="120"/>
        <w:jc w:val="both"/>
        <w:rPr>
          <w:rFonts w:ascii="Times New Roman" w:hAnsi="Times New Roman" w:cs="Times New Roman"/>
        </w:rPr>
      </w:pPr>
      <w:bookmarkStart w:id="69" w:name="_Toc350333631"/>
      <w:r w:rsidRPr="000B521F">
        <w:rPr>
          <w:rFonts w:ascii="Times New Roman" w:hAnsi="Times New Roman" w:cs="Times New Roman"/>
        </w:rPr>
        <w:t xml:space="preserve">Princip rovného zacházení a zákazu diskriminace je jedním ze základních principů českého práva, který je obsažen v ústavním pořádku a v mezinárodních úmluvách. Rovné zacházení a zákaz diskriminace upravuje v souladu s právem EU antidiskriminační zákon. Právní úprava zajišťuje i přístupnost pro osoby se zdravotním postižením a jejich rovnoprávný přístup a zapojení do všech důležitých oblastí života společnosti. Vnitrostátním orgánem pro rovné </w:t>
      </w:r>
      <w:r w:rsidRPr="000B521F">
        <w:rPr>
          <w:rFonts w:ascii="Times New Roman" w:hAnsi="Times New Roman" w:cs="Times New Roman"/>
        </w:rPr>
        <w:lastRenderedPageBreak/>
        <w:t>zacházení</w:t>
      </w:r>
      <w:r w:rsidR="009B75A0" w:rsidRPr="000B521F">
        <w:rPr>
          <w:rFonts w:ascii="Times New Roman" w:hAnsi="Times New Roman" w:cs="Times New Roman"/>
        </w:rPr>
        <w:t xml:space="preserve"> </w:t>
      </w:r>
      <w:r w:rsidRPr="000B521F">
        <w:rPr>
          <w:rFonts w:ascii="Times New Roman" w:hAnsi="Times New Roman" w:cs="Times New Roman"/>
        </w:rPr>
        <w:t>ve smyslu práva EU je veřejný ochránce práv. Exekutivními orgány pro daná témata jsou Sekce pro lidská práva Úřadu vlády ČR (nediskriminace) a Ministerstvo práce a sociálních věcí (rovné příležitosti žen a mužů). V oblasti přístupnosti oba orgány spolupracují.</w:t>
      </w:r>
    </w:p>
    <w:p w:rsidR="00552D11" w:rsidRPr="000B521F" w:rsidRDefault="00552D11" w:rsidP="0059011D">
      <w:pPr>
        <w:pStyle w:val="Default"/>
        <w:spacing w:after="120"/>
        <w:jc w:val="both"/>
        <w:rPr>
          <w:rFonts w:ascii="Times New Roman" w:hAnsi="Times New Roman" w:cs="Times New Roman"/>
        </w:rPr>
      </w:pPr>
      <w:r w:rsidRPr="000B521F">
        <w:rPr>
          <w:rFonts w:ascii="Times New Roman" w:hAnsi="Times New Roman" w:cs="Times New Roman"/>
        </w:rPr>
        <w:t>Nejvíce ohrožené diskriminací jsou osoby ohrožené sociálním vyloučením či jinak znevýhodněné nebo zranitelné. Jsou to např. cizinci, osoby se zdravotním postižením, senioři, ženy, matky s dětmi, osoby s nízkou kvalifikací, propuštění vězni či osoby drogově závislé. Tyto osoby mají ztížený přístup na trh práce, bydlení, ke vzdělání, ke zdravotním a sociálním službám, dopravě a dalším službám a informacím o svých právech. V důsledku jejich znevýhodnění je oslabeno zastoupení a prosazování zájmů těchto osob ve veřejném životě. Zvláštně znevýhodněnou a marginalizovanou skupinou jsou Romové, kteří čelí diskriminaci na základě rasy a etnického původu a současně kumulací rizik sociálního vyloučení jako dlouhodobá nezaměstnanost, nízká kvalifikace a život v sociálně vyloučených oblastech.</w:t>
      </w:r>
    </w:p>
    <w:p w:rsidR="00592A15" w:rsidRPr="000B521F" w:rsidRDefault="00552D11" w:rsidP="0059011D">
      <w:pPr>
        <w:pStyle w:val="Default"/>
        <w:spacing w:after="120"/>
        <w:jc w:val="both"/>
        <w:rPr>
          <w:rFonts w:ascii="Times New Roman" w:hAnsi="Times New Roman" w:cs="Times New Roman"/>
        </w:rPr>
      </w:pPr>
      <w:r w:rsidRPr="000B521F">
        <w:rPr>
          <w:rFonts w:ascii="Times New Roman" w:hAnsi="Times New Roman" w:cs="Times New Roman"/>
        </w:rPr>
        <w:t xml:space="preserve">Při přípravě programů </w:t>
      </w:r>
      <w:r w:rsidR="00592A15" w:rsidRPr="000B521F">
        <w:rPr>
          <w:rFonts w:ascii="Times New Roman" w:hAnsi="Times New Roman" w:cs="Times New Roman"/>
        </w:rPr>
        <w:t xml:space="preserve">byly </w:t>
      </w:r>
      <w:r w:rsidRPr="000B521F">
        <w:rPr>
          <w:rFonts w:ascii="Times New Roman" w:hAnsi="Times New Roman" w:cs="Times New Roman"/>
        </w:rPr>
        <w:t xml:space="preserve">a při jejich realizaci </w:t>
      </w:r>
      <w:r w:rsidR="00592A15" w:rsidRPr="000B521F">
        <w:rPr>
          <w:rFonts w:ascii="Times New Roman" w:hAnsi="Times New Roman" w:cs="Times New Roman"/>
        </w:rPr>
        <w:t xml:space="preserve">budou </w:t>
      </w:r>
      <w:r w:rsidRPr="000B521F">
        <w:rPr>
          <w:rFonts w:ascii="Times New Roman" w:hAnsi="Times New Roman" w:cs="Times New Roman"/>
        </w:rPr>
        <w:t xml:space="preserve">tyto problémy zohledněny ve všech fázích tak, aby jednotlivé programy dodržovaly zákaz diskriminace a podporovaly rovný přístup k ženám i mužům. Za tímto účelem </w:t>
      </w:r>
      <w:r w:rsidR="00592A15" w:rsidRPr="000B521F">
        <w:rPr>
          <w:rFonts w:ascii="Times New Roman" w:hAnsi="Times New Roman" w:cs="Times New Roman"/>
        </w:rPr>
        <w:t>je</w:t>
      </w:r>
      <w:r w:rsidRPr="000B521F">
        <w:rPr>
          <w:rFonts w:ascii="Times New Roman" w:hAnsi="Times New Roman" w:cs="Times New Roman"/>
        </w:rPr>
        <w:t xml:space="preserve"> v návaznosti na plnění příslušných </w:t>
      </w:r>
      <w:r w:rsidR="00592A15" w:rsidRPr="000B521F">
        <w:rPr>
          <w:rFonts w:ascii="Times New Roman" w:hAnsi="Times New Roman" w:cs="Times New Roman"/>
        </w:rPr>
        <w:t>předběžných podmínek</w:t>
      </w:r>
      <w:r w:rsidRPr="000B521F">
        <w:rPr>
          <w:rFonts w:ascii="Times New Roman" w:hAnsi="Times New Roman" w:cs="Times New Roman"/>
        </w:rPr>
        <w:t xml:space="preserve"> určena u každého ŘO kontaktní osoba či osoby, které</w:t>
      </w:r>
      <w:r w:rsidR="00592A15" w:rsidRPr="000B521F">
        <w:rPr>
          <w:rFonts w:ascii="Times New Roman" w:hAnsi="Times New Roman" w:cs="Times New Roman"/>
        </w:rPr>
        <w:t>:</w:t>
      </w:r>
    </w:p>
    <w:p w:rsidR="008206A4" w:rsidRPr="000B521F" w:rsidRDefault="00CC5F15" w:rsidP="0059011D">
      <w:pPr>
        <w:pStyle w:val="Default"/>
        <w:numPr>
          <w:ilvl w:val="0"/>
          <w:numId w:val="51"/>
        </w:numPr>
        <w:spacing w:after="120"/>
        <w:ind w:left="709" w:hanging="289"/>
        <w:jc w:val="both"/>
        <w:rPr>
          <w:rFonts w:ascii="Times New Roman" w:hAnsi="Times New Roman" w:cs="Times New Roman"/>
        </w:rPr>
      </w:pPr>
      <w:r w:rsidRPr="000B521F">
        <w:rPr>
          <w:rFonts w:ascii="Times New Roman" w:hAnsi="Times New Roman" w:cs="Times New Roman"/>
        </w:rPr>
        <w:t>se budou</w:t>
      </w:r>
      <w:r w:rsidR="009B75A0" w:rsidRPr="000B521F">
        <w:rPr>
          <w:rFonts w:ascii="Times New Roman" w:hAnsi="Times New Roman" w:cs="Times New Roman"/>
        </w:rPr>
        <w:t xml:space="preserve"> </w:t>
      </w:r>
      <w:r w:rsidR="00552D11" w:rsidRPr="000B521F">
        <w:rPr>
          <w:rFonts w:ascii="Times New Roman" w:hAnsi="Times New Roman" w:cs="Times New Roman"/>
        </w:rPr>
        <w:t>systematicky zabývat implementací a aplikací antidiskriminačního práva,včetně problematiky rovnosti žen a mužů a přístupnosti pro osoby se zdravotním postižením,</w:t>
      </w:r>
    </w:p>
    <w:p w:rsidR="008206A4" w:rsidRPr="000B521F" w:rsidRDefault="00CC5F15" w:rsidP="0059011D">
      <w:pPr>
        <w:pStyle w:val="Default"/>
        <w:numPr>
          <w:ilvl w:val="0"/>
          <w:numId w:val="51"/>
        </w:numPr>
        <w:spacing w:after="120"/>
        <w:ind w:left="709" w:hanging="289"/>
        <w:jc w:val="both"/>
        <w:rPr>
          <w:rFonts w:ascii="Times New Roman" w:hAnsi="Times New Roman" w:cs="Times New Roman"/>
        </w:rPr>
      </w:pPr>
      <w:r w:rsidRPr="000B521F">
        <w:rPr>
          <w:rFonts w:ascii="Times New Roman" w:hAnsi="Times New Roman" w:cs="Times New Roman"/>
        </w:rPr>
        <w:t>budo</w:t>
      </w:r>
      <w:r w:rsidR="00552D11" w:rsidRPr="000B521F">
        <w:rPr>
          <w:rFonts w:ascii="Times New Roman" w:hAnsi="Times New Roman" w:cs="Times New Roman"/>
        </w:rPr>
        <w:t>u odpovědné za koordinaci aktivit v této oblasti v rámci jednotlivých operačních programů a</w:t>
      </w:r>
    </w:p>
    <w:p w:rsidR="008206A4" w:rsidRPr="000B521F" w:rsidRDefault="00552D11" w:rsidP="0059011D">
      <w:pPr>
        <w:pStyle w:val="Default"/>
        <w:numPr>
          <w:ilvl w:val="0"/>
          <w:numId w:val="51"/>
        </w:numPr>
        <w:spacing w:after="120"/>
        <w:ind w:left="709" w:hanging="289"/>
        <w:jc w:val="both"/>
        <w:rPr>
          <w:rFonts w:ascii="Times New Roman" w:hAnsi="Times New Roman" w:cs="Times New Roman"/>
        </w:rPr>
      </w:pPr>
      <w:r w:rsidRPr="000B521F">
        <w:rPr>
          <w:rFonts w:ascii="Times New Roman" w:hAnsi="Times New Roman" w:cs="Times New Roman"/>
        </w:rPr>
        <w:t>budou úzce spolupracovat se Sekcí pro lidská práva Úřadu</w:t>
      </w:r>
      <w:r w:rsidR="009B75A0" w:rsidRPr="000B521F">
        <w:rPr>
          <w:rFonts w:ascii="Times New Roman" w:hAnsi="Times New Roman" w:cs="Times New Roman"/>
        </w:rPr>
        <w:t xml:space="preserve"> </w:t>
      </w:r>
      <w:r w:rsidRPr="000B521F">
        <w:rPr>
          <w:rFonts w:ascii="Times New Roman" w:hAnsi="Times New Roman" w:cs="Times New Roman"/>
        </w:rPr>
        <w:t>vlády</w:t>
      </w:r>
      <w:r w:rsidR="009B75A0" w:rsidRPr="000B521F">
        <w:rPr>
          <w:rFonts w:ascii="Times New Roman" w:hAnsi="Times New Roman" w:cs="Times New Roman"/>
        </w:rPr>
        <w:t xml:space="preserve"> </w:t>
      </w:r>
      <w:r w:rsidRPr="000B521F">
        <w:rPr>
          <w:rFonts w:ascii="Times New Roman" w:hAnsi="Times New Roman" w:cs="Times New Roman"/>
        </w:rPr>
        <w:t>a</w:t>
      </w:r>
      <w:r w:rsidR="009B75A0" w:rsidRPr="000B521F">
        <w:rPr>
          <w:rFonts w:ascii="Times New Roman" w:hAnsi="Times New Roman" w:cs="Times New Roman"/>
        </w:rPr>
        <w:t xml:space="preserve"> </w:t>
      </w:r>
      <w:r w:rsidRPr="000B521F">
        <w:rPr>
          <w:rFonts w:ascii="Times New Roman" w:hAnsi="Times New Roman" w:cs="Times New Roman"/>
        </w:rPr>
        <w:t>s</w:t>
      </w:r>
      <w:r w:rsidR="009B75A0" w:rsidRPr="000B521F">
        <w:rPr>
          <w:rFonts w:ascii="Times New Roman" w:hAnsi="Times New Roman" w:cs="Times New Roman"/>
        </w:rPr>
        <w:t xml:space="preserve"> </w:t>
      </w:r>
      <w:r w:rsidRPr="000B521F">
        <w:rPr>
          <w:rFonts w:ascii="Times New Roman" w:hAnsi="Times New Roman" w:cs="Times New Roman"/>
        </w:rPr>
        <w:t>MPSV jako odbornými koordinátory daných proble</w:t>
      </w:r>
      <w:r w:rsidR="00CC5F15" w:rsidRPr="000B521F">
        <w:rPr>
          <w:rFonts w:ascii="Times New Roman" w:hAnsi="Times New Roman" w:cs="Times New Roman"/>
        </w:rPr>
        <w:t>matik.</w:t>
      </w:r>
    </w:p>
    <w:p w:rsidR="00552D11" w:rsidRPr="000B521F" w:rsidRDefault="00552D11" w:rsidP="0059011D">
      <w:pPr>
        <w:pStyle w:val="Default"/>
        <w:spacing w:after="120"/>
        <w:jc w:val="both"/>
        <w:rPr>
          <w:rFonts w:ascii="Times New Roman" w:hAnsi="Times New Roman" w:cs="Times New Roman"/>
        </w:rPr>
      </w:pPr>
      <w:r w:rsidRPr="000B521F">
        <w:rPr>
          <w:rFonts w:ascii="Times New Roman" w:hAnsi="Times New Roman" w:cs="Times New Roman"/>
        </w:rPr>
        <w:t>Sekce pro lidská práva Úřadu vlády a MPSV budou úzce spolupracovat s veřejným ochránce</w:t>
      </w:r>
      <w:r w:rsidR="00CC5F15" w:rsidRPr="000B521F">
        <w:rPr>
          <w:rFonts w:ascii="Times New Roman" w:hAnsi="Times New Roman" w:cs="Times New Roman"/>
        </w:rPr>
        <w:t>m</w:t>
      </w:r>
      <w:r w:rsidRPr="000B521F">
        <w:rPr>
          <w:rFonts w:ascii="Times New Roman" w:hAnsi="Times New Roman" w:cs="Times New Roman"/>
        </w:rPr>
        <w:t xml:space="preserve"> práv jako národním orgánem pro boj s diskriminací, který bude v souladu se svým mandátem poskytovat odborné a metodické poradenství k zajištění zákazu diskriminace a rovných příležitostí při implementaci ESI fondů. Zástupci obou odborných koordinátorů i veřejného ochránce práv se budou podílet i na </w:t>
      </w:r>
      <w:r w:rsidR="00CC5F15" w:rsidRPr="000B521F">
        <w:rPr>
          <w:rFonts w:ascii="Times New Roman" w:hAnsi="Times New Roman" w:cs="Times New Roman"/>
        </w:rPr>
        <w:t>realizaci</w:t>
      </w:r>
      <w:r w:rsidRPr="000B521F">
        <w:rPr>
          <w:rFonts w:ascii="Times New Roman" w:hAnsi="Times New Roman" w:cs="Times New Roman"/>
        </w:rPr>
        <w:t xml:space="preserve"> a monitorování realizace jednotlivých programů. Kontaktní osoby u ŘO i koordinátoři budou konzultovat rovněž se zástupci dotčených skupin, zejména prostřednictvím Vládního výboru pro zdravotně postižené občany, Rady vlády pro záležitosti romské menšiny a Rady vlády pro rovné příležitosti žen a mužů. Pracovníci podílející se na realizaci programů budou vyškoleni v antidiskriminačním právu a uplatňování rovných příležitostí žen a mužů i dalších skupin.</w:t>
      </w:r>
    </w:p>
    <w:p w:rsidR="00785D06" w:rsidRPr="000B521F" w:rsidRDefault="00FB6422" w:rsidP="0059011D">
      <w:pPr>
        <w:pStyle w:val="Default"/>
        <w:jc w:val="both"/>
        <w:rPr>
          <w:rFonts w:ascii="Times New Roman" w:hAnsi="Times New Roman" w:cs="Times New Roman"/>
        </w:rPr>
      </w:pPr>
      <w:r w:rsidRPr="000B521F">
        <w:rPr>
          <w:rFonts w:ascii="Times New Roman" w:hAnsi="Times New Roman" w:cs="Times New Roman"/>
        </w:rPr>
        <w:t xml:space="preserve">Monitorování příspěvku k rovnosti mezi muži a ženami a nediskriminaci bude prováděno prostřednictvím MS2014+ </w:t>
      </w:r>
      <w:r w:rsidR="00081CDF" w:rsidRPr="000B521F">
        <w:rPr>
          <w:rFonts w:ascii="Times New Roman" w:hAnsi="Times New Roman" w:cs="Times New Roman"/>
        </w:rPr>
        <w:t>z</w:t>
      </w:r>
      <w:r w:rsidR="009B75A0" w:rsidRPr="000B521F">
        <w:rPr>
          <w:rFonts w:ascii="Times New Roman" w:hAnsi="Times New Roman" w:cs="Times New Roman"/>
        </w:rPr>
        <w:t xml:space="preserve"> </w:t>
      </w:r>
      <w:r w:rsidR="002A619A" w:rsidRPr="000B521F">
        <w:rPr>
          <w:rFonts w:ascii="Times New Roman" w:hAnsi="Times New Roman" w:cs="Times New Roman"/>
        </w:rPr>
        <w:t>projektové úrovn</w:t>
      </w:r>
      <w:r w:rsidR="00081CDF" w:rsidRPr="000B521F">
        <w:rPr>
          <w:rFonts w:ascii="Times New Roman" w:hAnsi="Times New Roman" w:cs="Times New Roman"/>
        </w:rPr>
        <w:t>ě</w:t>
      </w:r>
      <w:r w:rsidR="002A619A" w:rsidRPr="000B521F">
        <w:rPr>
          <w:rFonts w:ascii="Times New Roman" w:hAnsi="Times New Roman" w:cs="Times New Roman"/>
        </w:rPr>
        <w:t>. Každý žadatel bude prostřednictvím projektové žádosti označovat příspěvek daného projektu k horizontálnímu principu, přičemž nebude možné podpořit projekt k negativním vlivem na</w:t>
      </w:r>
      <w:r w:rsidR="009B75A0" w:rsidRPr="000B521F">
        <w:rPr>
          <w:rFonts w:ascii="Times New Roman" w:hAnsi="Times New Roman" w:cs="Times New Roman"/>
        </w:rPr>
        <w:t xml:space="preserve"> </w:t>
      </w:r>
      <w:r w:rsidR="00081CDF" w:rsidRPr="000B521F">
        <w:rPr>
          <w:rFonts w:ascii="Times New Roman" w:hAnsi="Times New Roman" w:cs="Times New Roman"/>
        </w:rPr>
        <w:t>rovnost mezi muži a ženami a nediskriminaci.</w:t>
      </w:r>
    </w:p>
    <w:p w:rsidR="00507842" w:rsidRPr="000B521F" w:rsidRDefault="00507842" w:rsidP="0059011D">
      <w:pPr>
        <w:pStyle w:val="Nadpis3"/>
        <w:spacing w:after="120"/>
        <w:rPr>
          <w:rFonts w:ascii="Times New Roman" w:hAnsi="Times New Roman" w:cs="Times New Roman"/>
        </w:rPr>
      </w:pPr>
      <w:bookmarkStart w:id="70" w:name="_Toc374702885"/>
      <w:r w:rsidRPr="000B521F">
        <w:rPr>
          <w:rFonts w:ascii="Times New Roman" w:hAnsi="Times New Roman" w:cs="Times New Roman"/>
        </w:rPr>
        <w:t>Udržitelný rozvoj</w:t>
      </w:r>
      <w:bookmarkEnd w:id="69"/>
      <w:bookmarkEnd w:id="70"/>
    </w:p>
    <w:p w:rsidR="00812E23" w:rsidRPr="000B521F" w:rsidRDefault="00812E23" w:rsidP="0059011D">
      <w:pPr>
        <w:pStyle w:val="Prosttext"/>
        <w:spacing w:after="120"/>
        <w:jc w:val="both"/>
        <w:rPr>
          <w:rFonts w:ascii="Times New Roman" w:hAnsi="Times New Roman"/>
          <w:sz w:val="24"/>
          <w:szCs w:val="24"/>
        </w:rPr>
      </w:pPr>
      <w:r w:rsidRPr="000B521F">
        <w:rPr>
          <w:rFonts w:ascii="Times New Roman" w:hAnsi="Times New Roman"/>
          <w:sz w:val="24"/>
          <w:szCs w:val="24"/>
        </w:rPr>
        <w:t>Udržitelný rozvoj spočívá na třech pilířích - ekonomickém, sociálním a environmentálním. Hlavními tématy udržitelného rozvoje jsou však především záležitosti životního prostředí, neboť právě mezi jednotlivými složkami životního prostředí a ekonomickými aktivitami dochází nejčastěji ke konfliktu s důsledky pro udržitelnost rozvoje. Ekologické hledisko je však také významným parametrem přijímání politik, sociálně ekonomických koncepcí či rozhodování o investicích, což je vnímáno jako proces programování a přípravy celé strategie Dohody o partnerství.</w:t>
      </w:r>
    </w:p>
    <w:p w:rsidR="00812E23" w:rsidRPr="000B521F" w:rsidRDefault="00812E23" w:rsidP="0059011D">
      <w:pPr>
        <w:pStyle w:val="Prosttext"/>
        <w:spacing w:after="120"/>
        <w:jc w:val="both"/>
        <w:rPr>
          <w:rFonts w:ascii="Times New Roman" w:hAnsi="Times New Roman"/>
          <w:sz w:val="24"/>
          <w:szCs w:val="24"/>
        </w:rPr>
      </w:pPr>
      <w:r w:rsidRPr="000B521F">
        <w:rPr>
          <w:rFonts w:ascii="Times New Roman" w:hAnsi="Times New Roman"/>
          <w:sz w:val="24"/>
          <w:szCs w:val="24"/>
        </w:rPr>
        <w:lastRenderedPageBreak/>
        <w:t>Na základě zkušeností z období 2007</w:t>
      </w:r>
      <w:r w:rsidR="00831CC0">
        <w:rPr>
          <w:rFonts w:ascii="Times New Roman" w:hAnsi="Times New Roman"/>
          <w:color w:val="000000"/>
          <w:sz w:val="24"/>
          <w:szCs w:val="24"/>
        </w:rPr>
        <w:t>–</w:t>
      </w:r>
      <w:r w:rsidRPr="000B521F">
        <w:rPr>
          <w:rFonts w:ascii="Times New Roman" w:hAnsi="Times New Roman"/>
          <w:sz w:val="24"/>
          <w:szCs w:val="24"/>
        </w:rPr>
        <w:t>2013 je v rámci implementace Dohody o partnerství (tzn. napříč relevantními programy) a hodnocení výsledků intervencí nastaven jednotný způsob sledování vlivu intervencí na životní prostředí, popřípadě veřejné zdraví. Ve spolupráci s hodnotiteli SEA došlo k vytipování těch investičních priorit (specifických cílů v případě ENRF/prioritních oblastí v případě EZFRV), u kterých je relevantní vliv na životní prostředí sledovat a vyhodnocovat. U těchto oblastí jsou v rámci indikátorové soustavy jednotlivých programů vydefinovány vybrané indikátory pro zajištění monitoringu a hodnocení. Vzhledem k jednotnému přístupu napříč investičními prioritami/specifickými cíli/ prioritními oblastmi je zajištěna i průřezovost sledování  problematiky, tedy zohlednění udržitelného rozvoje i u těch intervencí, které nejsou přímo zacíleny na životní prostředí. Jedná se zejména o snižování energetické náročnosti, zavádění nových a současně environmentálně šetrných technologií apod. Vyhodnocení tématu bude součástí evaluačního plánu Dohody o partnerství a relevantních programů.</w:t>
      </w:r>
    </w:p>
    <w:p w:rsidR="009B75A0" w:rsidRPr="000B521F" w:rsidRDefault="00AC38FF" w:rsidP="0059011D">
      <w:pPr>
        <w:pStyle w:val="Prosttext"/>
        <w:spacing w:after="120"/>
        <w:jc w:val="both"/>
        <w:rPr>
          <w:rFonts w:ascii="Times New Roman" w:hAnsi="Times New Roman"/>
          <w:sz w:val="24"/>
          <w:szCs w:val="24"/>
        </w:rPr>
      </w:pPr>
      <w:r>
        <w:rPr>
          <w:rFonts w:ascii="Times New Roman" w:hAnsi="Times New Roman"/>
          <w:sz w:val="24"/>
          <w:szCs w:val="24"/>
        </w:rPr>
        <w:t>Jedním z dostupných nástrojů pro naplňování a vyhodnocování udržitelné</w:t>
      </w:r>
      <w:r w:rsidR="00EA45B4">
        <w:rPr>
          <w:rFonts w:ascii="Times New Roman" w:hAnsi="Times New Roman"/>
          <w:sz w:val="24"/>
          <w:szCs w:val="24"/>
        </w:rPr>
        <w:t>ho</w:t>
      </w:r>
      <w:r>
        <w:rPr>
          <w:rFonts w:ascii="Times New Roman" w:hAnsi="Times New Roman"/>
          <w:sz w:val="24"/>
          <w:szCs w:val="24"/>
        </w:rPr>
        <w:t xml:space="preserve"> rozvoje je </w:t>
      </w:r>
      <w:r w:rsidR="009B75A0" w:rsidRPr="000B521F">
        <w:rPr>
          <w:rFonts w:ascii="Times New Roman" w:hAnsi="Times New Roman"/>
          <w:sz w:val="24"/>
          <w:szCs w:val="24"/>
        </w:rPr>
        <w:t xml:space="preserve"> nástroj CO2MPARE, </w:t>
      </w:r>
      <w:r w:rsidR="00861253">
        <w:rPr>
          <w:rFonts w:ascii="Times New Roman" w:hAnsi="Times New Roman"/>
          <w:sz w:val="24"/>
          <w:szCs w:val="24"/>
        </w:rPr>
        <w:t xml:space="preserve">který by vytvořen pro posuzování intervencí </w:t>
      </w:r>
      <w:r w:rsidR="00861253" w:rsidRPr="00861253">
        <w:rPr>
          <w:rFonts w:ascii="Times New Roman" w:hAnsi="Times New Roman"/>
          <w:sz w:val="24"/>
          <w:szCs w:val="24"/>
        </w:rPr>
        <w:t>z hlediska emisí skleníkových plynů</w:t>
      </w:r>
      <w:r w:rsidR="00861253">
        <w:rPr>
          <w:rFonts w:ascii="Times New Roman" w:hAnsi="Times New Roman"/>
          <w:sz w:val="24"/>
          <w:szCs w:val="24"/>
        </w:rPr>
        <w:t xml:space="preserve">. Na základě provedené analýzy funkčnosti nástroje se jako nejvhodnější jeví jeho využití pro </w:t>
      </w:r>
      <w:r w:rsidR="00EA45B4">
        <w:rPr>
          <w:rFonts w:ascii="Times New Roman" w:hAnsi="Times New Roman"/>
          <w:sz w:val="24"/>
          <w:szCs w:val="24"/>
        </w:rPr>
        <w:t>účely střednědobého a ex post hodnocení programů, resp. vybraných intervenci.</w:t>
      </w:r>
      <w:r w:rsidR="00861253">
        <w:rPr>
          <w:rFonts w:ascii="Times New Roman" w:hAnsi="Times New Roman"/>
          <w:sz w:val="24"/>
          <w:szCs w:val="24"/>
        </w:rPr>
        <w:t xml:space="preserve"> </w:t>
      </w:r>
    </w:p>
    <w:p w:rsidR="00507842" w:rsidRPr="000B521F" w:rsidRDefault="00507842" w:rsidP="0059011D">
      <w:pPr>
        <w:pStyle w:val="Nadpis3"/>
        <w:spacing w:after="120"/>
        <w:rPr>
          <w:rFonts w:ascii="Times New Roman" w:hAnsi="Times New Roman" w:cs="Times New Roman"/>
        </w:rPr>
      </w:pPr>
      <w:bookmarkStart w:id="71" w:name="_Toc350333632"/>
      <w:bookmarkStart w:id="72" w:name="_Toc374702886"/>
      <w:r w:rsidRPr="000B521F">
        <w:rPr>
          <w:rFonts w:ascii="Times New Roman" w:hAnsi="Times New Roman" w:cs="Times New Roman"/>
        </w:rPr>
        <w:t>Horizontální cíle politik (průřezové strategie, koncepce a politiky)</w:t>
      </w:r>
      <w:bookmarkEnd w:id="71"/>
      <w:bookmarkEnd w:id="72"/>
    </w:p>
    <w:p w:rsidR="00403879" w:rsidRPr="000B521F" w:rsidRDefault="00403879"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V souladu se Společným strategickým rámcem, Přílohou 1 obecného nařízení jsou zohledňovány i ostatní definované horizontální cíle:</w:t>
      </w:r>
    </w:p>
    <w:p w:rsidR="008206A4" w:rsidRPr="000B521F" w:rsidRDefault="00403879" w:rsidP="0059011D">
      <w:pPr>
        <w:pStyle w:val="Odstavecseseznamem"/>
        <w:numPr>
          <w:ilvl w:val="0"/>
          <w:numId w:val="109"/>
        </w:numPr>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Přístupnost</w:t>
      </w:r>
    </w:p>
    <w:p w:rsidR="00403879" w:rsidRPr="000B521F" w:rsidRDefault="00403879" w:rsidP="0059011D">
      <w:pPr>
        <w:pStyle w:val="Odstavecseseznamem"/>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Kroky, které zamezí jakékoliv diskriminaci na základě zdravotního postižení, jsou integrální součástí chápání horizontálního principu rovných příležitostí a nediskriminace (viz kap. 1.5.2).</w:t>
      </w:r>
    </w:p>
    <w:p w:rsidR="008206A4" w:rsidRPr="000B521F" w:rsidRDefault="00403879" w:rsidP="0059011D">
      <w:pPr>
        <w:pStyle w:val="Odstavecseseznamem"/>
        <w:numPr>
          <w:ilvl w:val="0"/>
          <w:numId w:val="109"/>
        </w:numPr>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Řešení demografické změny</w:t>
      </w:r>
    </w:p>
    <w:p w:rsidR="00403879" w:rsidRPr="000B521F" w:rsidRDefault="00403879" w:rsidP="0059011D">
      <w:pPr>
        <w:pStyle w:val="Odstavecseseznamem"/>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Problémy vyplývající z demografické změny, zejména včetně problémů spojených s úbytkem pracujícího obyvatelstva, zvyšujícím se počtem obyvatel v důchodovém věku v celkové populaci a vylidňováním jsou přímo řešeny problémovými oblastmi Trh práce a Sociální začleňování, boj s chudobou a systém péče o zdraví a jsou pokryty prioritami financování Účinné a efektivní služby zaměstnanosti, které přispějí ke zvýšení zaměstnanosti zejména ohrožených skupin a Sociální systém začleňující sociálně vyloučené skupiny a působící preventivně proti chudobě (viz kap. 1.1).</w:t>
      </w:r>
    </w:p>
    <w:p w:rsidR="008206A4" w:rsidRPr="000B521F" w:rsidRDefault="00403879" w:rsidP="0059011D">
      <w:pPr>
        <w:pStyle w:val="Odstavecseseznamem"/>
        <w:numPr>
          <w:ilvl w:val="0"/>
          <w:numId w:val="109"/>
        </w:numPr>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Přizpůsobení se změně klimatu a její zmírňování</w:t>
      </w:r>
    </w:p>
    <w:p w:rsidR="009C643D" w:rsidRPr="000B521F" w:rsidRDefault="00403879" w:rsidP="0059011D">
      <w:pPr>
        <w:pStyle w:val="Odstavecseseznamem"/>
        <w:spacing w:after="120" w:line="240" w:lineRule="auto"/>
        <w:jc w:val="both"/>
        <w:rPr>
          <w:rFonts w:ascii="Times New Roman" w:hAnsi="Times New Roman" w:cs="Times New Roman"/>
          <w:sz w:val="24"/>
          <w:szCs w:val="24"/>
        </w:rPr>
        <w:sectPr w:rsidR="009C643D" w:rsidRPr="000B521F" w:rsidSect="00AD7FC6">
          <w:pgSz w:w="11906" w:h="16838"/>
          <w:pgMar w:top="1418" w:right="1418" w:bottom="1418" w:left="1418" w:header="708" w:footer="708" w:gutter="0"/>
          <w:cols w:space="708"/>
          <w:docGrid w:linePitch="360"/>
        </w:sectPr>
      </w:pPr>
      <w:r w:rsidRPr="000B521F">
        <w:rPr>
          <w:rFonts w:ascii="Times New Roman" w:hAnsi="Times New Roman" w:cs="Times New Roman"/>
          <w:sz w:val="24"/>
          <w:szCs w:val="24"/>
        </w:rPr>
        <w:t>Přizpůsobení se změně klimatu a její zmírňování je přímo řešeno problémovou oblastí Životní prostředí, resp. její částí Změna klimatu a prevence rizik a katastrof. Problematika je pokryta prioritou financování Ochrana životního prostředí a krajiny a přizpůsobení se změně klimatu, jejímž cílem je v oblasti změny klimatu je cílem zvýšení adaptace krajiny na projevy klimatické změny (přírodě blízká a technická opatření, změny v rámci zemědělského a lesního hospodaření), dále pak zlepšení různých varovných a reakčních systémů týkajících se různých katastrof a zejména živelných pohrom souvisejících se změnou klimatu (viz kap. 1.1).</w:t>
      </w:r>
    </w:p>
    <w:p w:rsidR="00507842" w:rsidRPr="000B521F" w:rsidRDefault="00507842" w:rsidP="0059011D">
      <w:pPr>
        <w:pStyle w:val="Nadpis2"/>
      </w:pPr>
      <w:bookmarkStart w:id="73" w:name="_Toc374702887"/>
      <w:r w:rsidRPr="000B521F">
        <w:lastRenderedPageBreak/>
        <w:t>Seznam programů pod EFRR, ESF</w:t>
      </w:r>
      <w:r w:rsidR="007A11EB" w:rsidRPr="000B521F">
        <w:t xml:space="preserve"> a IZM,</w:t>
      </w:r>
      <w:r w:rsidRPr="000B521F">
        <w:t xml:space="preserve"> FS, s výjimkou programů spadajících pod cíl Evropská územní spolupráce a programů EZFRV a ENRF, spolu s příslušnými orientačními příděly pro každý </w:t>
      </w:r>
      <w:r w:rsidR="00C564EC" w:rsidRPr="000B521F">
        <w:t xml:space="preserve">ESI </w:t>
      </w:r>
      <w:r w:rsidRPr="000B521F">
        <w:t>fond na každý rok</w:t>
      </w:r>
      <w:r w:rsidR="007A11EB" w:rsidRPr="000B521F">
        <w:t xml:space="preserve"> (celková podpora Unie včetně výkonnostní rezervy)</w:t>
      </w:r>
      <w:bookmarkEnd w:id="73"/>
    </w:p>
    <w:p w:rsidR="00F3719F" w:rsidRPr="00F3719F" w:rsidRDefault="00F3719F" w:rsidP="00F3719F">
      <w:pPr>
        <w:spacing w:line="240" w:lineRule="auto"/>
        <w:jc w:val="both"/>
        <w:rPr>
          <w:rFonts w:ascii="Times New Roman" w:hAnsi="Times New Roman" w:cs="Times New Roman"/>
          <w:sz w:val="24"/>
          <w:szCs w:val="24"/>
        </w:rPr>
      </w:pPr>
      <w:bookmarkStart w:id="74" w:name="_Toc370399045"/>
      <w:r w:rsidRPr="00F3719F">
        <w:rPr>
          <w:rFonts w:ascii="Times New Roman" w:hAnsi="Times New Roman" w:cs="Times New Roman"/>
          <w:sz w:val="24"/>
          <w:szCs w:val="24"/>
        </w:rPr>
        <w:t xml:space="preserve">Na základě rozhodnutí </w:t>
      </w:r>
      <w:r>
        <w:rPr>
          <w:rFonts w:ascii="Times New Roman" w:hAnsi="Times New Roman" w:cs="Times New Roman"/>
          <w:sz w:val="24"/>
          <w:szCs w:val="24"/>
        </w:rPr>
        <w:t>MMR-</w:t>
      </w:r>
      <w:r w:rsidRPr="00F3719F">
        <w:rPr>
          <w:rFonts w:ascii="Times New Roman" w:hAnsi="Times New Roman" w:cs="Times New Roman"/>
          <w:sz w:val="24"/>
          <w:szCs w:val="24"/>
        </w:rPr>
        <w:t>NOK ve spolupráci s MF bylo rozhodnuto, že s definitivní platností bude rozděleno pouze 80 % alokace strukturálních fondů a Fondu soudržnosti. Z důvodu požadavku EK na strukturu poskytovaných dat bylo rozhodnuto, že po vzájemné dohodě řídicích orgánů operačních programů bude rozděleno i zbývajících 20 % alokace s tím, že rozdělení této „rezervy“ je indikativní a definitivní rozhodnutí učiní nová vláda. Pro toto rozhodnutí existují i věcné důvody: EK dosud neposkytla definitivní členění finanční alokace na fondy, z důvodů nejasnosti znění čl. 70 obecného nařízení a článku 13.2 nařízení o ESF není možné stanovit úroveň přesunu mezi kategoriemi regionů a pohled ČR na splnění některých parametrů předběžných podmínek se odlišuje od postoje EK.</w:t>
      </w:r>
    </w:p>
    <w:p w:rsidR="00F3719F" w:rsidRDefault="00F3719F" w:rsidP="0059011D">
      <w:pPr>
        <w:pStyle w:val="Tabulka"/>
        <w:spacing w:before="120" w:after="60"/>
        <w:rPr>
          <w:szCs w:val="20"/>
        </w:rPr>
      </w:pPr>
    </w:p>
    <w:p w:rsidR="00507842" w:rsidRPr="000B521F" w:rsidRDefault="00507842" w:rsidP="0059011D">
      <w:pPr>
        <w:pStyle w:val="Tabulka"/>
        <w:spacing w:before="120" w:after="60"/>
        <w:rPr>
          <w:szCs w:val="20"/>
        </w:rPr>
      </w:pPr>
      <w:r w:rsidRPr="000B521F">
        <w:rPr>
          <w:szCs w:val="20"/>
        </w:rPr>
        <w:t>Tabulka 1-</w:t>
      </w:r>
      <w:r w:rsidR="005E63E2" w:rsidRPr="000B521F">
        <w:rPr>
          <w:szCs w:val="20"/>
        </w:rPr>
        <w:t>8</w:t>
      </w:r>
      <w:r w:rsidR="00831CC0">
        <w:rPr>
          <w:szCs w:val="20"/>
        </w:rPr>
        <w:t>:</w:t>
      </w:r>
      <w:r w:rsidRPr="000B521F">
        <w:rPr>
          <w:szCs w:val="20"/>
        </w:rPr>
        <w:t xml:space="preserve"> Seznam programů </w:t>
      </w:r>
      <w:r w:rsidR="00C564EC" w:rsidRPr="000B521F">
        <w:rPr>
          <w:szCs w:val="20"/>
        </w:rPr>
        <w:t xml:space="preserve">ESI </w:t>
      </w:r>
      <w:r w:rsidRPr="000B521F">
        <w:rPr>
          <w:szCs w:val="20"/>
        </w:rPr>
        <w:t>fondů s orientačními příděly pro každý fond na každý rok</w:t>
      </w:r>
      <w:bookmarkEnd w:id="74"/>
    </w:p>
    <w:tbl>
      <w:tblPr>
        <w:tblW w:w="13325" w:type="dxa"/>
        <w:tblInd w:w="60" w:type="dxa"/>
        <w:tblLayout w:type="fixed"/>
        <w:tblCellMar>
          <w:left w:w="70" w:type="dxa"/>
          <w:right w:w="70" w:type="dxa"/>
        </w:tblCellMar>
        <w:tblLook w:val="0000" w:firstRow="0" w:lastRow="0" w:firstColumn="0" w:lastColumn="0" w:noHBand="0" w:noVBand="0"/>
      </w:tblPr>
      <w:tblGrid>
        <w:gridCol w:w="2835"/>
        <w:gridCol w:w="1276"/>
        <w:gridCol w:w="1276"/>
        <w:gridCol w:w="1134"/>
        <w:gridCol w:w="1134"/>
        <w:gridCol w:w="1134"/>
        <w:gridCol w:w="1134"/>
        <w:gridCol w:w="1134"/>
        <w:gridCol w:w="1134"/>
        <w:gridCol w:w="1134"/>
      </w:tblGrid>
      <w:tr w:rsidR="00CD13E8" w:rsidRPr="000B521F" w:rsidTr="006F46A5">
        <w:trPr>
          <w:trHeight w:val="1763"/>
        </w:trPr>
        <w:tc>
          <w:tcPr>
            <w:tcW w:w="2835" w:type="dxa"/>
            <w:tcBorders>
              <w:top w:val="single" w:sz="8" w:space="0" w:color="auto"/>
              <w:left w:val="single" w:sz="8" w:space="0" w:color="auto"/>
              <w:bottom w:val="nil"/>
              <w:right w:val="single" w:sz="4" w:space="0" w:color="auto"/>
            </w:tcBorders>
            <w:shd w:val="clear" w:color="auto" w:fill="8DB3E2" w:themeFill="text2" w:themeFillTint="66"/>
            <w:vAlign w:val="bottom"/>
          </w:tcPr>
          <w:p w:rsidR="00CD13E8" w:rsidRPr="000B521F" w:rsidRDefault="00CD13E8" w:rsidP="0059011D">
            <w:pPr>
              <w:spacing w:after="120" w:line="240" w:lineRule="auto"/>
              <w:jc w:val="center"/>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 xml:space="preserve">Název </w:t>
            </w:r>
            <w:r w:rsidRPr="000B521F">
              <w:rPr>
                <w:rFonts w:ascii="Times New Roman" w:hAnsi="Times New Roman" w:cs="Times New Roman"/>
                <w:color w:val="000000"/>
                <w:sz w:val="24"/>
                <w:szCs w:val="24"/>
              </w:rPr>
              <w:t> </w:t>
            </w:r>
            <w:r w:rsidRPr="000B521F">
              <w:rPr>
                <w:rFonts w:ascii="Times New Roman" w:hAnsi="Times New Roman" w:cs="Times New Roman"/>
                <w:b/>
                <w:bCs/>
                <w:color w:val="000000"/>
                <w:sz w:val="24"/>
                <w:szCs w:val="24"/>
              </w:rPr>
              <w:t>programu</w:t>
            </w:r>
          </w:p>
        </w:tc>
        <w:tc>
          <w:tcPr>
            <w:tcW w:w="1276" w:type="dxa"/>
            <w:tcBorders>
              <w:top w:val="single" w:sz="8" w:space="0" w:color="auto"/>
              <w:left w:val="nil"/>
              <w:bottom w:val="nil"/>
              <w:right w:val="single" w:sz="4" w:space="0" w:color="auto"/>
            </w:tcBorders>
            <w:shd w:val="clear" w:color="auto" w:fill="8DB3E2" w:themeFill="text2" w:themeFillTint="66"/>
            <w:vAlign w:val="bottom"/>
          </w:tcPr>
          <w:p w:rsidR="00CD13E8" w:rsidRPr="006F46A5" w:rsidRDefault="00CD13E8" w:rsidP="0059011D">
            <w:pPr>
              <w:spacing w:after="120" w:line="240" w:lineRule="auto"/>
              <w:jc w:val="center"/>
              <w:rPr>
                <w:rFonts w:ascii="Times New Roman" w:hAnsi="Times New Roman" w:cs="Times New Roman"/>
                <w:b/>
                <w:bCs/>
                <w:color w:val="000000"/>
                <w:sz w:val="20"/>
                <w:szCs w:val="20"/>
              </w:rPr>
            </w:pPr>
            <w:r w:rsidRPr="006F46A5">
              <w:rPr>
                <w:rFonts w:ascii="Times New Roman" w:hAnsi="Times New Roman" w:cs="Times New Roman"/>
                <w:b/>
                <w:bCs/>
                <w:color w:val="000000"/>
                <w:sz w:val="20"/>
                <w:szCs w:val="20"/>
              </w:rPr>
              <w:t xml:space="preserve">ESI Fond </w:t>
            </w:r>
            <w:r w:rsidRPr="006F46A5">
              <w:rPr>
                <w:rFonts w:ascii="Times New Roman" w:hAnsi="Times New Roman" w:cs="Times New Roman"/>
                <w:color w:val="000000"/>
                <w:sz w:val="20"/>
                <w:szCs w:val="20"/>
              </w:rPr>
              <w:t>(EFRR, ESF, Fond soudržnosti, EZFRV, EMFF nebo IZM)</w:t>
            </w:r>
          </w:p>
        </w:tc>
        <w:tc>
          <w:tcPr>
            <w:tcW w:w="1276" w:type="dxa"/>
            <w:tcBorders>
              <w:top w:val="single" w:sz="8" w:space="0" w:color="auto"/>
              <w:left w:val="nil"/>
              <w:bottom w:val="nil"/>
              <w:right w:val="single" w:sz="4" w:space="0" w:color="auto"/>
            </w:tcBorders>
            <w:shd w:val="clear" w:color="auto" w:fill="8DB3E2" w:themeFill="text2" w:themeFillTint="66"/>
            <w:vAlign w:val="bottom"/>
          </w:tcPr>
          <w:p w:rsidR="00CD13E8" w:rsidRPr="000B521F" w:rsidRDefault="00CD13E8" w:rsidP="0059011D">
            <w:pPr>
              <w:spacing w:after="120" w:line="240" w:lineRule="auto"/>
              <w:jc w:val="center"/>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Total</w:t>
            </w:r>
          </w:p>
        </w:tc>
        <w:tc>
          <w:tcPr>
            <w:tcW w:w="1134" w:type="dxa"/>
            <w:tcBorders>
              <w:top w:val="single" w:sz="8" w:space="0" w:color="auto"/>
              <w:left w:val="nil"/>
              <w:bottom w:val="nil"/>
              <w:right w:val="single" w:sz="4" w:space="0" w:color="auto"/>
            </w:tcBorders>
            <w:shd w:val="clear" w:color="auto" w:fill="8DB3E2" w:themeFill="text2" w:themeFillTint="66"/>
            <w:vAlign w:val="bottom"/>
          </w:tcPr>
          <w:p w:rsidR="00CD13E8" w:rsidRPr="000B521F" w:rsidRDefault="00CD13E8" w:rsidP="0059011D">
            <w:pPr>
              <w:spacing w:after="120" w:line="240" w:lineRule="auto"/>
              <w:jc w:val="center"/>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2014</w:t>
            </w:r>
          </w:p>
        </w:tc>
        <w:tc>
          <w:tcPr>
            <w:tcW w:w="1134" w:type="dxa"/>
            <w:tcBorders>
              <w:top w:val="single" w:sz="8" w:space="0" w:color="auto"/>
              <w:left w:val="nil"/>
              <w:bottom w:val="nil"/>
              <w:right w:val="single" w:sz="4" w:space="0" w:color="auto"/>
            </w:tcBorders>
            <w:shd w:val="clear" w:color="auto" w:fill="8DB3E2" w:themeFill="text2" w:themeFillTint="66"/>
            <w:vAlign w:val="bottom"/>
          </w:tcPr>
          <w:p w:rsidR="00CD13E8" w:rsidRPr="000B521F" w:rsidRDefault="00CD13E8" w:rsidP="0059011D">
            <w:pPr>
              <w:spacing w:after="120" w:line="240" w:lineRule="auto"/>
              <w:jc w:val="center"/>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2015</w:t>
            </w:r>
          </w:p>
        </w:tc>
        <w:tc>
          <w:tcPr>
            <w:tcW w:w="1134" w:type="dxa"/>
            <w:tcBorders>
              <w:top w:val="single" w:sz="8" w:space="0" w:color="auto"/>
              <w:left w:val="nil"/>
              <w:bottom w:val="nil"/>
              <w:right w:val="single" w:sz="4" w:space="0" w:color="auto"/>
            </w:tcBorders>
            <w:shd w:val="clear" w:color="auto" w:fill="8DB3E2" w:themeFill="text2" w:themeFillTint="66"/>
            <w:vAlign w:val="bottom"/>
          </w:tcPr>
          <w:p w:rsidR="00CD13E8" w:rsidRPr="000B521F" w:rsidRDefault="00CD13E8" w:rsidP="0059011D">
            <w:pPr>
              <w:spacing w:after="120" w:line="240" w:lineRule="auto"/>
              <w:jc w:val="center"/>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2016</w:t>
            </w:r>
          </w:p>
        </w:tc>
        <w:tc>
          <w:tcPr>
            <w:tcW w:w="1134" w:type="dxa"/>
            <w:tcBorders>
              <w:top w:val="single" w:sz="8" w:space="0" w:color="auto"/>
              <w:left w:val="nil"/>
              <w:bottom w:val="nil"/>
              <w:right w:val="single" w:sz="4" w:space="0" w:color="auto"/>
            </w:tcBorders>
            <w:shd w:val="clear" w:color="auto" w:fill="8DB3E2" w:themeFill="text2" w:themeFillTint="66"/>
            <w:vAlign w:val="bottom"/>
          </w:tcPr>
          <w:p w:rsidR="00CD13E8" w:rsidRPr="000B521F" w:rsidRDefault="00CD13E8" w:rsidP="0059011D">
            <w:pPr>
              <w:spacing w:after="120" w:line="240" w:lineRule="auto"/>
              <w:jc w:val="center"/>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2017</w:t>
            </w:r>
          </w:p>
        </w:tc>
        <w:tc>
          <w:tcPr>
            <w:tcW w:w="1134" w:type="dxa"/>
            <w:tcBorders>
              <w:top w:val="single" w:sz="8" w:space="0" w:color="auto"/>
              <w:left w:val="nil"/>
              <w:bottom w:val="nil"/>
              <w:right w:val="single" w:sz="4" w:space="0" w:color="auto"/>
            </w:tcBorders>
            <w:shd w:val="clear" w:color="auto" w:fill="8DB3E2" w:themeFill="text2" w:themeFillTint="66"/>
            <w:vAlign w:val="bottom"/>
          </w:tcPr>
          <w:p w:rsidR="00CD13E8" w:rsidRPr="000B521F" w:rsidRDefault="00CD13E8" w:rsidP="0059011D">
            <w:pPr>
              <w:spacing w:after="120" w:line="240" w:lineRule="auto"/>
              <w:jc w:val="center"/>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2018</w:t>
            </w:r>
          </w:p>
        </w:tc>
        <w:tc>
          <w:tcPr>
            <w:tcW w:w="1134" w:type="dxa"/>
            <w:tcBorders>
              <w:top w:val="single" w:sz="8" w:space="0" w:color="auto"/>
              <w:left w:val="nil"/>
              <w:bottom w:val="nil"/>
              <w:right w:val="single" w:sz="4" w:space="0" w:color="auto"/>
            </w:tcBorders>
            <w:shd w:val="clear" w:color="auto" w:fill="8DB3E2" w:themeFill="text2" w:themeFillTint="66"/>
            <w:vAlign w:val="bottom"/>
          </w:tcPr>
          <w:p w:rsidR="00CD13E8" w:rsidRPr="000B521F" w:rsidRDefault="00CD13E8" w:rsidP="0059011D">
            <w:pPr>
              <w:spacing w:after="120" w:line="240" w:lineRule="auto"/>
              <w:jc w:val="center"/>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2019</w:t>
            </w:r>
          </w:p>
        </w:tc>
        <w:tc>
          <w:tcPr>
            <w:tcW w:w="1134" w:type="dxa"/>
            <w:tcBorders>
              <w:top w:val="single" w:sz="8" w:space="0" w:color="auto"/>
              <w:left w:val="nil"/>
              <w:bottom w:val="nil"/>
              <w:right w:val="single" w:sz="8" w:space="0" w:color="auto"/>
            </w:tcBorders>
            <w:shd w:val="clear" w:color="auto" w:fill="8DB3E2" w:themeFill="text2" w:themeFillTint="66"/>
            <w:vAlign w:val="bottom"/>
          </w:tcPr>
          <w:p w:rsidR="00CD13E8" w:rsidRPr="000B521F" w:rsidRDefault="00CD13E8" w:rsidP="0059011D">
            <w:pPr>
              <w:spacing w:after="120" w:line="240" w:lineRule="auto"/>
              <w:jc w:val="center"/>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2020</w:t>
            </w:r>
          </w:p>
        </w:tc>
      </w:tr>
      <w:tr w:rsidR="00CD13E8" w:rsidRPr="000B521F" w:rsidTr="006F46A5">
        <w:trPr>
          <w:trHeight w:val="777"/>
        </w:trPr>
        <w:tc>
          <w:tcPr>
            <w:tcW w:w="2835" w:type="dxa"/>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CD13E8" w:rsidRPr="000B521F" w:rsidRDefault="00CD13E8" w:rsidP="0059011D">
            <w:pPr>
              <w:spacing w:after="120" w:line="240" w:lineRule="auto"/>
              <w:jc w:val="center"/>
              <w:rPr>
                <w:rFonts w:ascii="Times New Roman" w:hAnsi="Times New Roman" w:cs="Times New Roman"/>
                <w:b/>
                <w:bCs/>
                <w:i/>
                <w:iCs/>
                <w:color w:val="000000"/>
                <w:sz w:val="24"/>
                <w:szCs w:val="24"/>
              </w:rPr>
            </w:pPr>
            <w:r w:rsidRPr="000B521F">
              <w:rPr>
                <w:rFonts w:ascii="Times New Roman" w:hAnsi="Times New Roman" w:cs="Times New Roman"/>
                <w:b/>
                <w:bCs/>
                <w:i/>
                <w:iCs/>
                <w:color w:val="000000"/>
                <w:sz w:val="24"/>
                <w:szCs w:val="24"/>
              </w:rPr>
              <w:t>OP Podnikání a inovace pro konkurenceschopnost</w:t>
            </w:r>
          </w:p>
        </w:tc>
        <w:tc>
          <w:tcPr>
            <w:tcW w:w="1276" w:type="dxa"/>
            <w:tcBorders>
              <w:top w:val="single" w:sz="8" w:space="0" w:color="auto"/>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 </w:t>
            </w:r>
          </w:p>
        </w:tc>
        <w:tc>
          <w:tcPr>
            <w:tcW w:w="1276" w:type="dxa"/>
            <w:tcBorders>
              <w:top w:val="single" w:sz="8" w:space="0" w:color="auto"/>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4 138 410 081</w:t>
            </w:r>
          </w:p>
        </w:tc>
        <w:tc>
          <w:tcPr>
            <w:tcW w:w="1134" w:type="dxa"/>
            <w:tcBorders>
              <w:top w:val="single" w:sz="8" w:space="0" w:color="auto"/>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556 674 598</w:t>
            </w:r>
          </w:p>
        </w:tc>
        <w:tc>
          <w:tcPr>
            <w:tcW w:w="1134" w:type="dxa"/>
            <w:tcBorders>
              <w:top w:val="single" w:sz="8" w:space="0" w:color="auto"/>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567 786 968</w:t>
            </w:r>
          </w:p>
        </w:tc>
        <w:tc>
          <w:tcPr>
            <w:tcW w:w="1134" w:type="dxa"/>
            <w:tcBorders>
              <w:top w:val="single" w:sz="8" w:space="0" w:color="auto"/>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579 142 707</w:t>
            </w:r>
          </w:p>
        </w:tc>
        <w:tc>
          <w:tcPr>
            <w:tcW w:w="1134" w:type="dxa"/>
            <w:tcBorders>
              <w:top w:val="single" w:sz="8" w:space="0" w:color="auto"/>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590 741 809</w:t>
            </w:r>
          </w:p>
        </w:tc>
        <w:tc>
          <w:tcPr>
            <w:tcW w:w="1134" w:type="dxa"/>
            <w:tcBorders>
              <w:top w:val="single" w:sz="8" w:space="0" w:color="auto"/>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602 557 187</w:t>
            </w:r>
          </w:p>
        </w:tc>
        <w:tc>
          <w:tcPr>
            <w:tcW w:w="1134" w:type="dxa"/>
            <w:tcBorders>
              <w:top w:val="single" w:sz="8" w:space="0" w:color="auto"/>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614 615 913</w:t>
            </w:r>
          </w:p>
        </w:tc>
        <w:tc>
          <w:tcPr>
            <w:tcW w:w="1134" w:type="dxa"/>
            <w:tcBorders>
              <w:top w:val="single" w:sz="8" w:space="0" w:color="auto"/>
              <w:left w:val="nil"/>
              <w:bottom w:val="single" w:sz="4" w:space="0" w:color="auto"/>
              <w:right w:val="single" w:sz="8"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626 890 900</w:t>
            </w:r>
          </w:p>
        </w:tc>
      </w:tr>
      <w:tr w:rsidR="00CD13E8" w:rsidRPr="000B521F" w:rsidTr="006F46A5">
        <w:trPr>
          <w:trHeight w:val="299"/>
        </w:trPr>
        <w:tc>
          <w:tcPr>
            <w:tcW w:w="2835" w:type="dxa"/>
            <w:tcBorders>
              <w:top w:val="nil"/>
              <w:left w:val="single" w:sz="8" w:space="0" w:color="auto"/>
              <w:bottom w:val="single" w:sz="4" w:space="0" w:color="auto"/>
              <w:right w:val="single" w:sz="4" w:space="0" w:color="auto"/>
            </w:tcBorders>
            <w:shd w:val="clear" w:color="auto" w:fill="C6D9F1" w:themeFill="text2" w:themeFillTint="33"/>
            <w:vAlign w:val="bottom"/>
          </w:tcPr>
          <w:p w:rsidR="00CD13E8" w:rsidRPr="000B521F" w:rsidRDefault="00CD13E8" w:rsidP="0059011D">
            <w:pPr>
              <w:spacing w:after="120" w:line="240" w:lineRule="auto"/>
              <w:jc w:val="center"/>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 </w:t>
            </w:r>
          </w:p>
        </w:tc>
        <w:tc>
          <w:tcPr>
            <w:tcW w:w="1276"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EFRR</w:t>
            </w:r>
          </w:p>
        </w:tc>
        <w:tc>
          <w:tcPr>
            <w:tcW w:w="1276"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4 138 410 081</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556 674 598</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567 786 968</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579 142 707</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590 741 809</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602 557 187</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614 615 913</w:t>
            </w:r>
          </w:p>
        </w:tc>
        <w:tc>
          <w:tcPr>
            <w:tcW w:w="1134" w:type="dxa"/>
            <w:tcBorders>
              <w:top w:val="nil"/>
              <w:left w:val="nil"/>
              <w:bottom w:val="single" w:sz="4" w:space="0" w:color="auto"/>
              <w:right w:val="single" w:sz="8"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626 890 900</w:t>
            </w:r>
          </w:p>
        </w:tc>
      </w:tr>
      <w:tr w:rsidR="00CD13E8" w:rsidRPr="000B521F" w:rsidTr="006F46A5">
        <w:trPr>
          <w:trHeight w:val="672"/>
        </w:trPr>
        <w:tc>
          <w:tcPr>
            <w:tcW w:w="2835" w:type="dxa"/>
            <w:tcBorders>
              <w:top w:val="nil"/>
              <w:left w:val="single" w:sz="8" w:space="0" w:color="auto"/>
              <w:bottom w:val="single" w:sz="4" w:space="0" w:color="auto"/>
              <w:right w:val="single" w:sz="4" w:space="0" w:color="auto"/>
            </w:tcBorders>
            <w:shd w:val="clear" w:color="auto" w:fill="C6D9F1" w:themeFill="text2" w:themeFillTint="33"/>
            <w:vAlign w:val="bottom"/>
          </w:tcPr>
          <w:p w:rsidR="00CD13E8" w:rsidRPr="000B521F" w:rsidRDefault="00CD13E8" w:rsidP="0059011D">
            <w:pPr>
              <w:spacing w:after="120" w:line="240" w:lineRule="auto"/>
              <w:jc w:val="center"/>
              <w:rPr>
                <w:rFonts w:ascii="Times New Roman" w:hAnsi="Times New Roman" w:cs="Times New Roman"/>
                <w:b/>
                <w:bCs/>
                <w:i/>
                <w:iCs/>
                <w:color w:val="000000"/>
                <w:sz w:val="24"/>
                <w:szCs w:val="24"/>
              </w:rPr>
            </w:pPr>
            <w:r w:rsidRPr="000B521F">
              <w:rPr>
                <w:rFonts w:ascii="Times New Roman" w:hAnsi="Times New Roman" w:cs="Times New Roman"/>
                <w:b/>
                <w:bCs/>
                <w:i/>
                <w:iCs/>
                <w:color w:val="000000"/>
                <w:sz w:val="24"/>
                <w:szCs w:val="24"/>
              </w:rPr>
              <w:t>OP Výzkum, vývoj a vzdělávání</w:t>
            </w:r>
          </w:p>
        </w:tc>
        <w:tc>
          <w:tcPr>
            <w:tcW w:w="1276"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 </w:t>
            </w:r>
          </w:p>
        </w:tc>
        <w:tc>
          <w:tcPr>
            <w:tcW w:w="1276"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2 811 225 738</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378 151 300</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385 697 064</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393 415 506</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401 291 101</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409 321 015</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417 508 073</w:t>
            </w:r>
          </w:p>
        </w:tc>
        <w:tc>
          <w:tcPr>
            <w:tcW w:w="1134" w:type="dxa"/>
            <w:tcBorders>
              <w:top w:val="nil"/>
              <w:left w:val="nil"/>
              <w:bottom w:val="single" w:sz="4" w:space="0" w:color="auto"/>
              <w:right w:val="single" w:sz="8"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425 849 439</w:t>
            </w:r>
          </w:p>
        </w:tc>
      </w:tr>
      <w:tr w:rsidR="00CD13E8" w:rsidRPr="000B521F" w:rsidTr="006F46A5">
        <w:trPr>
          <w:trHeight w:val="299"/>
        </w:trPr>
        <w:tc>
          <w:tcPr>
            <w:tcW w:w="2835" w:type="dxa"/>
            <w:tcBorders>
              <w:top w:val="nil"/>
              <w:left w:val="single" w:sz="8" w:space="0" w:color="auto"/>
              <w:bottom w:val="single" w:sz="4" w:space="0" w:color="auto"/>
              <w:right w:val="single" w:sz="4" w:space="0" w:color="auto"/>
            </w:tcBorders>
            <w:shd w:val="clear" w:color="auto" w:fill="C6D9F1" w:themeFill="text2" w:themeFillTint="33"/>
            <w:vAlign w:val="bottom"/>
          </w:tcPr>
          <w:p w:rsidR="00CD13E8" w:rsidRPr="000B521F" w:rsidRDefault="00CD13E8" w:rsidP="0059011D">
            <w:pPr>
              <w:spacing w:after="120" w:line="240" w:lineRule="auto"/>
              <w:jc w:val="center"/>
              <w:rPr>
                <w:rFonts w:ascii="Times New Roman" w:hAnsi="Times New Roman" w:cs="Times New Roman"/>
                <w:b/>
                <w:bCs/>
                <w:i/>
                <w:iCs/>
                <w:color w:val="000000"/>
                <w:sz w:val="24"/>
                <w:szCs w:val="24"/>
              </w:rPr>
            </w:pPr>
            <w:r w:rsidRPr="000B521F">
              <w:rPr>
                <w:rFonts w:ascii="Times New Roman" w:hAnsi="Times New Roman" w:cs="Times New Roman"/>
                <w:b/>
                <w:bCs/>
                <w:i/>
                <w:iCs/>
                <w:color w:val="000000"/>
                <w:sz w:val="24"/>
                <w:szCs w:val="24"/>
              </w:rPr>
              <w:t> </w:t>
            </w:r>
          </w:p>
        </w:tc>
        <w:tc>
          <w:tcPr>
            <w:tcW w:w="1276"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EFRR</w:t>
            </w:r>
          </w:p>
        </w:tc>
        <w:tc>
          <w:tcPr>
            <w:tcW w:w="1276"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1 579 222 067</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212 428 027</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216 667 928</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221 002 212</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225 427 685</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229 937 211</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234 537 921</w:t>
            </w:r>
          </w:p>
        </w:tc>
        <w:tc>
          <w:tcPr>
            <w:tcW w:w="1134" w:type="dxa"/>
            <w:tcBorders>
              <w:top w:val="nil"/>
              <w:left w:val="nil"/>
              <w:bottom w:val="single" w:sz="4" w:space="0" w:color="auto"/>
              <w:right w:val="single" w:sz="8"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239 222 678</w:t>
            </w:r>
          </w:p>
        </w:tc>
      </w:tr>
      <w:tr w:rsidR="00CD13E8" w:rsidRPr="000B521F" w:rsidTr="006F46A5">
        <w:trPr>
          <w:trHeight w:val="299"/>
        </w:trPr>
        <w:tc>
          <w:tcPr>
            <w:tcW w:w="2835" w:type="dxa"/>
            <w:tcBorders>
              <w:top w:val="nil"/>
              <w:left w:val="single" w:sz="8" w:space="0" w:color="auto"/>
              <w:bottom w:val="single" w:sz="4" w:space="0" w:color="auto"/>
              <w:right w:val="single" w:sz="4" w:space="0" w:color="auto"/>
            </w:tcBorders>
            <w:shd w:val="clear" w:color="auto" w:fill="C6D9F1" w:themeFill="text2" w:themeFillTint="33"/>
            <w:vAlign w:val="bottom"/>
          </w:tcPr>
          <w:p w:rsidR="00CD13E8" w:rsidRPr="000B521F" w:rsidRDefault="00CD13E8" w:rsidP="0059011D">
            <w:pPr>
              <w:spacing w:after="120" w:line="240" w:lineRule="auto"/>
              <w:jc w:val="center"/>
              <w:rPr>
                <w:rFonts w:ascii="Times New Roman" w:hAnsi="Times New Roman" w:cs="Times New Roman"/>
                <w:b/>
                <w:bCs/>
                <w:i/>
                <w:iCs/>
                <w:color w:val="000000"/>
                <w:sz w:val="24"/>
                <w:szCs w:val="24"/>
              </w:rPr>
            </w:pPr>
            <w:r w:rsidRPr="000B521F">
              <w:rPr>
                <w:rFonts w:ascii="Times New Roman" w:hAnsi="Times New Roman" w:cs="Times New Roman"/>
                <w:b/>
                <w:bCs/>
                <w:i/>
                <w:iCs/>
                <w:color w:val="000000"/>
                <w:sz w:val="24"/>
                <w:szCs w:val="24"/>
              </w:rPr>
              <w:t> </w:t>
            </w:r>
          </w:p>
        </w:tc>
        <w:tc>
          <w:tcPr>
            <w:tcW w:w="1276"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ESF</w:t>
            </w:r>
          </w:p>
        </w:tc>
        <w:tc>
          <w:tcPr>
            <w:tcW w:w="1276"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1 232 003 670</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165 723 273</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169 029 136</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172 413 294</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175 863 416</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179 383 804</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182 970 152</w:t>
            </w:r>
          </w:p>
        </w:tc>
        <w:tc>
          <w:tcPr>
            <w:tcW w:w="1134" w:type="dxa"/>
            <w:tcBorders>
              <w:top w:val="nil"/>
              <w:left w:val="nil"/>
              <w:bottom w:val="single" w:sz="4" w:space="0" w:color="auto"/>
              <w:right w:val="single" w:sz="8"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186 626 761</w:t>
            </w:r>
          </w:p>
        </w:tc>
      </w:tr>
      <w:tr w:rsidR="00CD13E8" w:rsidRPr="000B521F" w:rsidTr="006F46A5">
        <w:trPr>
          <w:trHeight w:val="299"/>
        </w:trPr>
        <w:tc>
          <w:tcPr>
            <w:tcW w:w="2835" w:type="dxa"/>
            <w:tcBorders>
              <w:top w:val="nil"/>
              <w:left w:val="single" w:sz="8" w:space="0" w:color="auto"/>
              <w:bottom w:val="single" w:sz="4" w:space="0" w:color="auto"/>
              <w:right w:val="single" w:sz="4" w:space="0" w:color="auto"/>
            </w:tcBorders>
            <w:shd w:val="clear" w:color="auto" w:fill="C6D9F1" w:themeFill="text2" w:themeFillTint="33"/>
            <w:vAlign w:val="bottom"/>
          </w:tcPr>
          <w:p w:rsidR="00CD13E8" w:rsidRPr="000B521F" w:rsidRDefault="00CD13E8" w:rsidP="0059011D">
            <w:pPr>
              <w:spacing w:after="120" w:line="240" w:lineRule="auto"/>
              <w:jc w:val="center"/>
              <w:rPr>
                <w:rFonts w:ascii="Times New Roman" w:hAnsi="Times New Roman" w:cs="Times New Roman"/>
                <w:b/>
                <w:bCs/>
                <w:i/>
                <w:iCs/>
                <w:color w:val="000000"/>
                <w:sz w:val="24"/>
                <w:szCs w:val="24"/>
              </w:rPr>
            </w:pPr>
            <w:r w:rsidRPr="000B521F">
              <w:rPr>
                <w:rFonts w:ascii="Times New Roman" w:hAnsi="Times New Roman" w:cs="Times New Roman"/>
                <w:b/>
                <w:bCs/>
                <w:i/>
                <w:iCs/>
                <w:color w:val="000000"/>
                <w:sz w:val="24"/>
                <w:szCs w:val="24"/>
              </w:rPr>
              <w:lastRenderedPageBreak/>
              <w:t>OP Životní prostředí</w:t>
            </w:r>
          </w:p>
        </w:tc>
        <w:tc>
          <w:tcPr>
            <w:tcW w:w="1276"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 </w:t>
            </w:r>
          </w:p>
        </w:tc>
        <w:tc>
          <w:tcPr>
            <w:tcW w:w="1276"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2 565 439 020</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342 914 124</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351 025 593</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359 194 105</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366 894 659</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374 159 801</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382 146 984</w:t>
            </w:r>
          </w:p>
        </w:tc>
        <w:tc>
          <w:tcPr>
            <w:tcW w:w="1134" w:type="dxa"/>
            <w:tcBorders>
              <w:top w:val="nil"/>
              <w:left w:val="nil"/>
              <w:bottom w:val="single" w:sz="4" w:space="0" w:color="auto"/>
              <w:right w:val="single" w:sz="8"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389 068 754</w:t>
            </w:r>
          </w:p>
        </w:tc>
      </w:tr>
      <w:tr w:rsidR="00CD13E8" w:rsidRPr="000B521F" w:rsidTr="006F46A5">
        <w:trPr>
          <w:trHeight w:val="299"/>
        </w:trPr>
        <w:tc>
          <w:tcPr>
            <w:tcW w:w="2835" w:type="dxa"/>
            <w:tcBorders>
              <w:top w:val="nil"/>
              <w:left w:val="single" w:sz="8" w:space="0" w:color="auto"/>
              <w:bottom w:val="single" w:sz="4" w:space="0" w:color="auto"/>
              <w:right w:val="single" w:sz="4" w:space="0" w:color="auto"/>
            </w:tcBorders>
            <w:shd w:val="clear" w:color="auto" w:fill="C6D9F1" w:themeFill="text2" w:themeFillTint="33"/>
            <w:vAlign w:val="bottom"/>
          </w:tcPr>
          <w:p w:rsidR="00CD13E8" w:rsidRPr="000B521F" w:rsidRDefault="00CD13E8" w:rsidP="0059011D">
            <w:pPr>
              <w:spacing w:after="120" w:line="240" w:lineRule="auto"/>
              <w:jc w:val="center"/>
              <w:rPr>
                <w:rFonts w:ascii="Times New Roman" w:hAnsi="Times New Roman" w:cs="Times New Roman"/>
                <w:b/>
                <w:bCs/>
                <w:i/>
                <w:iCs/>
                <w:color w:val="000000"/>
                <w:sz w:val="24"/>
                <w:szCs w:val="24"/>
              </w:rPr>
            </w:pPr>
            <w:r w:rsidRPr="000B521F">
              <w:rPr>
                <w:rFonts w:ascii="Times New Roman" w:hAnsi="Times New Roman" w:cs="Times New Roman"/>
                <w:b/>
                <w:bCs/>
                <w:i/>
                <w:iCs/>
                <w:color w:val="000000"/>
                <w:sz w:val="24"/>
                <w:szCs w:val="24"/>
              </w:rPr>
              <w:t> </w:t>
            </w:r>
          </w:p>
        </w:tc>
        <w:tc>
          <w:tcPr>
            <w:tcW w:w="1276"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EFRR</w:t>
            </w:r>
          </w:p>
        </w:tc>
        <w:tc>
          <w:tcPr>
            <w:tcW w:w="1276"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374 824 020</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50 419 124</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51 425 593</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52 454 105</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53 504 659</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54 574 801</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55 666 984</w:t>
            </w:r>
          </w:p>
        </w:tc>
        <w:tc>
          <w:tcPr>
            <w:tcW w:w="1134" w:type="dxa"/>
            <w:tcBorders>
              <w:top w:val="nil"/>
              <w:left w:val="nil"/>
              <w:bottom w:val="single" w:sz="4" w:space="0" w:color="auto"/>
              <w:right w:val="single" w:sz="8"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56 778 754</w:t>
            </w:r>
          </w:p>
        </w:tc>
      </w:tr>
      <w:tr w:rsidR="00CD13E8" w:rsidRPr="000B521F" w:rsidTr="006F46A5">
        <w:trPr>
          <w:trHeight w:val="299"/>
        </w:trPr>
        <w:tc>
          <w:tcPr>
            <w:tcW w:w="2835" w:type="dxa"/>
            <w:tcBorders>
              <w:top w:val="nil"/>
              <w:left w:val="single" w:sz="8" w:space="0" w:color="auto"/>
              <w:bottom w:val="single" w:sz="4" w:space="0" w:color="auto"/>
              <w:right w:val="single" w:sz="4" w:space="0" w:color="auto"/>
            </w:tcBorders>
            <w:shd w:val="clear" w:color="auto" w:fill="C6D9F1" w:themeFill="text2" w:themeFillTint="33"/>
            <w:vAlign w:val="bottom"/>
          </w:tcPr>
          <w:p w:rsidR="00CD13E8" w:rsidRPr="000B521F" w:rsidRDefault="00CD13E8" w:rsidP="0059011D">
            <w:pPr>
              <w:spacing w:after="120" w:line="240" w:lineRule="auto"/>
              <w:jc w:val="center"/>
              <w:rPr>
                <w:rFonts w:ascii="Times New Roman" w:hAnsi="Times New Roman" w:cs="Times New Roman"/>
                <w:b/>
                <w:bCs/>
                <w:i/>
                <w:iCs/>
                <w:color w:val="000000"/>
                <w:sz w:val="24"/>
                <w:szCs w:val="24"/>
              </w:rPr>
            </w:pPr>
            <w:r w:rsidRPr="000B521F">
              <w:rPr>
                <w:rFonts w:ascii="Times New Roman" w:hAnsi="Times New Roman" w:cs="Times New Roman"/>
                <w:b/>
                <w:bCs/>
                <w:i/>
                <w:iCs/>
                <w:color w:val="000000"/>
                <w:sz w:val="24"/>
                <w:szCs w:val="24"/>
              </w:rPr>
              <w:t> </w:t>
            </w:r>
          </w:p>
        </w:tc>
        <w:tc>
          <w:tcPr>
            <w:tcW w:w="1276"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FS</w:t>
            </w:r>
          </w:p>
        </w:tc>
        <w:tc>
          <w:tcPr>
            <w:tcW w:w="1276"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2 190 615 000</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292 495 000</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299 600 000</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306 740 000</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313 390 000</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319 585 000</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326 480 000</w:t>
            </w:r>
          </w:p>
        </w:tc>
        <w:tc>
          <w:tcPr>
            <w:tcW w:w="1134" w:type="dxa"/>
            <w:tcBorders>
              <w:top w:val="nil"/>
              <w:left w:val="nil"/>
              <w:bottom w:val="single" w:sz="4" w:space="0" w:color="auto"/>
              <w:right w:val="single" w:sz="8"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332 290 000</w:t>
            </w:r>
          </w:p>
        </w:tc>
      </w:tr>
      <w:tr w:rsidR="00CD13E8" w:rsidRPr="000B521F" w:rsidTr="006F46A5">
        <w:trPr>
          <w:trHeight w:val="299"/>
        </w:trPr>
        <w:tc>
          <w:tcPr>
            <w:tcW w:w="2835" w:type="dxa"/>
            <w:tcBorders>
              <w:top w:val="nil"/>
              <w:left w:val="single" w:sz="8" w:space="0" w:color="auto"/>
              <w:bottom w:val="single" w:sz="4" w:space="0" w:color="auto"/>
              <w:right w:val="single" w:sz="4" w:space="0" w:color="auto"/>
            </w:tcBorders>
            <w:shd w:val="clear" w:color="auto" w:fill="C6D9F1" w:themeFill="text2" w:themeFillTint="33"/>
            <w:vAlign w:val="bottom"/>
          </w:tcPr>
          <w:p w:rsidR="00CD13E8" w:rsidRPr="000B521F" w:rsidRDefault="00CD13E8" w:rsidP="0059011D">
            <w:pPr>
              <w:spacing w:after="120" w:line="240" w:lineRule="auto"/>
              <w:jc w:val="center"/>
              <w:rPr>
                <w:rFonts w:ascii="Times New Roman" w:hAnsi="Times New Roman" w:cs="Times New Roman"/>
                <w:b/>
                <w:bCs/>
                <w:i/>
                <w:iCs/>
                <w:color w:val="000000"/>
                <w:sz w:val="24"/>
                <w:szCs w:val="24"/>
              </w:rPr>
            </w:pPr>
            <w:r w:rsidRPr="000B521F">
              <w:rPr>
                <w:rFonts w:ascii="Times New Roman" w:hAnsi="Times New Roman" w:cs="Times New Roman"/>
                <w:b/>
                <w:bCs/>
                <w:i/>
                <w:iCs/>
                <w:color w:val="000000"/>
                <w:sz w:val="24"/>
                <w:szCs w:val="24"/>
              </w:rPr>
              <w:t>OP Doprava</w:t>
            </w:r>
          </w:p>
        </w:tc>
        <w:tc>
          <w:tcPr>
            <w:tcW w:w="1276"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 </w:t>
            </w:r>
          </w:p>
        </w:tc>
        <w:tc>
          <w:tcPr>
            <w:tcW w:w="1276"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4 695 743 712</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627 607 058</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642 486 896</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657 468 634</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671 577 270</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684 873 698</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699 507 021</w:t>
            </w:r>
          </w:p>
        </w:tc>
        <w:tc>
          <w:tcPr>
            <w:tcW w:w="1134" w:type="dxa"/>
            <w:tcBorders>
              <w:top w:val="nil"/>
              <w:left w:val="nil"/>
              <w:bottom w:val="single" w:sz="4" w:space="0" w:color="auto"/>
              <w:right w:val="single" w:sz="8"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712 158 134</w:t>
            </w:r>
          </w:p>
        </w:tc>
      </w:tr>
      <w:tr w:rsidR="00CD13E8" w:rsidRPr="000B521F" w:rsidTr="006F46A5">
        <w:trPr>
          <w:trHeight w:val="299"/>
        </w:trPr>
        <w:tc>
          <w:tcPr>
            <w:tcW w:w="2835" w:type="dxa"/>
            <w:tcBorders>
              <w:top w:val="nil"/>
              <w:left w:val="single" w:sz="8" w:space="0" w:color="auto"/>
              <w:bottom w:val="single" w:sz="4" w:space="0" w:color="auto"/>
              <w:right w:val="single" w:sz="4" w:space="0" w:color="auto"/>
            </w:tcBorders>
            <w:shd w:val="clear" w:color="auto" w:fill="C6D9F1" w:themeFill="text2" w:themeFillTint="33"/>
            <w:vAlign w:val="bottom"/>
          </w:tcPr>
          <w:p w:rsidR="00CD13E8" w:rsidRPr="000B521F" w:rsidRDefault="00CD13E8" w:rsidP="0059011D">
            <w:pPr>
              <w:spacing w:after="120" w:line="240" w:lineRule="auto"/>
              <w:jc w:val="center"/>
              <w:rPr>
                <w:rFonts w:ascii="Times New Roman" w:hAnsi="Times New Roman" w:cs="Times New Roman"/>
                <w:b/>
                <w:bCs/>
                <w:i/>
                <w:iCs/>
                <w:color w:val="000000"/>
                <w:sz w:val="24"/>
                <w:szCs w:val="24"/>
              </w:rPr>
            </w:pPr>
            <w:r w:rsidRPr="000B521F">
              <w:rPr>
                <w:rFonts w:ascii="Times New Roman" w:hAnsi="Times New Roman" w:cs="Times New Roman"/>
                <w:b/>
                <w:bCs/>
                <w:i/>
                <w:iCs/>
                <w:color w:val="000000"/>
                <w:sz w:val="24"/>
                <w:szCs w:val="24"/>
              </w:rPr>
              <w:t> </w:t>
            </w:r>
          </w:p>
        </w:tc>
        <w:tc>
          <w:tcPr>
            <w:tcW w:w="1276"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EFRR</w:t>
            </w:r>
          </w:p>
        </w:tc>
        <w:tc>
          <w:tcPr>
            <w:tcW w:w="1276"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627 458 712</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84 402 058</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86 086 896</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87 808 634</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89 567 270</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91 358 698</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93 187 021</w:t>
            </w:r>
          </w:p>
        </w:tc>
        <w:tc>
          <w:tcPr>
            <w:tcW w:w="1134" w:type="dxa"/>
            <w:tcBorders>
              <w:top w:val="nil"/>
              <w:left w:val="nil"/>
              <w:bottom w:val="single" w:sz="4" w:space="0" w:color="auto"/>
              <w:right w:val="single" w:sz="8"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95 048 134</w:t>
            </w:r>
          </w:p>
        </w:tc>
      </w:tr>
      <w:tr w:rsidR="00CD13E8" w:rsidRPr="000B521F" w:rsidTr="006F46A5">
        <w:trPr>
          <w:trHeight w:val="299"/>
        </w:trPr>
        <w:tc>
          <w:tcPr>
            <w:tcW w:w="2835" w:type="dxa"/>
            <w:tcBorders>
              <w:top w:val="nil"/>
              <w:left w:val="single" w:sz="8" w:space="0" w:color="auto"/>
              <w:bottom w:val="single" w:sz="4" w:space="0" w:color="auto"/>
              <w:right w:val="single" w:sz="4" w:space="0" w:color="auto"/>
            </w:tcBorders>
            <w:shd w:val="clear" w:color="auto" w:fill="C6D9F1" w:themeFill="text2" w:themeFillTint="33"/>
            <w:vAlign w:val="bottom"/>
          </w:tcPr>
          <w:p w:rsidR="00CD13E8" w:rsidRPr="000B521F" w:rsidRDefault="00CD13E8" w:rsidP="0059011D">
            <w:pPr>
              <w:spacing w:after="120" w:line="240" w:lineRule="auto"/>
              <w:jc w:val="center"/>
              <w:rPr>
                <w:rFonts w:ascii="Times New Roman" w:hAnsi="Times New Roman" w:cs="Times New Roman"/>
                <w:b/>
                <w:bCs/>
                <w:i/>
                <w:iCs/>
                <w:color w:val="000000"/>
                <w:sz w:val="24"/>
                <w:szCs w:val="24"/>
              </w:rPr>
            </w:pPr>
            <w:r w:rsidRPr="000B521F">
              <w:rPr>
                <w:rFonts w:ascii="Times New Roman" w:hAnsi="Times New Roman" w:cs="Times New Roman"/>
                <w:b/>
                <w:bCs/>
                <w:i/>
                <w:iCs/>
                <w:color w:val="000000"/>
                <w:sz w:val="24"/>
                <w:szCs w:val="24"/>
              </w:rPr>
              <w:t> </w:t>
            </w:r>
          </w:p>
        </w:tc>
        <w:tc>
          <w:tcPr>
            <w:tcW w:w="1276"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FS</w:t>
            </w:r>
          </w:p>
        </w:tc>
        <w:tc>
          <w:tcPr>
            <w:tcW w:w="1276"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4 068 285 000</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543 205 000</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556 400 000</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569 660 000</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582 010 000</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593 515 000</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606 320 000</w:t>
            </w:r>
          </w:p>
        </w:tc>
        <w:tc>
          <w:tcPr>
            <w:tcW w:w="1134" w:type="dxa"/>
            <w:tcBorders>
              <w:top w:val="nil"/>
              <w:left w:val="nil"/>
              <w:bottom w:val="single" w:sz="4" w:space="0" w:color="auto"/>
              <w:right w:val="single" w:sz="8"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617 110 000</w:t>
            </w:r>
          </w:p>
        </w:tc>
      </w:tr>
      <w:tr w:rsidR="00CD13E8" w:rsidRPr="000B521F" w:rsidTr="006F46A5">
        <w:trPr>
          <w:trHeight w:val="493"/>
        </w:trPr>
        <w:tc>
          <w:tcPr>
            <w:tcW w:w="2835" w:type="dxa"/>
            <w:tcBorders>
              <w:top w:val="nil"/>
              <w:left w:val="single" w:sz="8" w:space="0" w:color="auto"/>
              <w:bottom w:val="single" w:sz="4" w:space="0" w:color="auto"/>
              <w:right w:val="single" w:sz="4" w:space="0" w:color="auto"/>
            </w:tcBorders>
            <w:shd w:val="clear" w:color="auto" w:fill="C6D9F1" w:themeFill="text2" w:themeFillTint="33"/>
            <w:vAlign w:val="bottom"/>
          </w:tcPr>
          <w:p w:rsidR="00CD13E8" w:rsidRPr="000B521F" w:rsidRDefault="00CD13E8" w:rsidP="0059011D">
            <w:pPr>
              <w:spacing w:after="120" w:line="240" w:lineRule="auto"/>
              <w:jc w:val="center"/>
              <w:rPr>
                <w:rFonts w:ascii="Times New Roman" w:hAnsi="Times New Roman" w:cs="Times New Roman"/>
                <w:b/>
                <w:bCs/>
                <w:i/>
                <w:iCs/>
                <w:color w:val="000000"/>
                <w:sz w:val="24"/>
                <w:szCs w:val="24"/>
              </w:rPr>
            </w:pPr>
            <w:r w:rsidRPr="000B521F">
              <w:rPr>
                <w:rFonts w:ascii="Times New Roman" w:hAnsi="Times New Roman" w:cs="Times New Roman"/>
                <w:b/>
                <w:bCs/>
                <w:i/>
                <w:iCs/>
                <w:color w:val="000000"/>
                <w:sz w:val="24"/>
                <w:szCs w:val="24"/>
              </w:rPr>
              <w:t>Integrovaný regionální OP</w:t>
            </w:r>
          </w:p>
        </w:tc>
        <w:tc>
          <w:tcPr>
            <w:tcW w:w="1276"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 </w:t>
            </w:r>
          </w:p>
        </w:tc>
        <w:tc>
          <w:tcPr>
            <w:tcW w:w="1276"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4 871 458 510</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655 280 826</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668 360 133</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681 729 569</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695 381 425</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709 291 538</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723 484 055</w:t>
            </w:r>
          </w:p>
        </w:tc>
        <w:tc>
          <w:tcPr>
            <w:tcW w:w="1134" w:type="dxa"/>
            <w:tcBorders>
              <w:top w:val="nil"/>
              <w:left w:val="nil"/>
              <w:bottom w:val="single" w:sz="4" w:space="0" w:color="auto"/>
              <w:right w:val="single" w:sz="8"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737 934 813</w:t>
            </w:r>
          </w:p>
        </w:tc>
      </w:tr>
      <w:tr w:rsidR="00CD13E8" w:rsidRPr="000B521F" w:rsidTr="006F46A5">
        <w:trPr>
          <w:trHeight w:val="299"/>
        </w:trPr>
        <w:tc>
          <w:tcPr>
            <w:tcW w:w="2835" w:type="dxa"/>
            <w:tcBorders>
              <w:top w:val="nil"/>
              <w:left w:val="single" w:sz="8" w:space="0" w:color="auto"/>
              <w:bottom w:val="single" w:sz="4" w:space="0" w:color="auto"/>
              <w:right w:val="single" w:sz="4" w:space="0" w:color="auto"/>
            </w:tcBorders>
            <w:shd w:val="clear" w:color="auto" w:fill="C6D9F1" w:themeFill="text2" w:themeFillTint="33"/>
            <w:vAlign w:val="bottom"/>
          </w:tcPr>
          <w:p w:rsidR="00CD13E8" w:rsidRPr="000B521F" w:rsidRDefault="00CD13E8" w:rsidP="0059011D">
            <w:pPr>
              <w:spacing w:after="120" w:line="240" w:lineRule="auto"/>
              <w:jc w:val="center"/>
              <w:rPr>
                <w:rFonts w:ascii="Times New Roman" w:hAnsi="Times New Roman" w:cs="Times New Roman"/>
                <w:b/>
                <w:bCs/>
                <w:i/>
                <w:iCs/>
                <w:color w:val="000000"/>
                <w:sz w:val="24"/>
                <w:szCs w:val="24"/>
              </w:rPr>
            </w:pPr>
            <w:r w:rsidRPr="000B521F">
              <w:rPr>
                <w:rFonts w:ascii="Times New Roman" w:hAnsi="Times New Roman" w:cs="Times New Roman"/>
                <w:b/>
                <w:bCs/>
                <w:i/>
                <w:iCs/>
                <w:color w:val="000000"/>
                <w:sz w:val="24"/>
                <w:szCs w:val="24"/>
              </w:rPr>
              <w:t> </w:t>
            </w:r>
          </w:p>
        </w:tc>
        <w:tc>
          <w:tcPr>
            <w:tcW w:w="1276"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EFRR</w:t>
            </w:r>
          </w:p>
        </w:tc>
        <w:tc>
          <w:tcPr>
            <w:tcW w:w="1276"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4 871 458 510</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655 280 826</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668 360 133</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681 729 569</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695 381 425</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709 291 538</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723 484 055</w:t>
            </w:r>
          </w:p>
        </w:tc>
        <w:tc>
          <w:tcPr>
            <w:tcW w:w="1134" w:type="dxa"/>
            <w:tcBorders>
              <w:top w:val="nil"/>
              <w:left w:val="nil"/>
              <w:bottom w:val="single" w:sz="4" w:space="0" w:color="auto"/>
              <w:right w:val="single" w:sz="8"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737 934 813</w:t>
            </w:r>
          </w:p>
        </w:tc>
      </w:tr>
      <w:tr w:rsidR="00CD13E8" w:rsidRPr="000B521F" w:rsidTr="006F46A5">
        <w:trPr>
          <w:trHeight w:val="463"/>
        </w:trPr>
        <w:tc>
          <w:tcPr>
            <w:tcW w:w="2835" w:type="dxa"/>
            <w:tcBorders>
              <w:top w:val="nil"/>
              <w:left w:val="single" w:sz="8" w:space="0" w:color="auto"/>
              <w:bottom w:val="single" w:sz="4" w:space="0" w:color="auto"/>
              <w:right w:val="single" w:sz="4" w:space="0" w:color="auto"/>
            </w:tcBorders>
            <w:shd w:val="clear" w:color="auto" w:fill="C6D9F1" w:themeFill="text2" w:themeFillTint="33"/>
            <w:vAlign w:val="bottom"/>
          </w:tcPr>
          <w:p w:rsidR="00CD13E8" w:rsidRPr="000B521F" w:rsidRDefault="00CD13E8" w:rsidP="0059011D">
            <w:pPr>
              <w:spacing w:after="120" w:line="240" w:lineRule="auto"/>
              <w:jc w:val="center"/>
              <w:rPr>
                <w:rFonts w:ascii="Times New Roman" w:hAnsi="Times New Roman" w:cs="Times New Roman"/>
                <w:b/>
                <w:bCs/>
                <w:i/>
                <w:iCs/>
                <w:color w:val="000000"/>
                <w:sz w:val="24"/>
                <w:szCs w:val="24"/>
              </w:rPr>
            </w:pPr>
            <w:r w:rsidRPr="000B521F">
              <w:rPr>
                <w:rFonts w:ascii="Times New Roman" w:hAnsi="Times New Roman" w:cs="Times New Roman"/>
                <w:b/>
                <w:bCs/>
                <w:i/>
                <w:iCs/>
                <w:color w:val="000000"/>
                <w:sz w:val="24"/>
                <w:szCs w:val="24"/>
              </w:rPr>
              <w:t>OP Technická pomoc</w:t>
            </w:r>
          </w:p>
        </w:tc>
        <w:tc>
          <w:tcPr>
            <w:tcW w:w="1276"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 </w:t>
            </w:r>
          </w:p>
        </w:tc>
        <w:tc>
          <w:tcPr>
            <w:tcW w:w="1276"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223 829 949</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30 108 548</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30 709 143</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31 323 995</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31 950 796</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32 590 395</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33 241 941</w:t>
            </w:r>
          </w:p>
        </w:tc>
        <w:tc>
          <w:tcPr>
            <w:tcW w:w="1134" w:type="dxa"/>
            <w:tcBorders>
              <w:top w:val="nil"/>
              <w:left w:val="nil"/>
              <w:bottom w:val="single" w:sz="4" w:space="0" w:color="auto"/>
              <w:right w:val="single" w:sz="8"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33 906 286</w:t>
            </w:r>
          </w:p>
        </w:tc>
      </w:tr>
      <w:tr w:rsidR="00CD13E8" w:rsidRPr="000B521F" w:rsidTr="006F46A5">
        <w:trPr>
          <w:trHeight w:val="299"/>
        </w:trPr>
        <w:tc>
          <w:tcPr>
            <w:tcW w:w="2835" w:type="dxa"/>
            <w:tcBorders>
              <w:top w:val="nil"/>
              <w:left w:val="single" w:sz="8" w:space="0" w:color="auto"/>
              <w:bottom w:val="single" w:sz="4" w:space="0" w:color="auto"/>
              <w:right w:val="single" w:sz="4" w:space="0" w:color="auto"/>
            </w:tcBorders>
            <w:shd w:val="clear" w:color="auto" w:fill="C6D9F1" w:themeFill="text2" w:themeFillTint="33"/>
            <w:vAlign w:val="bottom"/>
          </w:tcPr>
          <w:p w:rsidR="00CD13E8" w:rsidRPr="000B521F" w:rsidRDefault="00CD13E8" w:rsidP="0059011D">
            <w:pPr>
              <w:spacing w:after="120" w:line="240" w:lineRule="auto"/>
              <w:jc w:val="center"/>
              <w:rPr>
                <w:rFonts w:ascii="Times New Roman" w:hAnsi="Times New Roman" w:cs="Times New Roman"/>
                <w:b/>
                <w:bCs/>
                <w:i/>
                <w:iCs/>
                <w:color w:val="000000"/>
                <w:sz w:val="24"/>
                <w:szCs w:val="24"/>
              </w:rPr>
            </w:pPr>
            <w:r w:rsidRPr="000B521F">
              <w:rPr>
                <w:rFonts w:ascii="Times New Roman" w:hAnsi="Times New Roman" w:cs="Times New Roman"/>
                <w:b/>
                <w:bCs/>
                <w:i/>
                <w:iCs/>
                <w:color w:val="000000"/>
                <w:sz w:val="24"/>
                <w:szCs w:val="24"/>
              </w:rPr>
              <w:t> </w:t>
            </w:r>
          </w:p>
        </w:tc>
        <w:tc>
          <w:tcPr>
            <w:tcW w:w="1276"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EFRR</w:t>
            </w:r>
          </w:p>
        </w:tc>
        <w:tc>
          <w:tcPr>
            <w:tcW w:w="1276"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223 829 949</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30 108 548</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30 709 143</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31 323 995</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31 950 796</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32 590 395</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33 241 941</w:t>
            </w:r>
          </w:p>
        </w:tc>
        <w:tc>
          <w:tcPr>
            <w:tcW w:w="1134" w:type="dxa"/>
            <w:tcBorders>
              <w:top w:val="nil"/>
              <w:left w:val="nil"/>
              <w:bottom w:val="single" w:sz="4" w:space="0" w:color="auto"/>
              <w:right w:val="single" w:sz="8"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33 906 286</w:t>
            </w:r>
          </w:p>
        </w:tc>
      </w:tr>
      <w:tr w:rsidR="00CD13E8" w:rsidRPr="000B521F" w:rsidTr="006F46A5">
        <w:trPr>
          <w:trHeight w:val="299"/>
        </w:trPr>
        <w:tc>
          <w:tcPr>
            <w:tcW w:w="2835" w:type="dxa"/>
            <w:tcBorders>
              <w:top w:val="nil"/>
              <w:left w:val="single" w:sz="8" w:space="0" w:color="auto"/>
              <w:bottom w:val="single" w:sz="4" w:space="0" w:color="auto"/>
              <w:right w:val="single" w:sz="4" w:space="0" w:color="auto"/>
            </w:tcBorders>
            <w:shd w:val="clear" w:color="auto" w:fill="C6D9F1" w:themeFill="text2" w:themeFillTint="33"/>
            <w:vAlign w:val="bottom"/>
          </w:tcPr>
          <w:p w:rsidR="00CD13E8" w:rsidRPr="000B521F" w:rsidRDefault="00CD13E8" w:rsidP="0059011D">
            <w:pPr>
              <w:spacing w:after="120" w:line="240" w:lineRule="auto"/>
              <w:jc w:val="center"/>
              <w:rPr>
                <w:rFonts w:ascii="Times New Roman" w:hAnsi="Times New Roman" w:cs="Times New Roman"/>
                <w:b/>
                <w:bCs/>
                <w:i/>
                <w:iCs/>
                <w:color w:val="000000"/>
                <w:sz w:val="24"/>
                <w:szCs w:val="24"/>
              </w:rPr>
            </w:pPr>
            <w:r w:rsidRPr="000B521F">
              <w:rPr>
                <w:rFonts w:ascii="Times New Roman" w:hAnsi="Times New Roman" w:cs="Times New Roman"/>
                <w:b/>
                <w:bCs/>
                <w:i/>
                <w:iCs/>
                <w:color w:val="000000"/>
                <w:sz w:val="24"/>
                <w:szCs w:val="24"/>
              </w:rPr>
              <w:t>OP Zaměstnanost</w:t>
            </w:r>
          </w:p>
        </w:tc>
        <w:tc>
          <w:tcPr>
            <w:tcW w:w="1276"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 </w:t>
            </w:r>
          </w:p>
        </w:tc>
        <w:tc>
          <w:tcPr>
            <w:tcW w:w="1276"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2 136 486 508</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293 593 876</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297 370 196</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296 989 097</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302 925 744</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308 995 917</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315 165 931</w:t>
            </w:r>
          </w:p>
        </w:tc>
        <w:tc>
          <w:tcPr>
            <w:tcW w:w="1134" w:type="dxa"/>
            <w:tcBorders>
              <w:top w:val="nil"/>
              <w:left w:val="nil"/>
              <w:bottom w:val="single" w:sz="4" w:space="0" w:color="auto"/>
              <w:right w:val="single" w:sz="8"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321 469 462</w:t>
            </w:r>
          </w:p>
        </w:tc>
      </w:tr>
      <w:tr w:rsidR="00CD13E8" w:rsidRPr="000B521F" w:rsidTr="006F46A5">
        <w:trPr>
          <w:trHeight w:val="299"/>
        </w:trPr>
        <w:tc>
          <w:tcPr>
            <w:tcW w:w="2835" w:type="dxa"/>
            <w:tcBorders>
              <w:top w:val="nil"/>
              <w:left w:val="single" w:sz="8" w:space="0" w:color="auto"/>
              <w:bottom w:val="single" w:sz="4" w:space="0" w:color="auto"/>
              <w:right w:val="single" w:sz="4" w:space="0" w:color="auto"/>
            </w:tcBorders>
            <w:shd w:val="clear" w:color="auto" w:fill="C6D9F1" w:themeFill="text2" w:themeFillTint="33"/>
            <w:vAlign w:val="bottom"/>
          </w:tcPr>
          <w:p w:rsidR="00CD13E8" w:rsidRPr="000B521F" w:rsidRDefault="00CD13E8" w:rsidP="0059011D">
            <w:pPr>
              <w:spacing w:after="120" w:line="240" w:lineRule="auto"/>
              <w:jc w:val="center"/>
              <w:rPr>
                <w:rFonts w:ascii="Times New Roman" w:hAnsi="Times New Roman" w:cs="Times New Roman"/>
                <w:b/>
                <w:bCs/>
                <w:i/>
                <w:iCs/>
                <w:color w:val="000000"/>
                <w:sz w:val="24"/>
                <w:szCs w:val="24"/>
              </w:rPr>
            </w:pPr>
            <w:r w:rsidRPr="000B521F">
              <w:rPr>
                <w:rFonts w:ascii="Times New Roman" w:hAnsi="Times New Roman" w:cs="Times New Roman"/>
                <w:b/>
                <w:bCs/>
                <w:i/>
                <w:iCs/>
                <w:color w:val="000000"/>
                <w:sz w:val="24"/>
                <w:szCs w:val="24"/>
              </w:rPr>
              <w:t> </w:t>
            </w:r>
          </w:p>
        </w:tc>
        <w:tc>
          <w:tcPr>
            <w:tcW w:w="1276"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ESF</w:t>
            </w:r>
          </w:p>
        </w:tc>
        <w:tc>
          <w:tcPr>
            <w:tcW w:w="1276"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2 122 137 508</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285 462 776</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291 152 296</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296 989 097</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302 925 744</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308 995 917</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315 165 931</w:t>
            </w:r>
          </w:p>
        </w:tc>
        <w:tc>
          <w:tcPr>
            <w:tcW w:w="1134" w:type="dxa"/>
            <w:tcBorders>
              <w:top w:val="nil"/>
              <w:left w:val="nil"/>
              <w:bottom w:val="single" w:sz="4" w:space="0" w:color="auto"/>
              <w:right w:val="single" w:sz="8"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321 469 462</w:t>
            </w:r>
          </w:p>
        </w:tc>
      </w:tr>
      <w:tr w:rsidR="00CD13E8" w:rsidRPr="000B521F" w:rsidTr="006F46A5">
        <w:trPr>
          <w:trHeight w:val="299"/>
        </w:trPr>
        <w:tc>
          <w:tcPr>
            <w:tcW w:w="2835" w:type="dxa"/>
            <w:tcBorders>
              <w:top w:val="nil"/>
              <w:left w:val="single" w:sz="8" w:space="0" w:color="auto"/>
              <w:bottom w:val="single" w:sz="4" w:space="0" w:color="auto"/>
              <w:right w:val="single" w:sz="4" w:space="0" w:color="auto"/>
            </w:tcBorders>
            <w:shd w:val="clear" w:color="auto" w:fill="C6D9F1" w:themeFill="text2" w:themeFillTint="33"/>
            <w:vAlign w:val="bottom"/>
          </w:tcPr>
          <w:p w:rsidR="00CD13E8" w:rsidRPr="000B521F" w:rsidRDefault="00CD13E8" w:rsidP="0059011D">
            <w:pPr>
              <w:spacing w:after="120" w:line="240" w:lineRule="auto"/>
              <w:jc w:val="center"/>
              <w:rPr>
                <w:rFonts w:ascii="Times New Roman" w:hAnsi="Times New Roman" w:cs="Times New Roman"/>
                <w:b/>
                <w:bCs/>
                <w:i/>
                <w:iCs/>
                <w:color w:val="000000"/>
                <w:sz w:val="24"/>
                <w:szCs w:val="24"/>
              </w:rPr>
            </w:pPr>
            <w:r w:rsidRPr="000B521F">
              <w:rPr>
                <w:rFonts w:ascii="Times New Roman" w:hAnsi="Times New Roman" w:cs="Times New Roman"/>
                <w:b/>
                <w:bCs/>
                <w:i/>
                <w:iCs/>
                <w:color w:val="000000"/>
                <w:sz w:val="24"/>
                <w:szCs w:val="24"/>
              </w:rPr>
              <w:t> </w:t>
            </w:r>
          </w:p>
        </w:tc>
        <w:tc>
          <w:tcPr>
            <w:tcW w:w="1276"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IZM</w:t>
            </w:r>
          </w:p>
        </w:tc>
        <w:tc>
          <w:tcPr>
            <w:tcW w:w="1276"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14 349 000</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8 131 100</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6 217 900</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0</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0</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0</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0</w:t>
            </w:r>
          </w:p>
        </w:tc>
        <w:tc>
          <w:tcPr>
            <w:tcW w:w="1134" w:type="dxa"/>
            <w:tcBorders>
              <w:top w:val="nil"/>
              <w:left w:val="nil"/>
              <w:bottom w:val="single" w:sz="4" w:space="0" w:color="auto"/>
              <w:right w:val="single" w:sz="8"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0</w:t>
            </w:r>
          </w:p>
        </w:tc>
      </w:tr>
      <w:tr w:rsidR="00CD13E8" w:rsidRPr="000B521F" w:rsidTr="006F46A5">
        <w:trPr>
          <w:trHeight w:val="523"/>
        </w:trPr>
        <w:tc>
          <w:tcPr>
            <w:tcW w:w="2835" w:type="dxa"/>
            <w:tcBorders>
              <w:top w:val="nil"/>
              <w:left w:val="single" w:sz="8" w:space="0" w:color="auto"/>
              <w:bottom w:val="single" w:sz="4" w:space="0" w:color="auto"/>
              <w:right w:val="single" w:sz="4" w:space="0" w:color="auto"/>
            </w:tcBorders>
            <w:shd w:val="clear" w:color="auto" w:fill="C6D9F1" w:themeFill="text2" w:themeFillTint="33"/>
            <w:vAlign w:val="bottom"/>
          </w:tcPr>
          <w:p w:rsidR="00CD13E8" w:rsidRPr="000B521F" w:rsidRDefault="00CD13E8" w:rsidP="0059011D">
            <w:pPr>
              <w:spacing w:after="120" w:line="240" w:lineRule="auto"/>
              <w:jc w:val="center"/>
              <w:rPr>
                <w:rFonts w:ascii="Times New Roman" w:hAnsi="Times New Roman" w:cs="Times New Roman"/>
                <w:b/>
                <w:bCs/>
                <w:i/>
                <w:iCs/>
                <w:color w:val="000000"/>
                <w:sz w:val="24"/>
                <w:szCs w:val="24"/>
              </w:rPr>
            </w:pPr>
            <w:r w:rsidRPr="000B521F">
              <w:rPr>
                <w:rFonts w:ascii="Times New Roman" w:hAnsi="Times New Roman" w:cs="Times New Roman"/>
                <w:b/>
                <w:bCs/>
                <w:i/>
                <w:iCs/>
                <w:color w:val="000000"/>
                <w:sz w:val="24"/>
                <w:szCs w:val="24"/>
              </w:rPr>
              <w:lastRenderedPageBreak/>
              <w:t>OP Praha - pól růstu ČR</w:t>
            </w:r>
          </w:p>
        </w:tc>
        <w:tc>
          <w:tcPr>
            <w:tcW w:w="1276"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 </w:t>
            </w:r>
          </w:p>
        </w:tc>
        <w:tc>
          <w:tcPr>
            <w:tcW w:w="1276" w:type="dxa"/>
            <w:tcBorders>
              <w:top w:val="nil"/>
              <w:left w:val="nil"/>
              <w:bottom w:val="single" w:sz="4" w:space="0" w:color="auto"/>
              <w:right w:val="single" w:sz="4" w:space="0" w:color="auto"/>
            </w:tcBorders>
            <w:noWrap/>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201 925 634</w:t>
            </w:r>
          </w:p>
        </w:tc>
        <w:tc>
          <w:tcPr>
            <w:tcW w:w="1134" w:type="dxa"/>
            <w:tcBorders>
              <w:top w:val="nil"/>
              <w:left w:val="nil"/>
              <w:bottom w:val="single" w:sz="4" w:space="0" w:color="auto"/>
              <w:right w:val="single" w:sz="4" w:space="0" w:color="auto"/>
            </w:tcBorders>
            <w:noWrap/>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27 176 079</w:t>
            </w:r>
          </w:p>
        </w:tc>
        <w:tc>
          <w:tcPr>
            <w:tcW w:w="1134" w:type="dxa"/>
            <w:tcBorders>
              <w:top w:val="nil"/>
              <w:left w:val="nil"/>
              <w:bottom w:val="single" w:sz="4" w:space="0" w:color="auto"/>
              <w:right w:val="single" w:sz="4" w:space="0" w:color="auto"/>
            </w:tcBorders>
            <w:noWrap/>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27 694 720</w:t>
            </w:r>
          </w:p>
        </w:tc>
        <w:tc>
          <w:tcPr>
            <w:tcW w:w="1134" w:type="dxa"/>
            <w:tcBorders>
              <w:top w:val="nil"/>
              <w:left w:val="nil"/>
              <w:bottom w:val="single" w:sz="4" w:space="0" w:color="auto"/>
              <w:right w:val="single" w:sz="4" w:space="0" w:color="auto"/>
            </w:tcBorders>
            <w:noWrap/>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28 285 456</w:t>
            </w:r>
          </w:p>
        </w:tc>
        <w:tc>
          <w:tcPr>
            <w:tcW w:w="1134" w:type="dxa"/>
            <w:tcBorders>
              <w:top w:val="nil"/>
              <w:left w:val="nil"/>
              <w:bottom w:val="single" w:sz="4" w:space="0" w:color="auto"/>
              <w:right w:val="single" w:sz="4" w:space="0" w:color="auto"/>
            </w:tcBorders>
            <w:noWrap/>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28 821 247</w:t>
            </w:r>
          </w:p>
        </w:tc>
        <w:tc>
          <w:tcPr>
            <w:tcW w:w="1134" w:type="dxa"/>
            <w:tcBorders>
              <w:top w:val="nil"/>
              <w:left w:val="nil"/>
              <w:bottom w:val="single" w:sz="4" w:space="0" w:color="auto"/>
              <w:right w:val="single" w:sz="4" w:space="0" w:color="auto"/>
            </w:tcBorders>
            <w:noWrap/>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29 428 181</w:t>
            </w:r>
          </w:p>
        </w:tc>
        <w:tc>
          <w:tcPr>
            <w:tcW w:w="1134" w:type="dxa"/>
            <w:tcBorders>
              <w:top w:val="nil"/>
              <w:left w:val="nil"/>
              <w:bottom w:val="single" w:sz="4" w:space="0" w:color="auto"/>
              <w:right w:val="single" w:sz="4" w:space="0" w:color="auto"/>
            </w:tcBorders>
            <w:noWrap/>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29 980 170</w:t>
            </w:r>
          </w:p>
        </w:tc>
        <w:tc>
          <w:tcPr>
            <w:tcW w:w="1134" w:type="dxa"/>
            <w:tcBorders>
              <w:top w:val="nil"/>
              <w:left w:val="nil"/>
              <w:bottom w:val="single" w:sz="4" w:space="0" w:color="auto"/>
              <w:right w:val="single" w:sz="8" w:space="0" w:color="auto"/>
            </w:tcBorders>
            <w:noWrap/>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30 603 301</w:t>
            </w:r>
          </w:p>
        </w:tc>
      </w:tr>
      <w:tr w:rsidR="00CD13E8" w:rsidRPr="000B521F" w:rsidTr="006F46A5">
        <w:trPr>
          <w:trHeight w:val="299"/>
        </w:trPr>
        <w:tc>
          <w:tcPr>
            <w:tcW w:w="2835" w:type="dxa"/>
            <w:tcBorders>
              <w:top w:val="nil"/>
              <w:left w:val="single" w:sz="8" w:space="0" w:color="auto"/>
              <w:bottom w:val="single" w:sz="4" w:space="0" w:color="auto"/>
              <w:right w:val="single" w:sz="4" w:space="0" w:color="auto"/>
            </w:tcBorders>
            <w:shd w:val="clear" w:color="auto" w:fill="C6D9F1" w:themeFill="text2" w:themeFillTint="33"/>
            <w:vAlign w:val="bottom"/>
          </w:tcPr>
          <w:p w:rsidR="00CD13E8" w:rsidRPr="000B521F" w:rsidRDefault="00CD13E8" w:rsidP="0059011D">
            <w:pPr>
              <w:spacing w:after="120" w:line="240" w:lineRule="auto"/>
              <w:jc w:val="center"/>
              <w:rPr>
                <w:rFonts w:ascii="Times New Roman" w:hAnsi="Times New Roman" w:cs="Times New Roman"/>
                <w:color w:val="000000"/>
                <w:sz w:val="24"/>
                <w:szCs w:val="24"/>
              </w:rPr>
            </w:pPr>
            <w:r w:rsidRPr="000B521F">
              <w:rPr>
                <w:rFonts w:ascii="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EFRR</w:t>
            </w:r>
          </w:p>
        </w:tc>
        <w:tc>
          <w:tcPr>
            <w:tcW w:w="1276"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153 860 212</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20 707 214</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21 102 400</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21 552 520</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21 960 774</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22 423 236</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22 843 832</w:t>
            </w:r>
          </w:p>
        </w:tc>
        <w:tc>
          <w:tcPr>
            <w:tcW w:w="1134" w:type="dxa"/>
            <w:tcBorders>
              <w:top w:val="nil"/>
              <w:left w:val="nil"/>
              <w:bottom w:val="single" w:sz="4" w:space="0" w:color="auto"/>
              <w:right w:val="single" w:sz="8"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23 318 636</w:t>
            </w:r>
          </w:p>
        </w:tc>
      </w:tr>
      <w:tr w:rsidR="00CD13E8" w:rsidRPr="000B521F" w:rsidTr="006F46A5">
        <w:trPr>
          <w:trHeight w:val="299"/>
        </w:trPr>
        <w:tc>
          <w:tcPr>
            <w:tcW w:w="2835" w:type="dxa"/>
            <w:tcBorders>
              <w:top w:val="nil"/>
              <w:left w:val="single" w:sz="8" w:space="0" w:color="auto"/>
              <w:bottom w:val="single" w:sz="4" w:space="0" w:color="auto"/>
              <w:right w:val="single" w:sz="4" w:space="0" w:color="auto"/>
            </w:tcBorders>
            <w:shd w:val="clear" w:color="auto" w:fill="C6D9F1" w:themeFill="text2" w:themeFillTint="33"/>
            <w:vAlign w:val="bottom"/>
          </w:tcPr>
          <w:p w:rsidR="00CD13E8" w:rsidRPr="000B521F" w:rsidRDefault="00CD13E8" w:rsidP="0059011D">
            <w:pPr>
              <w:spacing w:after="120" w:line="240" w:lineRule="auto"/>
              <w:jc w:val="center"/>
              <w:rPr>
                <w:rFonts w:ascii="Times New Roman" w:hAnsi="Times New Roman" w:cs="Times New Roman"/>
                <w:color w:val="000000"/>
                <w:sz w:val="24"/>
                <w:szCs w:val="24"/>
              </w:rPr>
            </w:pPr>
            <w:r w:rsidRPr="000B521F">
              <w:rPr>
                <w:rFonts w:ascii="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ESF</w:t>
            </w:r>
          </w:p>
        </w:tc>
        <w:tc>
          <w:tcPr>
            <w:tcW w:w="1276"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48 065 422</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6 468 865</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6 592 320</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6 732 936</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6 860 473</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7 004 945</w:t>
            </w:r>
          </w:p>
        </w:tc>
        <w:tc>
          <w:tcPr>
            <w:tcW w:w="1134" w:type="dxa"/>
            <w:tcBorders>
              <w:top w:val="nil"/>
              <w:left w:val="nil"/>
              <w:bottom w:val="single" w:sz="4"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7 136 338</w:t>
            </w:r>
          </w:p>
        </w:tc>
        <w:tc>
          <w:tcPr>
            <w:tcW w:w="1134" w:type="dxa"/>
            <w:tcBorders>
              <w:top w:val="nil"/>
              <w:left w:val="nil"/>
              <w:bottom w:val="single" w:sz="4" w:space="0" w:color="auto"/>
              <w:right w:val="single" w:sz="8" w:space="0" w:color="auto"/>
            </w:tcBorders>
            <w:vAlign w:val="bottom"/>
          </w:tcPr>
          <w:p w:rsidR="00CD13E8" w:rsidRPr="000B521F" w:rsidRDefault="00CD13E8" w:rsidP="0059011D">
            <w:pPr>
              <w:spacing w:after="120" w:line="240" w:lineRule="auto"/>
              <w:jc w:val="right"/>
              <w:rPr>
                <w:rFonts w:ascii="Times New Roman" w:hAnsi="Times New Roman" w:cs="Times New Roman"/>
                <w:i/>
                <w:iCs/>
                <w:color w:val="000000"/>
                <w:sz w:val="24"/>
                <w:szCs w:val="24"/>
              </w:rPr>
            </w:pPr>
            <w:r w:rsidRPr="000B521F">
              <w:rPr>
                <w:rFonts w:ascii="Times New Roman" w:hAnsi="Times New Roman" w:cs="Times New Roman"/>
                <w:i/>
                <w:iCs/>
                <w:color w:val="000000"/>
                <w:sz w:val="24"/>
                <w:szCs w:val="24"/>
              </w:rPr>
              <w:t>7 284 665</w:t>
            </w:r>
          </w:p>
        </w:tc>
      </w:tr>
      <w:tr w:rsidR="00CD13E8" w:rsidRPr="000B521F" w:rsidTr="006F46A5">
        <w:trPr>
          <w:trHeight w:val="314"/>
        </w:trPr>
        <w:tc>
          <w:tcPr>
            <w:tcW w:w="2835" w:type="dxa"/>
            <w:tcBorders>
              <w:top w:val="nil"/>
              <w:left w:val="single" w:sz="8" w:space="0" w:color="auto"/>
              <w:bottom w:val="single" w:sz="8" w:space="0" w:color="auto"/>
              <w:right w:val="single" w:sz="4" w:space="0" w:color="auto"/>
            </w:tcBorders>
            <w:shd w:val="clear" w:color="auto" w:fill="C6D9F1" w:themeFill="text2" w:themeFillTint="33"/>
            <w:vAlign w:val="bottom"/>
          </w:tcPr>
          <w:p w:rsidR="00CD13E8" w:rsidRPr="000B521F" w:rsidRDefault="009719D2" w:rsidP="0059011D">
            <w:pPr>
              <w:spacing w:after="120" w:line="240" w:lineRule="auto"/>
              <w:jc w:val="center"/>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Celkem</w:t>
            </w:r>
          </w:p>
        </w:tc>
        <w:tc>
          <w:tcPr>
            <w:tcW w:w="1276" w:type="dxa"/>
            <w:tcBorders>
              <w:top w:val="nil"/>
              <w:left w:val="nil"/>
              <w:bottom w:val="single" w:sz="8" w:space="0" w:color="auto"/>
              <w:right w:val="nil"/>
            </w:tcBorders>
            <w:noWrap/>
            <w:vAlign w:val="bottom"/>
          </w:tcPr>
          <w:p w:rsidR="00CD13E8" w:rsidRPr="000B521F" w:rsidRDefault="00CD13E8" w:rsidP="0059011D">
            <w:pPr>
              <w:spacing w:after="120" w:line="240" w:lineRule="auto"/>
              <w:rPr>
                <w:rFonts w:ascii="Times New Roman" w:hAnsi="Times New Roman" w:cs="Times New Roman"/>
                <w:color w:val="000000"/>
                <w:sz w:val="24"/>
                <w:szCs w:val="24"/>
              </w:rPr>
            </w:pPr>
            <w:r w:rsidRPr="000B521F">
              <w:rPr>
                <w:rFonts w:ascii="Times New Roman" w:hAnsi="Times New Roman" w:cs="Times New Roman"/>
                <w:color w:val="000000"/>
                <w:sz w:val="24"/>
                <w:szCs w:val="24"/>
              </w:rPr>
              <w:t> </w:t>
            </w:r>
          </w:p>
        </w:tc>
        <w:tc>
          <w:tcPr>
            <w:tcW w:w="1276" w:type="dxa"/>
            <w:tcBorders>
              <w:top w:val="nil"/>
              <w:left w:val="single" w:sz="4" w:space="0" w:color="auto"/>
              <w:bottom w:val="single" w:sz="8"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21 644 519 151</w:t>
            </w:r>
          </w:p>
        </w:tc>
        <w:tc>
          <w:tcPr>
            <w:tcW w:w="1134" w:type="dxa"/>
            <w:tcBorders>
              <w:top w:val="nil"/>
              <w:left w:val="nil"/>
              <w:bottom w:val="single" w:sz="8"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2 911 506 408</w:t>
            </w:r>
          </w:p>
        </w:tc>
        <w:tc>
          <w:tcPr>
            <w:tcW w:w="1134" w:type="dxa"/>
            <w:tcBorders>
              <w:top w:val="nil"/>
              <w:left w:val="nil"/>
              <w:bottom w:val="single" w:sz="8"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2 971 130 713</w:t>
            </w:r>
          </w:p>
        </w:tc>
        <w:tc>
          <w:tcPr>
            <w:tcW w:w="1134" w:type="dxa"/>
            <w:tcBorders>
              <w:top w:val="nil"/>
              <w:left w:val="nil"/>
              <w:bottom w:val="single" w:sz="8"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3 027 549 070</w:t>
            </w:r>
          </w:p>
        </w:tc>
        <w:tc>
          <w:tcPr>
            <w:tcW w:w="1134" w:type="dxa"/>
            <w:tcBorders>
              <w:top w:val="nil"/>
              <w:left w:val="nil"/>
              <w:bottom w:val="single" w:sz="8"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3 089 584 051</w:t>
            </w:r>
          </w:p>
        </w:tc>
        <w:tc>
          <w:tcPr>
            <w:tcW w:w="1134" w:type="dxa"/>
            <w:tcBorders>
              <w:top w:val="nil"/>
              <w:left w:val="nil"/>
              <w:bottom w:val="single" w:sz="8"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3 151 217 732</w:t>
            </w:r>
          </w:p>
        </w:tc>
        <w:tc>
          <w:tcPr>
            <w:tcW w:w="1134" w:type="dxa"/>
            <w:tcBorders>
              <w:top w:val="nil"/>
              <w:left w:val="nil"/>
              <w:bottom w:val="single" w:sz="8" w:space="0" w:color="auto"/>
              <w:right w:val="single" w:sz="4"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3 215 650 087</w:t>
            </w:r>
          </w:p>
        </w:tc>
        <w:tc>
          <w:tcPr>
            <w:tcW w:w="1134" w:type="dxa"/>
            <w:tcBorders>
              <w:top w:val="nil"/>
              <w:left w:val="nil"/>
              <w:bottom w:val="single" w:sz="8" w:space="0" w:color="auto"/>
              <w:right w:val="single" w:sz="8" w:space="0" w:color="auto"/>
            </w:tcBorders>
            <w:vAlign w:val="bottom"/>
          </w:tcPr>
          <w:p w:rsidR="00CD13E8" w:rsidRPr="000B521F" w:rsidRDefault="00CD13E8" w:rsidP="0059011D">
            <w:pPr>
              <w:spacing w:after="120" w:line="240" w:lineRule="auto"/>
              <w:jc w:val="right"/>
              <w:rPr>
                <w:rFonts w:ascii="Times New Roman" w:hAnsi="Times New Roman" w:cs="Times New Roman"/>
                <w:b/>
                <w:bCs/>
                <w:color w:val="000000"/>
                <w:sz w:val="24"/>
                <w:szCs w:val="24"/>
              </w:rPr>
            </w:pPr>
            <w:r w:rsidRPr="000B521F">
              <w:rPr>
                <w:rFonts w:ascii="Times New Roman" w:hAnsi="Times New Roman" w:cs="Times New Roman"/>
                <w:b/>
                <w:bCs/>
                <w:color w:val="000000"/>
                <w:sz w:val="24"/>
                <w:szCs w:val="24"/>
              </w:rPr>
              <w:t>3 277 881 089</w:t>
            </w:r>
          </w:p>
        </w:tc>
      </w:tr>
    </w:tbl>
    <w:p w:rsidR="009C643D" w:rsidRPr="000B521F" w:rsidRDefault="009C643D" w:rsidP="0059011D">
      <w:pPr>
        <w:spacing w:after="120" w:line="240" w:lineRule="auto"/>
        <w:rPr>
          <w:rFonts w:ascii="Times New Roman" w:hAnsi="Times New Roman" w:cs="Times New Roman"/>
          <w:sz w:val="24"/>
          <w:szCs w:val="24"/>
          <w:lang w:eastAsia="cs-CZ"/>
        </w:rPr>
        <w:sectPr w:rsidR="009C643D" w:rsidRPr="000B521F" w:rsidSect="009C643D">
          <w:pgSz w:w="16838" w:h="11906" w:orient="landscape"/>
          <w:pgMar w:top="1418" w:right="1418" w:bottom="1418" w:left="1418" w:header="708" w:footer="708" w:gutter="0"/>
          <w:cols w:space="708"/>
          <w:docGrid w:linePitch="360"/>
        </w:sectPr>
      </w:pPr>
    </w:p>
    <w:p w:rsidR="00F67C68" w:rsidRPr="000B521F" w:rsidRDefault="00F67C68" w:rsidP="0059011D">
      <w:pPr>
        <w:spacing w:after="120" w:line="240" w:lineRule="auto"/>
        <w:jc w:val="both"/>
        <w:rPr>
          <w:rFonts w:ascii="Times New Roman" w:hAnsi="Times New Roman" w:cs="Times New Roman"/>
          <w:b/>
          <w:sz w:val="24"/>
          <w:szCs w:val="24"/>
          <w:highlight w:val="yellow"/>
        </w:rPr>
      </w:pPr>
      <w:r w:rsidRPr="000B521F">
        <w:rPr>
          <w:rFonts w:ascii="Times New Roman" w:hAnsi="Times New Roman" w:cs="Times New Roman"/>
          <w:b/>
          <w:sz w:val="24"/>
          <w:szCs w:val="24"/>
        </w:rPr>
        <w:lastRenderedPageBreak/>
        <w:t xml:space="preserve">OP </w:t>
      </w:r>
      <w:r w:rsidR="00046F67" w:rsidRPr="000B521F">
        <w:rPr>
          <w:rFonts w:ascii="Times New Roman" w:hAnsi="Times New Roman" w:cs="Times New Roman"/>
          <w:b/>
          <w:sz w:val="24"/>
          <w:szCs w:val="24"/>
        </w:rPr>
        <w:t>Podnikání a inovace pro konkurenceschopnost</w:t>
      </w:r>
    </w:p>
    <w:p w:rsidR="00F67C68" w:rsidRPr="000B521F" w:rsidRDefault="00F67C68"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Cílem </w:t>
      </w:r>
      <w:r w:rsidRPr="000B521F">
        <w:rPr>
          <w:rFonts w:ascii="Times New Roman" w:hAnsi="Times New Roman" w:cs="Times New Roman"/>
          <w:bCs/>
          <w:sz w:val="24"/>
          <w:szCs w:val="24"/>
        </w:rPr>
        <w:t>Operačního programu Podnikání a inovace pro konkurenceschopnost</w:t>
      </w:r>
      <w:r w:rsidRPr="000B521F">
        <w:rPr>
          <w:rFonts w:ascii="Times New Roman" w:hAnsi="Times New Roman" w:cs="Times New Roman"/>
          <w:sz w:val="24"/>
          <w:szCs w:val="24"/>
        </w:rPr>
        <w:t xml:space="preserve"> je dosažení konkurenceschopné a udržitelné ekonomiky založené na znalostech a inovacích.</w:t>
      </w:r>
    </w:p>
    <w:p w:rsidR="00F67C68" w:rsidRPr="000B521F" w:rsidRDefault="00F67C68"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bCs/>
          <w:sz w:val="24"/>
          <w:szCs w:val="24"/>
        </w:rPr>
        <w:t>Operační program je zaměřen na (1) Zvýšení počtu firem schopných posunovat či alespoň dosahovat technologickou hranici ve svém oboru</w:t>
      </w:r>
      <w:r w:rsidRPr="000B521F">
        <w:rPr>
          <w:rFonts w:ascii="Times New Roman" w:hAnsi="Times New Roman" w:cs="Times New Roman"/>
          <w:sz w:val="24"/>
          <w:szCs w:val="24"/>
        </w:rPr>
        <w:t xml:space="preserve">, přičemž důraz bude kladen na rozvoj podnikových výzkumných, vývojových a inovačních kapacit a jejich propojení s okolním prostředím. (2) </w:t>
      </w:r>
      <w:r w:rsidRPr="000B521F">
        <w:rPr>
          <w:rFonts w:ascii="Times New Roman" w:hAnsi="Times New Roman" w:cs="Times New Roman"/>
          <w:bCs/>
          <w:sz w:val="24"/>
          <w:szCs w:val="24"/>
        </w:rPr>
        <w:t>Rozvoj podnikání a inovací v oborech s nižší znalostní intenzitou, který se soustředí zejména na podporu realizace</w:t>
      </w:r>
      <w:r w:rsidRPr="000B521F">
        <w:rPr>
          <w:rFonts w:ascii="Times New Roman" w:hAnsi="Times New Roman" w:cs="Times New Roman"/>
          <w:sz w:val="24"/>
          <w:szCs w:val="24"/>
        </w:rPr>
        <w:t xml:space="preserve"> nových podnikatelských záměrů, včetně rozvoje služeb vedoucích ke zvýšení konkurenční výhody jednotlivých firem v mezinárodním prostředí. (3) </w:t>
      </w:r>
      <w:r w:rsidRPr="000B521F">
        <w:rPr>
          <w:rFonts w:ascii="Times New Roman" w:hAnsi="Times New Roman" w:cs="Times New Roman"/>
          <w:bCs/>
          <w:sz w:val="24"/>
          <w:szCs w:val="24"/>
        </w:rPr>
        <w:t xml:space="preserve">Posun k energeticky účinnému, nízkouhlíkovému hospodářství spočívající především ve </w:t>
      </w:r>
      <w:r w:rsidRPr="000B521F">
        <w:rPr>
          <w:rFonts w:ascii="Times New Roman" w:hAnsi="Times New Roman" w:cs="Times New Roman"/>
          <w:sz w:val="24"/>
          <w:szCs w:val="24"/>
        </w:rPr>
        <w:t xml:space="preserve">zvyšování energetické účinnosti podnikatelského sektoru, využívání obnovitelných zdrojů energie, modernizaci energetické infrastruktury a zavádění nových technologií v oblasti nakládání energií a druhotných surovin. (4) </w:t>
      </w:r>
      <w:r w:rsidRPr="000B521F">
        <w:rPr>
          <w:rFonts w:ascii="Times New Roman" w:hAnsi="Times New Roman" w:cs="Times New Roman"/>
          <w:bCs/>
          <w:sz w:val="24"/>
          <w:szCs w:val="24"/>
        </w:rPr>
        <w:t>Usnadnění rozvoje podnikání, služeb a přístupu ke službám státu prostřednictvím vysokorychlostního přístupu k internetu a širší nabídkou služeb informačních a komunikačních technologií</w:t>
      </w:r>
      <w:r w:rsidRPr="000B521F">
        <w:rPr>
          <w:rFonts w:ascii="Times New Roman" w:hAnsi="Times New Roman" w:cs="Times New Roman"/>
          <w:sz w:val="24"/>
          <w:szCs w:val="24"/>
        </w:rPr>
        <w:t xml:space="preserve">, neboť konkurenceschopnost informační společnosti je založena právě na efektivním využívání moderních služeb ICT. </w:t>
      </w:r>
    </w:p>
    <w:p w:rsidR="00F67C68" w:rsidRPr="000B521F" w:rsidRDefault="00F67C68"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Na základě strategických dokumentů EU a ČR a analýzy potřeb České republiky pro budoucí období kohezní politiky 2014–2020 byly pro OP PIK identifikovány čtyři věcně zaměřené prioritní osy, a jedna prioritní osa na technickou pomoc, pro podporu z Evropského fondu pro regionální rozvoj:</w:t>
      </w:r>
    </w:p>
    <w:p w:rsidR="008206A4" w:rsidRPr="000B521F" w:rsidRDefault="00F67C68" w:rsidP="0059011D">
      <w:pPr>
        <w:pStyle w:val="Odstavecseseznamem"/>
        <w:numPr>
          <w:ilvl w:val="0"/>
          <w:numId w:val="87"/>
        </w:num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Rozvoj výzkumu a vývoje pro inovace;</w:t>
      </w:r>
    </w:p>
    <w:p w:rsidR="008206A4" w:rsidRPr="000B521F" w:rsidRDefault="00F67C68" w:rsidP="0059011D">
      <w:pPr>
        <w:pStyle w:val="Odstavecseseznamem"/>
        <w:numPr>
          <w:ilvl w:val="0"/>
          <w:numId w:val="87"/>
        </w:num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Rozvoj podnikání a konkurenceschopnosti malých a středních firem;</w:t>
      </w:r>
    </w:p>
    <w:p w:rsidR="008206A4" w:rsidRPr="000B521F" w:rsidRDefault="00F67C68" w:rsidP="0059011D">
      <w:pPr>
        <w:pStyle w:val="Odstavecseseznamem"/>
        <w:numPr>
          <w:ilvl w:val="0"/>
          <w:numId w:val="87"/>
        </w:num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Účinné nakládání energií, rozvoj energetické infrastruktury a obnovitelných zdrojů energie, podpora zavádění nových technologií v oblasti nakládání energií a druhotných surovin;</w:t>
      </w:r>
    </w:p>
    <w:p w:rsidR="008206A4" w:rsidRPr="000B521F" w:rsidRDefault="00F67C68" w:rsidP="0059011D">
      <w:pPr>
        <w:pStyle w:val="Odstavecseseznamem"/>
        <w:numPr>
          <w:ilvl w:val="0"/>
          <w:numId w:val="87"/>
        </w:num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Rozvoj vysokorychlostních přístupových sítí k internetu a informačních a komunikačních technologií;</w:t>
      </w:r>
    </w:p>
    <w:p w:rsidR="008206A4" w:rsidRPr="000B521F" w:rsidRDefault="00F67C68" w:rsidP="0059011D">
      <w:pPr>
        <w:pStyle w:val="Odstavecseseznamem"/>
        <w:numPr>
          <w:ilvl w:val="0"/>
          <w:numId w:val="87"/>
        </w:num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Technická pomoc.</w:t>
      </w:r>
    </w:p>
    <w:p w:rsidR="000B521F" w:rsidRPr="000B521F" w:rsidRDefault="000B521F" w:rsidP="0059011D">
      <w:pPr>
        <w:spacing w:after="120" w:line="240" w:lineRule="auto"/>
        <w:jc w:val="both"/>
        <w:rPr>
          <w:rFonts w:ascii="Times New Roman" w:hAnsi="Times New Roman" w:cs="Times New Roman"/>
          <w:b/>
          <w:sz w:val="24"/>
          <w:szCs w:val="24"/>
        </w:rPr>
      </w:pPr>
    </w:p>
    <w:p w:rsidR="00F67C68" w:rsidRPr="000B521F" w:rsidRDefault="00F67C68" w:rsidP="0059011D">
      <w:pPr>
        <w:spacing w:after="120" w:line="240" w:lineRule="auto"/>
        <w:jc w:val="both"/>
        <w:rPr>
          <w:rFonts w:ascii="Times New Roman" w:hAnsi="Times New Roman" w:cs="Times New Roman"/>
          <w:b/>
          <w:sz w:val="24"/>
          <w:szCs w:val="24"/>
          <w:highlight w:val="yellow"/>
        </w:rPr>
      </w:pPr>
      <w:r w:rsidRPr="000B521F">
        <w:rPr>
          <w:rFonts w:ascii="Times New Roman" w:hAnsi="Times New Roman" w:cs="Times New Roman"/>
          <w:b/>
          <w:sz w:val="24"/>
          <w:szCs w:val="24"/>
        </w:rPr>
        <w:t xml:space="preserve">OP </w:t>
      </w:r>
      <w:r w:rsidR="00046F67" w:rsidRPr="000B521F">
        <w:rPr>
          <w:rFonts w:ascii="Times New Roman" w:hAnsi="Times New Roman" w:cs="Times New Roman"/>
          <w:b/>
          <w:sz w:val="24"/>
          <w:szCs w:val="24"/>
        </w:rPr>
        <w:t>Výzkum, vývoj a vzdělávání</w:t>
      </w:r>
    </w:p>
    <w:p w:rsidR="00F67C68" w:rsidRPr="000B521F" w:rsidRDefault="00F67C68"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Hlavním cílem Operačního programu Výzkum, vývoj a vzdělávání (OP VVV) je investice do rozvoje lidského potenciálu, která je jednou z důležitých forem veřejných investic. Vizí operačního programu je přispět ke strukturálnímu posunu ČR směrem k ekonomice založené na vzdělané, motivované a kreativní pracovní síle a na produkci kvalitních výsledků výzkumu.</w:t>
      </w:r>
    </w:p>
    <w:p w:rsidR="00F67C68" w:rsidRPr="000B521F" w:rsidRDefault="00F67C68"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Intervence v oblasti vzdělávání budou zároveň podpořeny systémovými změnami, které směřují ke zkvalitnění vzdělávacího systému naší země. Oblasti intervencí OP VVV zahrnují podporu rovnosti a kvality ve vzdělávání, rozvoj lepších kompetencí pro trh práce, posílení kapacit pro kvalitní výzkum a jeho přínos pro společnost. </w:t>
      </w:r>
    </w:p>
    <w:p w:rsidR="00F67C68" w:rsidRPr="000B521F" w:rsidRDefault="00F67C68"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Podpora příjemců ze všech stupňů vzdělávací a vědecko-výzkumné soustavy bude rozdělena do 3 prioritních os doplněných a prioritní osy Technická pomoc. Jejich výčet je následující:</w:t>
      </w:r>
    </w:p>
    <w:p w:rsidR="008206A4" w:rsidRPr="000B521F" w:rsidRDefault="00F67C68" w:rsidP="00267C96">
      <w:pPr>
        <w:numPr>
          <w:ilvl w:val="0"/>
          <w:numId w:val="88"/>
        </w:numPr>
        <w:spacing w:after="0" w:line="240" w:lineRule="auto"/>
        <w:ind w:left="714" w:hanging="357"/>
        <w:jc w:val="both"/>
        <w:rPr>
          <w:rFonts w:ascii="Times New Roman" w:hAnsi="Times New Roman" w:cs="Times New Roman"/>
          <w:sz w:val="24"/>
          <w:szCs w:val="24"/>
        </w:rPr>
      </w:pPr>
      <w:r w:rsidRPr="000B521F">
        <w:rPr>
          <w:rFonts w:ascii="Times New Roman" w:hAnsi="Times New Roman" w:cs="Times New Roman"/>
          <w:sz w:val="24"/>
          <w:szCs w:val="24"/>
        </w:rPr>
        <w:t>Posilování kapacit pro kvalitní výzkum;</w:t>
      </w:r>
    </w:p>
    <w:p w:rsidR="008206A4" w:rsidRPr="000B521F" w:rsidRDefault="00F67C68" w:rsidP="00267C96">
      <w:pPr>
        <w:numPr>
          <w:ilvl w:val="0"/>
          <w:numId w:val="88"/>
        </w:numPr>
        <w:spacing w:after="0" w:line="240" w:lineRule="auto"/>
        <w:ind w:left="714" w:hanging="357"/>
        <w:jc w:val="both"/>
        <w:rPr>
          <w:rFonts w:ascii="Times New Roman" w:hAnsi="Times New Roman" w:cs="Times New Roman"/>
          <w:sz w:val="24"/>
          <w:szCs w:val="24"/>
        </w:rPr>
      </w:pPr>
      <w:r w:rsidRPr="000B521F">
        <w:rPr>
          <w:rFonts w:ascii="Times New Roman" w:hAnsi="Times New Roman" w:cs="Times New Roman"/>
          <w:sz w:val="24"/>
          <w:szCs w:val="24"/>
        </w:rPr>
        <w:t>Rozvoj vysokých škol a lidských zdrojů pro výzkum a vývoj;</w:t>
      </w:r>
    </w:p>
    <w:p w:rsidR="008206A4" w:rsidRPr="000B521F" w:rsidRDefault="00F67C68" w:rsidP="00267C96">
      <w:pPr>
        <w:numPr>
          <w:ilvl w:val="0"/>
          <w:numId w:val="88"/>
        </w:numPr>
        <w:spacing w:after="0" w:line="240" w:lineRule="auto"/>
        <w:ind w:left="714" w:hanging="357"/>
        <w:jc w:val="both"/>
        <w:rPr>
          <w:rFonts w:ascii="Times New Roman" w:hAnsi="Times New Roman" w:cs="Times New Roman"/>
          <w:sz w:val="24"/>
          <w:szCs w:val="24"/>
        </w:rPr>
      </w:pPr>
      <w:r w:rsidRPr="000B521F">
        <w:rPr>
          <w:rFonts w:ascii="Times New Roman" w:hAnsi="Times New Roman" w:cs="Times New Roman"/>
          <w:sz w:val="24"/>
          <w:szCs w:val="24"/>
        </w:rPr>
        <w:t>Rovný přístup ke kvalitnímu předškolnímu, primárnímu a sekundárnímu vzdělávání;</w:t>
      </w:r>
    </w:p>
    <w:p w:rsidR="008206A4" w:rsidRPr="000B521F" w:rsidRDefault="00F67C68" w:rsidP="00267C96">
      <w:pPr>
        <w:numPr>
          <w:ilvl w:val="0"/>
          <w:numId w:val="88"/>
        </w:numPr>
        <w:spacing w:after="0" w:line="240" w:lineRule="auto"/>
        <w:ind w:left="714" w:hanging="357"/>
        <w:jc w:val="both"/>
        <w:rPr>
          <w:rFonts w:ascii="Times New Roman" w:hAnsi="Times New Roman" w:cs="Times New Roman"/>
          <w:sz w:val="24"/>
          <w:szCs w:val="24"/>
        </w:rPr>
      </w:pPr>
      <w:r w:rsidRPr="000B521F">
        <w:rPr>
          <w:rFonts w:ascii="Times New Roman" w:hAnsi="Times New Roman" w:cs="Times New Roman"/>
          <w:sz w:val="24"/>
          <w:szCs w:val="24"/>
        </w:rPr>
        <w:t>Technická pomoc.</w:t>
      </w:r>
    </w:p>
    <w:p w:rsidR="00F67C68" w:rsidRPr="000B521F" w:rsidRDefault="00F67C68" w:rsidP="0059011D">
      <w:pPr>
        <w:spacing w:after="120" w:line="240" w:lineRule="auto"/>
        <w:jc w:val="both"/>
        <w:rPr>
          <w:rFonts w:ascii="Times New Roman" w:hAnsi="Times New Roman" w:cs="Times New Roman"/>
          <w:sz w:val="24"/>
          <w:szCs w:val="24"/>
        </w:rPr>
      </w:pPr>
    </w:p>
    <w:p w:rsidR="00F67C68" w:rsidRPr="000B521F" w:rsidRDefault="00F67C68" w:rsidP="0059011D">
      <w:pPr>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OP Z</w:t>
      </w:r>
      <w:r w:rsidR="00046F67" w:rsidRPr="000B521F">
        <w:rPr>
          <w:rFonts w:ascii="Times New Roman" w:hAnsi="Times New Roman" w:cs="Times New Roman"/>
          <w:b/>
          <w:sz w:val="24"/>
          <w:szCs w:val="24"/>
        </w:rPr>
        <w:t>aměstnanost</w:t>
      </w:r>
    </w:p>
    <w:p w:rsidR="00F67C68" w:rsidRPr="000B521F" w:rsidRDefault="00F67C68" w:rsidP="0059011D">
      <w:pPr>
        <w:spacing w:after="120" w:line="240" w:lineRule="auto"/>
        <w:jc w:val="both"/>
        <w:rPr>
          <w:rFonts w:ascii="Times New Roman" w:hAnsi="Times New Roman" w:cs="Times New Roman"/>
          <w:bCs/>
          <w:color w:val="231F20"/>
          <w:sz w:val="24"/>
          <w:szCs w:val="24"/>
        </w:rPr>
      </w:pPr>
      <w:r w:rsidRPr="000B521F">
        <w:rPr>
          <w:rFonts w:ascii="Times New Roman" w:hAnsi="Times New Roman" w:cs="Times New Roman"/>
          <w:bCs/>
          <w:color w:val="231F20"/>
          <w:sz w:val="24"/>
          <w:szCs w:val="24"/>
        </w:rPr>
        <w:t>Cílem Operačního programu Zaměstnanost (OP Z) je zlepšení lidského kapitálu obyvatel ČR a veřejné správy v ČR, tedy základních prvků konkurenceschopnosti. ČR musí těmto oblastem věnovat značnou pozornost, pokud chce v současném komplexním světě obstát.</w:t>
      </w:r>
    </w:p>
    <w:p w:rsidR="00F67C68" w:rsidRPr="000B521F" w:rsidRDefault="00F67C68" w:rsidP="0059011D">
      <w:pPr>
        <w:spacing w:after="120" w:line="240" w:lineRule="auto"/>
        <w:jc w:val="both"/>
        <w:rPr>
          <w:rFonts w:ascii="Times New Roman" w:hAnsi="Times New Roman" w:cs="Times New Roman"/>
          <w:color w:val="231F20"/>
          <w:sz w:val="24"/>
          <w:szCs w:val="24"/>
        </w:rPr>
      </w:pPr>
      <w:r w:rsidRPr="000B521F">
        <w:rPr>
          <w:rFonts w:ascii="Times New Roman" w:hAnsi="Times New Roman" w:cs="Times New Roman"/>
          <w:color w:val="231F20"/>
          <w:sz w:val="24"/>
          <w:szCs w:val="24"/>
        </w:rPr>
        <w:t>OP Z je zaměřený na podporu zaměstnanosti, rovných příležitostí žen a mužů, adaptability zaměstnanců a zaměstnavatelů, dalšího vzdělávání, sociálního začleňování a boje s chudobou, zdravotních služeb, modernizaci veřejné správy a veřejných služeb a podporu mezinárodní spolupráce a sociálních inovací v oblasti zaměstnanosti, sociálního začleňování a veřejné správy.</w:t>
      </w:r>
      <w:r w:rsidRPr="000B521F">
        <w:rPr>
          <w:rFonts w:ascii="Times New Roman" w:hAnsi="Times New Roman" w:cs="Times New Roman"/>
          <w:color w:val="231F20"/>
          <w:sz w:val="24"/>
          <w:szCs w:val="24"/>
        </w:rPr>
        <w:br/>
        <w:t>OPZ obsahuje 5 prioritních os rozdělujících operační program na logické celky. Jejich vymezení vychází z klíčových národních i evropských strategických dokumentů, zkušeností z předešlých programových období i analýzy potřeb pro programové období 2014-2020. Prioritní osy OP Z jsou následující:</w:t>
      </w:r>
    </w:p>
    <w:p w:rsidR="008206A4" w:rsidRPr="000B521F" w:rsidRDefault="00F67C68" w:rsidP="00267C96">
      <w:pPr>
        <w:numPr>
          <w:ilvl w:val="0"/>
          <w:numId w:val="89"/>
        </w:numPr>
        <w:spacing w:after="0" w:line="240" w:lineRule="auto"/>
        <w:ind w:left="714" w:hanging="357"/>
        <w:jc w:val="both"/>
        <w:rPr>
          <w:rFonts w:ascii="Times New Roman" w:hAnsi="Times New Roman" w:cs="Times New Roman"/>
          <w:color w:val="231F20"/>
          <w:sz w:val="24"/>
          <w:szCs w:val="24"/>
        </w:rPr>
      </w:pPr>
      <w:r w:rsidRPr="000B521F">
        <w:rPr>
          <w:rFonts w:ascii="Times New Roman" w:hAnsi="Times New Roman" w:cs="Times New Roman"/>
          <w:color w:val="231F20"/>
          <w:sz w:val="24"/>
          <w:szCs w:val="24"/>
        </w:rPr>
        <w:t>Podpora zaměstnanosti a adaptability pracovní síly</w:t>
      </w:r>
      <w:r w:rsidR="00831CC0">
        <w:rPr>
          <w:rFonts w:ascii="Times New Roman" w:hAnsi="Times New Roman" w:cs="Times New Roman"/>
          <w:color w:val="231F20"/>
          <w:sz w:val="24"/>
          <w:szCs w:val="24"/>
        </w:rPr>
        <w:t>;</w:t>
      </w:r>
    </w:p>
    <w:p w:rsidR="008206A4" w:rsidRPr="000B521F" w:rsidRDefault="00F67C68" w:rsidP="00267C96">
      <w:pPr>
        <w:numPr>
          <w:ilvl w:val="0"/>
          <w:numId w:val="89"/>
        </w:numPr>
        <w:spacing w:after="0" w:line="240" w:lineRule="auto"/>
        <w:ind w:left="714" w:hanging="357"/>
        <w:jc w:val="both"/>
        <w:rPr>
          <w:rFonts w:ascii="Times New Roman" w:hAnsi="Times New Roman" w:cs="Times New Roman"/>
          <w:color w:val="231F20"/>
          <w:sz w:val="24"/>
          <w:szCs w:val="24"/>
        </w:rPr>
      </w:pPr>
      <w:r w:rsidRPr="000B521F">
        <w:rPr>
          <w:rFonts w:ascii="Times New Roman" w:hAnsi="Times New Roman" w:cs="Times New Roman"/>
          <w:color w:val="231F20"/>
          <w:sz w:val="24"/>
          <w:szCs w:val="24"/>
        </w:rPr>
        <w:t>Sociální začleňování a boj s</w:t>
      </w:r>
      <w:r w:rsidR="00831CC0">
        <w:rPr>
          <w:rFonts w:ascii="Times New Roman" w:hAnsi="Times New Roman" w:cs="Times New Roman"/>
          <w:color w:val="231F20"/>
          <w:sz w:val="24"/>
          <w:szCs w:val="24"/>
        </w:rPr>
        <w:t> </w:t>
      </w:r>
      <w:r w:rsidRPr="000B521F">
        <w:rPr>
          <w:rFonts w:ascii="Times New Roman" w:hAnsi="Times New Roman" w:cs="Times New Roman"/>
          <w:color w:val="231F20"/>
          <w:sz w:val="24"/>
          <w:szCs w:val="24"/>
        </w:rPr>
        <w:t>chudobou</w:t>
      </w:r>
      <w:r w:rsidR="00831CC0">
        <w:rPr>
          <w:rFonts w:ascii="Times New Roman" w:hAnsi="Times New Roman" w:cs="Times New Roman"/>
          <w:color w:val="231F20"/>
          <w:sz w:val="24"/>
          <w:szCs w:val="24"/>
        </w:rPr>
        <w:t>;</w:t>
      </w:r>
    </w:p>
    <w:p w:rsidR="008206A4" w:rsidRPr="000B521F" w:rsidRDefault="00F67C68" w:rsidP="00267C96">
      <w:pPr>
        <w:numPr>
          <w:ilvl w:val="0"/>
          <w:numId w:val="89"/>
        </w:numPr>
        <w:spacing w:after="0" w:line="240" w:lineRule="auto"/>
        <w:ind w:left="714" w:hanging="357"/>
        <w:jc w:val="both"/>
        <w:rPr>
          <w:rFonts w:ascii="Times New Roman" w:hAnsi="Times New Roman" w:cs="Times New Roman"/>
          <w:color w:val="231F20"/>
          <w:sz w:val="24"/>
          <w:szCs w:val="24"/>
        </w:rPr>
      </w:pPr>
      <w:r w:rsidRPr="000B521F">
        <w:rPr>
          <w:rFonts w:ascii="Times New Roman" w:hAnsi="Times New Roman" w:cs="Times New Roman"/>
          <w:color w:val="231F20"/>
          <w:sz w:val="24"/>
          <w:szCs w:val="24"/>
        </w:rPr>
        <w:t>Sociální inovace a mezinárodní spolupráce</w:t>
      </w:r>
      <w:r w:rsidR="00831CC0">
        <w:rPr>
          <w:rFonts w:ascii="Times New Roman" w:hAnsi="Times New Roman" w:cs="Times New Roman"/>
          <w:color w:val="231F20"/>
          <w:sz w:val="24"/>
          <w:szCs w:val="24"/>
        </w:rPr>
        <w:t>;</w:t>
      </w:r>
    </w:p>
    <w:p w:rsidR="008206A4" w:rsidRPr="000B521F" w:rsidRDefault="00F67C68" w:rsidP="00267C96">
      <w:pPr>
        <w:numPr>
          <w:ilvl w:val="0"/>
          <w:numId w:val="89"/>
        </w:numPr>
        <w:spacing w:after="0" w:line="240" w:lineRule="auto"/>
        <w:ind w:left="714" w:hanging="357"/>
        <w:jc w:val="both"/>
        <w:rPr>
          <w:rFonts w:ascii="Times New Roman" w:hAnsi="Times New Roman" w:cs="Times New Roman"/>
          <w:color w:val="231F20"/>
          <w:sz w:val="24"/>
          <w:szCs w:val="24"/>
        </w:rPr>
      </w:pPr>
      <w:r w:rsidRPr="000B521F">
        <w:rPr>
          <w:rFonts w:ascii="Times New Roman" w:hAnsi="Times New Roman" w:cs="Times New Roman"/>
          <w:color w:val="231F20"/>
          <w:sz w:val="24"/>
          <w:szCs w:val="24"/>
        </w:rPr>
        <w:t>Efektivní veřejná správa</w:t>
      </w:r>
      <w:r w:rsidR="00831CC0">
        <w:rPr>
          <w:rFonts w:ascii="Times New Roman" w:hAnsi="Times New Roman" w:cs="Times New Roman"/>
          <w:color w:val="231F20"/>
          <w:sz w:val="24"/>
          <w:szCs w:val="24"/>
        </w:rPr>
        <w:t>;</w:t>
      </w:r>
    </w:p>
    <w:p w:rsidR="008206A4" w:rsidRPr="000B521F" w:rsidRDefault="00F67C68" w:rsidP="00267C96">
      <w:pPr>
        <w:numPr>
          <w:ilvl w:val="0"/>
          <w:numId w:val="89"/>
        </w:numPr>
        <w:spacing w:after="0" w:line="240" w:lineRule="auto"/>
        <w:ind w:left="714" w:hanging="357"/>
        <w:jc w:val="both"/>
        <w:rPr>
          <w:rFonts w:ascii="Times New Roman" w:hAnsi="Times New Roman" w:cs="Times New Roman"/>
          <w:color w:val="231F20"/>
          <w:sz w:val="24"/>
          <w:szCs w:val="24"/>
        </w:rPr>
      </w:pPr>
      <w:r w:rsidRPr="000B521F">
        <w:rPr>
          <w:rFonts w:ascii="Times New Roman" w:hAnsi="Times New Roman" w:cs="Times New Roman"/>
          <w:color w:val="231F20"/>
          <w:sz w:val="24"/>
          <w:szCs w:val="24"/>
        </w:rPr>
        <w:t>Technická pomoc</w:t>
      </w:r>
      <w:r w:rsidR="00831CC0">
        <w:rPr>
          <w:rFonts w:ascii="Times New Roman" w:hAnsi="Times New Roman" w:cs="Times New Roman"/>
          <w:color w:val="231F20"/>
          <w:sz w:val="24"/>
          <w:szCs w:val="24"/>
        </w:rPr>
        <w:t>.</w:t>
      </w:r>
    </w:p>
    <w:p w:rsidR="00F67C68" w:rsidRPr="000B521F" w:rsidRDefault="00F67C68" w:rsidP="0059011D">
      <w:pPr>
        <w:spacing w:after="120" w:line="240" w:lineRule="auto"/>
        <w:jc w:val="both"/>
        <w:rPr>
          <w:rFonts w:ascii="Times New Roman" w:hAnsi="Times New Roman" w:cs="Times New Roman"/>
          <w:sz w:val="24"/>
          <w:szCs w:val="24"/>
        </w:rPr>
      </w:pPr>
    </w:p>
    <w:p w:rsidR="00F67C68" w:rsidRPr="000B521F" w:rsidRDefault="00F67C68" w:rsidP="0059011D">
      <w:pPr>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OP D</w:t>
      </w:r>
      <w:r w:rsidR="00046F67" w:rsidRPr="000B521F">
        <w:rPr>
          <w:rFonts w:ascii="Times New Roman" w:hAnsi="Times New Roman" w:cs="Times New Roman"/>
          <w:b/>
          <w:sz w:val="24"/>
          <w:szCs w:val="24"/>
        </w:rPr>
        <w:t>oprava</w:t>
      </w:r>
    </w:p>
    <w:p w:rsidR="00F67C68" w:rsidRPr="000B521F" w:rsidRDefault="00F67C68" w:rsidP="0059011D">
      <w:pPr>
        <w:spacing w:after="120" w:line="240" w:lineRule="auto"/>
        <w:jc w:val="both"/>
        <w:rPr>
          <w:rFonts w:ascii="Times New Roman" w:hAnsi="Times New Roman" w:cs="Times New Roman"/>
          <w:noProof/>
          <w:sz w:val="24"/>
          <w:szCs w:val="24"/>
        </w:rPr>
      </w:pPr>
      <w:r w:rsidRPr="000B521F">
        <w:rPr>
          <w:rFonts w:ascii="Times New Roman" w:hAnsi="Times New Roman" w:cs="Times New Roman"/>
          <w:sz w:val="24"/>
          <w:szCs w:val="24"/>
        </w:rPr>
        <w:t xml:space="preserve">Hlavním cílem Operačního programu Doprava (OP D) je zajištění kvalitní dopravní infrastruktury v celé ČR. </w:t>
      </w:r>
      <w:r w:rsidRPr="000B521F">
        <w:rPr>
          <w:rFonts w:ascii="Times New Roman" w:hAnsi="Times New Roman" w:cs="Times New Roman"/>
          <w:noProof/>
          <w:sz w:val="24"/>
          <w:szCs w:val="24"/>
        </w:rPr>
        <w:t>Sektor dopravy je jednou z důležitých oblastí národního hospodářství, která ovlivňuje prakticky všechny oblasti veřejného i soukromého života a podnikatelské sféry. Kvalitní dopravní infrastruktura je nutnou podmínkou pro zvyšování konkurenceschopnosti celého státu i jeho regionů. Její nerovnoměrná kvalita je i jednou z příčin územních rozdílů.</w:t>
      </w:r>
    </w:p>
    <w:p w:rsidR="00F67C68" w:rsidRPr="000B521F" w:rsidRDefault="00F67C68" w:rsidP="0059011D">
      <w:pPr>
        <w:spacing w:after="120" w:line="240" w:lineRule="auto"/>
        <w:jc w:val="both"/>
        <w:rPr>
          <w:rFonts w:ascii="Times New Roman" w:hAnsi="Times New Roman" w:cs="Times New Roman"/>
          <w:noProof/>
          <w:sz w:val="24"/>
          <w:szCs w:val="24"/>
        </w:rPr>
      </w:pPr>
      <w:r w:rsidRPr="000B521F">
        <w:rPr>
          <w:rFonts w:ascii="Times New Roman" w:hAnsi="Times New Roman" w:cs="Times New Roman"/>
          <w:noProof/>
          <w:sz w:val="24"/>
          <w:szCs w:val="24"/>
        </w:rPr>
        <w:t>OP Doprava navazuje na stejnojmenný OP z programového období 2007</w:t>
      </w:r>
      <w:r w:rsidR="00831CC0">
        <w:rPr>
          <w:rFonts w:ascii="Times New Roman" w:hAnsi="Times New Roman" w:cs="Times New Roman"/>
          <w:color w:val="000000"/>
          <w:sz w:val="24"/>
          <w:szCs w:val="24"/>
        </w:rPr>
        <w:t>–</w:t>
      </w:r>
      <w:r w:rsidRPr="000B521F">
        <w:rPr>
          <w:rFonts w:ascii="Times New Roman" w:hAnsi="Times New Roman" w:cs="Times New Roman"/>
          <w:noProof/>
          <w:sz w:val="24"/>
          <w:szCs w:val="24"/>
        </w:rPr>
        <w:t>2013. Vychází z strategických dokumentů EU i ČR i analýzy potřeb pro programové období 2014</w:t>
      </w:r>
      <w:r w:rsidR="00831CC0">
        <w:rPr>
          <w:rFonts w:ascii="Times New Roman" w:hAnsi="Times New Roman" w:cs="Times New Roman"/>
          <w:color w:val="000000"/>
          <w:sz w:val="24"/>
          <w:szCs w:val="24"/>
        </w:rPr>
        <w:t>–</w:t>
      </w:r>
      <w:r w:rsidRPr="000B521F">
        <w:rPr>
          <w:rFonts w:ascii="Times New Roman" w:hAnsi="Times New Roman" w:cs="Times New Roman"/>
          <w:noProof/>
          <w:sz w:val="24"/>
          <w:szCs w:val="24"/>
        </w:rPr>
        <w:t>2020.</w:t>
      </w:r>
    </w:p>
    <w:p w:rsidR="00F67C68" w:rsidRPr="000B521F" w:rsidRDefault="00F67C68" w:rsidP="0059011D">
      <w:pPr>
        <w:spacing w:after="120" w:line="240" w:lineRule="auto"/>
        <w:jc w:val="both"/>
        <w:rPr>
          <w:rFonts w:ascii="Times New Roman" w:hAnsi="Times New Roman" w:cs="Times New Roman"/>
          <w:noProof/>
          <w:sz w:val="24"/>
          <w:szCs w:val="24"/>
        </w:rPr>
      </w:pPr>
      <w:r w:rsidRPr="000B521F">
        <w:rPr>
          <w:rFonts w:ascii="Times New Roman" w:hAnsi="Times New Roman" w:cs="Times New Roman"/>
          <w:noProof/>
          <w:sz w:val="24"/>
          <w:szCs w:val="24"/>
        </w:rPr>
        <w:t>Podpora v rámci tohoto OP bude hlavně zaměřena na výstavbu a modenizaci železničních tratí, silnic a dálnic, vnitrozemských vodních cest, multimodální dopravu, infrastrukturu drážních systémů městské a příměstské dopravy, zavádění ITS, enviromentálně čistý dopravní park či rozvoj napájecích stanic alternaticních energií. OP D se bude skládat ze 4 prioritních os:</w:t>
      </w:r>
    </w:p>
    <w:p w:rsidR="008206A4" w:rsidRPr="000B521F" w:rsidRDefault="00F67C68" w:rsidP="0059011D">
      <w:pPr>
        <w:pStyle w:val="Text1"/>
        <w:keepLines/>
        <w:numPr>
          <w:ilvl w:val="0"/>
          <w:numId w:val="90"/>
        </w:numPr>
        <w:spacing w:after="0"/>
        <w:ind w:left="714" w:hanging="357"/>
        <w:rPr>
          <w:szCs w:val="24"/>
          <w:lang w:val="cs-CZ"/>
        </w:rPr>
      </w:pPr>
      <w:r w:rsidRPr="000B521F">
        <w:rPr>
          <w:szCs w:val="24"/>
          <w:lang w:val="cs-CZ"/>
        </w:rPr>
        <w:t>Infrastruktura pro železniční a další udržitelnou dopravu;</w:t>
      </w:r>
    </w:p>
    <w:p w:rsidR="008206A4" w:rsidRPr="000B521F" w:rsidRDefault="00F67C68" w:rsidP="0059011D">
      <w:pPr>
        <w:pStyle w:val="Text1"/>
        <w:keepLines/>
        <w:numPr>
          <w:ilvl w:val="0"/>
          <w:numId w:val="90"/>
        </w:numPr>
        <w:spacing w:after="0"/>
        <w:ind w:left="714" w:hanging="357"/>
        <w:rPr>
          <w:szCs w:val="24"/>
          <w:lang w:val="cs-CZ"/>
        </w:rPr>
      </w:pPr>
      <w:r w:rsidRPr="000B521F">
        <w:rPr>
          <w:szCs w:val="24"/>
          <w:lang w:val="cs-CZ"/>
        </w:rPr>
        <w:t>Silniční infrastruktura na síti TEN-T a veřejná infrastruktura pro čistou mobilitu;</w:t>
      </w:r>
    </w:p>
    <w:p w:rsidR="008206A4" w:rsidRPr="000B521F" w:rsidRDefault="00F67C68" w:rsidP="0059011D">
      <w:pPr>
        <w:pStyle w:val="Text1"/>
        <w:keepLines/>
        <w:numPr>
          <w:ilvl w:val="0"/>
          <w:numId w:val="90"/>
        </w:numPr>
        <w:spacing w:after="0"/>
        <w:ind w:left="714" w:hanging="357"/>
        <w:rPr>
          <w:szCs w:val="24"/>
          <w:lang w:val="cs-CZ"/>
        </w:rPr>
      </w:pPr>
      <w:r w:rsidRPr="000B521F">
        <w:rPr>
          <w:szCs w:val="24"/>
          <w:lang w:val="cs-CZ"/>
        </w:rPr>
        <w:t>Silniční infrastruktura mimo síť TEN-T;</w:t>
      </w:r>
    </w:p>
    <w:p w:rsidR="008206A4" w:rsidRPr="000B521F" w:rsidRDefault="00F67C68" w:rsidP="0059011D">
      <w:pPr>
        <w:pStyle w:val="Text1"/>
        <w:keepLines/>
        <w:numPr>
          <w:ilvl w:val="0"/>
          <w:numId w:val="90"/>
        </w:numPr>
        <w:spacing w:after="0"/>
        <w:ind w:left="714" w:hanging="357"/>
        <w:rPr>
          <w:szCs w:val="24"/>
          <w:lang w:val="cs-CZ"/>
        </w:rPr>
      </w:pPr>
      <w:r w:rsidRPr="000B521F">
        <w:rPr>
          <w:szCs w:val="24"/>
          <w:lang w:val="cs-CZ"/>
        </w:rPr>
        <w:t>Technická pomoc.</w:t>
      </w:r>
    </w:p>
    <w:p w:rsidR="00F67C68" w:rsidRPr="000B521F" w:rsidRDefault="00F67C68" w:rsidP="0059011D">
      <w:pPr>
        <w:spacing w:after="120" w:line="240" w:lineRule="auto"/>
        <w:jc w:val="both"/>
        <w:rPr>
          <w:rFonts w:ascii="Times New Roman" w:hAnsi="Times New Roman" w:cs="Times New Roman"/>
          <w:sz w:val="24"/>
          <w:szCs w:val="24"/>
        </w:rPr>
      </w:pPr>
    </w:p>
    <w:p w:rsidR="00F67C68" w:rsidRPr="000B521F" w:rsidRDefault="00F67C68" w:rsidP="0059011D">
      <w:pPr>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OP Ž</w:t>
      </w:r>
      <w:r w:rsidR="00046F67" w:rsidRPr="000B521F">
        <w:rPr>
          <w:rFonts w:ascii="Times New Roman" w:hAnsi="Times New Roman" w:cs="Times New Roman"/>
          <w:b/>
          <w:sz w:val="24"/>
          <w:szCs w:val="24"/>
        </w:rPr>
        <w:t>ivotní prostředí</w:t>
      </w:r>
    </w:p>
    <w:p w:rsidR="00F67C68" w:rsidRPr="000B521F" w:rsidRDefault="00F67C68"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Hlavním cílem Operačního programu Životní prostředí (OP ŽP) je dobrý stav životního prostředí ve všech jeho složkách a kvalitní environmentální infrastruktura. Životní prostředí je významných faktorem kvality života a jeho dobrý stav zároveň nutnou podmínkou udržitelného rozvoje.</w:t>
      </w:r>
    </w:p>
    <w:p w:rsidR="00F67C68" w:rsidRPr="000B521F" w:rsidRDefault="00F67C68" w:rsidP="0059011D">
      <w:pPr>
        <w:spacing w:after="120" w:line="240" w:lineRule="auto"/>
        <w:jc w:val="both"/>
        <w:rPr>
          <w:rFonts w:ascii="Times New Roman" w:hAnsi="Times New Roman" w:cs="Times New Roman"/>
          <w:noProof/>
          <w:sz w:val="24"/>
          <w:szCs w:val="24"/>
        </w:rPr>
      </w:pPr>
      <w:r w:rsidRPr="000B521F">
        <w:rPr>
          <w:rFonts w:ascii="Times New Roman" w:hAnsi="Times New Roman" w:cs="Times New Roman"/>
          <w:sz w:val="24"/>
          <w:szCs w:val="24"/>
        </w:rPr>
        <w:lastRenderedPageBreak/>
        <w:t xml:space="preserve">OP ŽP navazuje na </w:t>
      </w:r>
      <w:r w:rsidRPr="000B521F">
        <w:rPr>
          <w:rFonts w:ascii="Times New Roman" w:hAnsi="Times New Roman" w:cs="Times New Roman"/>
          <w:noProof/>
          <w:sz w:val="24"/>
          <w:szCs w:val="24"/>
        </w:rPr>
        <w:t>stejnojmenný OP z programového období 2007</w:t>
      </w:r>
      <w:r w:rsidR="00831CC0">
        <w:rPr>
          <w:rFonts w:ascii="Times New Roman" w:hAnsi="Times New Roman" w:cs="Times New Roman"/>
          <w:color w:val="000000"/>
          <w:sz w:val="24"/>
          <w:szCs w:val="24"/>
        </w:rPr>
        <w:t>–</w:t>
      </w:r>
      <w:r w:rsidRPr="000B521F">
        <w:rPr>
          <w:rFonts w:ascii="Times New Roman" w:hAnsi="Times New Roman" w:cs="Times New Roman"/>
          <w:noProof/>
          <w:sz w:val="24"/>
          <w:szCs w:val="24"/>
        </w:rPr>
        <w:t>2013. Vychází ze strategických dokumentů EU i ČR i analýzy potřeb pro programové období 2014</w:t>
      </w:r>
      <w:r w:rsidR="00831CC0">
        <w:rPr>
          <w:rFonts w:ascii="Times New Roman" w:hAnsi="Times New Roman" w:cs="Times New Roman"/>
          <w:color w:val="000000"/>
          <w:sz w:val="24"/>
          <w:szCs w:val="24"/>
        </w:rPr>
        <w:t>–</w:t>
      </w:r>
      <w:r w:rsidRPr="000B521F">
        <w:rPr>
          <w:rFonts w:ascii="Times New Roman" w:hAnsi="Times New Roman" w:cs="Times New Roman"/>
          <w:noProof/>
          <w:sz w:val="24"/>
          <w:szCs w:val="24"/>
        </w:rPr>
        <w:t>2020.</w:t>
      </w:r>
    </w:p>
    <w:p w:rsidR="00E300E5" w:rsidRPr="000B521F" w:rsidRDefault="00F67C68"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OP ŽP je rozdělen do 5 tematických prioritních os a prioritní osy Technická pomoc. Zaměřen bude na</w:t>
      </w:r>
      <w:r w:rsidR="00E300E5" w:rsidRPr="000B521F">
        <w:rPr>
          <w:rFonts w:ascii="Times New Roman" w:hAnsi="Times New Roman" w:cs="Times New Roman"/>
          <w:sz w:val="24"/>
          <w:szCs w:val="24"/>
        </w:rPr>
        <w:t>:</w:t>
      </w:r>
    </w:p>
    <w:p w:rsidR="008206A4" w:rsidRPr="000B521F" w:rsidRDefault="00F67C68" w:rsidP="0059011D">
      <w:pPr>
        <w:pStyle w:val="Odstavecseseznamem"/>
        <w:numPr>
          <w:ilvl w:val="0"/>
          <w:numId w:val="110"/>
        </w:num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Zlepšení kvality vody a snižování rizika povodní;</w:t>
      </w:r>
    </w:p>
    <w:p w:rsidR="008206A4" w:rsidRPr="000B521F" w:rsidRDefault="00F67C68" w:rsidP="0059011D">
      <w:pPr>
        <w:pStyle w:val="Odstavecseseznamem"/>
        <w:numPr>
          <w:ilvl w:val="0"/>
          <w:numId w:val="110"/>
        </w:num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Zlepšování kvality ovzduší v lidských sídlech;</w:t>
      </w:r>
    </w:p>
    <w:p w:rsidR="008206A4" w:rsidRPr="000B521F" w:rsidRDefault="00F67C68" w:rsidP="0059011D">
      <w:pPr>
        <w:pStyle w:val="Odstavecseseznamem"/>
        <w:numPr>
          <w:ilvl w:val="0"/>
          <w:numId w:val="110"/>
        </w:num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Odpady a materiálové toky, ekologické zátěže a rizika;</w:t>
      </w:r>
    </w:p>
    <w:p w:rsidR="008206A4" w:rsidRPr="000B521F" w:rsidRDefault="00F67C68" w:rsidP="0059011D">
      <w:pPr>
        <w:pStyle w:val="Odstavecseseznamem"/>
        <w:numPr>
          <w:ilvl w:val="0"/>
          <w:numId w:val="110"/>
        </w:num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Och</w:t>
      </w:r>
      <w:r w:rsidR="00E300E5" w:rsidRPr="000B521F">
        <w:rPr>
          <w:rFonts w:ascii="Times New Roman" w:hAnsi="Times New Roman" w:cs="Times New Roman"/>
          <w:sz w:val="24"/>
          <w:szCs w:val="24"/>
        </w:rPr>
        <w:t>ranu a péči o přírodu a krajinu;</w:t>
      </w:r>
    </w:p>
    <w:p w:rsidR="008206A4" w:rsidRPr="000B521F" w:rsidRDefault="00F67C68" w:rsidP="0059011D">
      <w:pPr>
        <w:pStyle w:val="Odstavecseseznamem"/>
        <w:numPr>
          <w:ilvl w:val="0"/>
          <w:numId w:val="110"/>
        </w:num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Energetické úspory.</w:t>
      </w:r>
    </w:p>
    <w:p w:rsidR="00F67C68" w:rsidRPr="000B521F" w:rsidRDefault="00F67C68" w:rsidP="0059011D">
      <w:pPr>
        <w:spacing w:after="120" w:line="240" w:lineRule="auto"/>
        <w:jc w:val="both"/>
        <w:rPr>
          <w:rFonts w:ascii="Times New Roman" w:hAnsi="Times New Roman" w:cs="Times New Roman"/>
          <w:sz w:val="24"/>
          <w:szCs w:val="24"/>
        </w:rPr>
      </w:pPr>
    </w:p>
    <w:p w:rsidR="00F67C68" w:rsidRPr="000B521F" w:rsidRDefault="00F67C68" w:rsidP="0059011D">
      <w:pPr>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I</w:t>
      </w:r>
      <w:r w:rsidR="00046F67" w:rsidRPr="000B521F">
        <w:rPr>
          <w:rFonts w:ascii="Times New Roman" w:hAnsi="Times New Roman" w:cs="Times New Roman"/>
          <w:b/>
          <w:sz w:val="24"/>
          <w:szCs w:val="24"/>
        </w:rPr>
        <w:t>ntegrovaný regionální operační program</w:t>
      </w:r>
    </w:p>
    <w:p w:rsidR="00F67C68" w:rsidRPr="000B521F" w:rsidRDefault="00F67C68" w:rsidP="0059011D">
      <w:pPr>
        <w:spacing w:after="120" w:line="240" w:lineRule="auto"/>
        <w:jc w:val="both"/>
        <w:rPr>
          <w:rFonts w:ascii="Times New Roman" w:hAnsi="Times New Roman" w:cs="Times New Roman"/>
          <w:color w:val="231F20"/>
          <w:sz w:val="24"/>
          <w:szCs w:val="24"/>
        </w:rPr>
      </w:pPr>
      <w:r w:rsidRPr="000B521F">
        <w:rPr>
          <w:rFonts w:ascii="Times New Roman" w:hAnsi="Times New Roman" w:cs="Times New Roman"/>
          <w:color w:val="231F20"/>
          <w:sz w:val="24"/>
          <w:szCs w:val="24"/>
        </w:rPr>
        <w:t>Integrovaný regionální operační program (IROP) navazuje na sedm regionálních operačních programů a částečně na Integrovaný operační program z programového období 2007</w:t>
      </w:r>
      <w:r w:rsidR="00831CC0">
        <w:rPr>
          <w:rFonts w:ascii="Times New Roman" w:hAnsi="Times New Roman" w:cs="Times New Roman"/>
          <w:color w:val="000000"/>
          <w:sz w:val="24"/>
          <w:szCs w:val="24"/>
        </w:rPr>
        <w:t>–</w:t>
      </w:r>
      <w:r w:rsidRPr="000B521F">
        <w:rPr>
          <w:rFonts w:ascii="Times New Roman" w:hAnsi="Times New Roman" w:cs="Times New Roman"/>
          <w:color w:val="231F20"/>
          <w:sz w:val="24"/>
          <w:szCs w:val="24"/>
        </w:rPr>
        <w:t>2013. Prioritou IROPu je umožnění vyváženého rozvoje území, zlepšení veřejných služeb a veřejné správy a zajištění udržitelného rozvoje v obcích, městech a regionech.</w:t>
      </w:r>
    </w:p>
    <w:p w:rsidR="00F67C68" w:rsidRPr="000B521F" w:rsidRDefault="00F67C68" w:rsidP="0059011D">
      <w:pPr>
        <w:spacing w:after="120" w:line="240" w:lineRule="auto"/>
        <w:jc w:val="both"/>
        <w:rPr>
          <w:rFonts w:ascii="Times New Roman" w:hAnsi="Times New Roman" w:cs="Times New Roman"/>
          <w:color w:val="231F20"/>
          <w:sz w:val="24"/>
          <w:szCs w:val="24"/>
        </w:rPr>
      </w:pPr>
      <w:r w:rsidRPr="000B521F">
        <w:rPr>
          <w:rFonts w:ascii="Times New Roman" w:hAnsi="Times New Roman" w:cs="Times New Roman"/>
          <w:color w:val="231F20"/>
          <w:sz w:val="24"/>
          <w:szCs w:val="24"/>
        </w:rPr>
        <w:t>IROP bude zaměřen na snižování územních rozdílů, zkvalitnění infrastruktury a posílení konkurenceschopnosti v regionech, posílení veřejných služeb, zaměstnanost a podporu vzdělanosti, jako jednoho z pilířů zvyšování kvality života obyvatel, a posílení institucionální kapacity veřejné správy.</w:t>
      </w:r>
    </w:p>
    <w:p w:rsidR="00F67C68" w:rsidRPr="000B521F" w:rsidRDefault="00F67C68" w:rsidP="0059011D">
      <w:pPr>
        <w:spacing w:after="120" w:line="240" w:lineRule="auto"/>
        <w:jc w:val="both"/>
        <w:rPr>
          <w:rFonts w:ascii="Times New Roman" w:hAnsi="Times New Roman" w:cs="Times New Roman"/>
          <w:color w:val="231F20"/>
          <w:sz w:val="24"/>
          <w:szCs w:val="24"/>
        </w:rPr>
      </w:pPr>
      <w:r w:rsidRPr="000B521F">
        <w:rPr>
          <w:rFonts w:ascii="Times New Roman" w:hAnsi="Times New Roman" w:cs="Times New Roman"/>
          <w:color w:val="231F20"/>
          <w:sz w:val="24"/>
          <w:szCs w:val="24"/>
        </w:rPr>
        <w:t xml:space="preserve"> Strukturován bude </w:t>
      </w:r>
      <w:r w:rsidR="008D6C19" w:rsidRPr="000B521F">
        <w:rPr>
          <w:rFonts w:ascii="Times New Roman" w:hAnsi="Times New Roman" w:cs="Times New Roman"/>
          <w:color w:val="231F20"/>
          <w:sz w:val="24"/>
          <w:szCs w:val="24"/>
        </w:rPr>
        <w:t>d</w:t>
      </w:r>
      <w:r w:rsidRPr="000B521F">
        <w:rPr>
          <w:rFonts w:ascii="Times New Roman" w:hAnsi="Times New Roman" w:cs="Times New Roman"/>
          <w:color w:val="231F20"/>
          <w:sz w:val="24"/>
          <w:szCs w:val="24"/>
        </w:rPr>
        <w:t>o tě</w:t>
      </w:r>
      <w:r w:rsidR="008D6C19" w:rsidRPr="000B521F">
        <w:rPr>
          <w:rFonts w:ascii="Times New Roman" w:hAnsi="Times New Roman" w:cs="Times New Roman"/>
          <w:color w:val="231F20"/>
          <w:sz w:val="24"/>
          <w:szCs w:val="24"/>
        </w:rPr>
        <w:t>c</w:t>
      </w:r>
      <w:r w:rsidRPr="000B521F">
        <w:rPr>
          <w:rFonts w:ascii="Times New Roman" w:hAnsi="Times New Roman" w:cs="Times New Roman"/>
          <w:color w:val="231F20"/>
          <w:sz w:val="24"/>
          <w:szCs w:val="24"/>
        </w:rPr>
        <w:t>hto prioritních os:</w:t>
      </w:r>
    </w:p>
    <w:p w:rsidR="008206A4" w:rsidRPr="000B521F" w:rsidRDefault="00F67C68" w:rsidP="0059011D">
      <w:pPr>
        <w:pStyle w:val="Odstavecseseznamem"/>
        <w:numPr>
          <w:ilvl w:val="0"/>
          <w:numId w:val="91"/>
        </w:numPr>
        <w:spacing w:after="120" w:line="240" w:lineRule="auto"/>
        <w:jc w:val="both"/>
        <w:rPr>
          <w:rFonts w:ascii="Times New Roman" w:hAnsi="Times New Roman" w:cs="Times New Roman"/>
          <w:color w:val="231F20"/>
          <w:sz w:val="24"/>
          <w:szCs w:val="24"/>
        </w:rPr>
      </w:pPr>
      <w:r w:rsidRPr="000B521F">
        <w:rPr>
          <w:rFonts w:ascii="Times New Roman" w:hAnsi="Times New Roman" w:cs="Times New Roman"/>
          <w:color w:val="231F20"/>
          <w:sz w:val="24"/>
          <w:szCs w:val="24"/>
        </w:rPr>
        <w:t>Konkurenceschopné, dostupné a bezpečné regiony;</w:t>
      </w:r>
    </w:p>
    <w:p w:rsidR="008206A4" w:rsidRPr="000B521F" w:rsidRDefault="00F67C68" w:rsidP="0059011D">
      <w:pPr>
        <w:pStyle w:val="Odstavecseseznamem"/>
        <w:numPr>
          <w:ilvl w:val="0"/>
          <w:numId w:val="91"/>
        </w:numPr>
        <w:spacing w:after="120" w:line="240" w:lineRule="auto"/>
        <w:jc w:val="both"/>
        <w:rPr>
          <w:rFonts w:ascii="Times New Roman" w:hAnsi="Times New Roman" w:cs="Times New Roman"/>
          <w:color w:val="231F20"/>
          <w:sz w:val="24"/>
          <w:szCs w:val="24"/>
        </w:rPr>
      </w:pPr>
      <w:r w:rsidRPr="000B521F">
        <w:rPr>
          <w:rFonts w:ascii="Times New Roman" w:hAnsi="Times New Roman" w:cs="Times New Roman"/>
          <w:color w:val="231F20"/>
          <w:sz w:val="24"/>
          <w:szCs w:val="24"/>
        </w:rPr>
        <w:t>Zkvalitnění veřejných služeb a podmínek života pro obyvatele regionů;</w:t>
      </w:r>
    </w:p>
    <w:p w:rsidR="008206A4" w:rsidRPr="000B521F" w:rsidRDefault="00F67C68" w:rsidP="0059011D">
      <w:pPr>
        <w:pStyle w:val="Odstavecseseznamem"/>
        <w:numPr>
          <w:ilvl w:val="0"/>
          <w:numId w:val="91"/>
        </w:numPr>
        <w:spacing w:after="120" w:line="240" w:lineRule="auto"/>
        <w:jc w:val="both"/>
        <w:rPr>
          <w:rFonts w:ascii="Times New Roman" w:hAnsi="Times New Roman" w:cs="Times New Roman"/>
          <w:color w:val="231F20"/>
          <w:sz w:val="24"/>
          <w:szCs w:val="24"/>
        </w:rPr>
      </w:pPr>
      <w:r w:rsidRPr="000B521F">
        <w:rPr>
          <w:rFonts w:ascii="Times New Roman" w:hAnsi="Times New Roman" w:cs="Times New Roman"/>
          <w:color w:val="231F20"/>
          <w:sz w:val="24"/>
          <w:szCs w:val="24"/>
        </w:rPr>
        <w:t>Dobrá správa území a zefektivnění veřejných institucí;</w:t>
      </w:r>
    </w:p>
    <w:p w:rsidR="008206A4" w:rsidRPr="000B521F" w:rsidRDefault="00F67C68" w:rsidP="0059011D">
      <w:pPr>
        <w:pStyle w:val="Odstavecseseznamem"/>
        <w:numPr>
          <w:ilvl w:val="0"/>
          <w:numId w:val="91"/>
        </w:numPr>
        <w:spacing w:after="120" w:line="240" w:lineRule="auto"/>
        <w:jc w:val="both"/>
        <w:rPr>
          <w:rFonts w:ascii="Times New Roman" w:hAnsi="Times New Roman" w:cs="Times New Roman"/>
          <w:color w:val="231F20"/>
          <w:sz w:val="24"/>
          <w:szCs w:val="24"/>
        </w:rPr>
      </w:pPr>
      <w:r w:rsidRPr="000B521F">
        <w:rPr>
          <w:rFonts w:ascii="Times New Roman" w:hAnsi="Times New Roman" w:cs="Times New Roman"/>
          <w:color w:val="231F20"/>
          <w:sz w:val="24"/>
          <w:szCs w:val="24"/>
        </w:rPr>
        <w:t>Technická pomoc.</w:t>
      </w:r>
    </w:p>
    <w:p w:rsidR="00F67C68" w:rsidRPr="000B521F" w:rsidRDefault="00F67C68" w:rsidP="0059011D">
      <w:pPr>
        <w:spacing w:after="120" w:line="240" w:lineRule="auto"/>
        <w:jc w:val="both"/>
        <w:rPr>
          <w:rFonts w:ascii="Times New Roman" w:hAnsi="Times New Roman" w:cs="Times New Roman"/>
          <w:sz w:val="24"/>
          <w:szCs w:val="24"/>
        </w:rPr>
      </w:pPr>
    </w:p>
    <w:p w:rsidR="00F67C68" w:rsidRPr="000B521F" w:rsidRDefault="00F67C68" w:rsidP="0059011D">
      <w:pPr>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OP Praha</w:t>
      </w:r>
      <w:r w:rsidR="00046F67" w:rsidRPr="000B521F">
        <w:rPr>
          <w:rFonts w:ascii="Times New Roman" w:hAnsi="Times New Roman" w:cs="Times New Roman"/>
          <w:b/>
          <w:sz w:val="24"/>
          <w:szCs w:val="24"/>
        </w:rPr>
        <w:t xml:space="preserve"> – pól růstu</w:t>
      </w:r>
    </w:p>
    <w:p w:rsidR="00F67C68" w:rsidRPr="000B521F" w:rsidRDefault="00F67C68" w:rsidP="0059011D">
      <w:pPr>
        <w:spacing w:after="120" w:line="240" w:lineRule="auto"/>
        <w:jc w:val="both"/>
        <w:rPr>
          <w:rFonts w:ascii="Times New Roman" w:hAnsi="Times New Roman" w:cs="Times New Roman"/>
          <w:bCs/>
          <w:color w:val="231F20"/>
          <w:sz w:val="24"/>
          <w:szCs w:val="24"/>
        </w:rPr>
      </w:pPr>
      <w:r w:rsidRPr="000B521F">
        <w:rPr>
          <w:rFonts w:ascii="Times New Roman" w:hAnsi="Times New Roman" w:cs="Times New Roman"/>
          <w:bCs/>
          <w:color w:val="231F20"/>
          <w:sz w:val="24"/>
          <w:szCs w:val="24"/>
        </w:rPr>
        <w:t xml:space="preserve">Praha patří mezi nejbohatší regiony Evropské unie (měřeno HDP na 1 obyvatele). OP Praha – pól růstu ČR (OP Praha) si klade za cíl být, aby Praha byla i nadále dynamickým a konkurenceschopným městem, které bude ve svých funkcích splňovat všechny aspekty hlavního města České republiky jako jejího významného pólu růstu s dopadem na celý středoevropský region. </w:t>
      </w:r>
    </w:p>
    <w:p w:rsidR="00F67C68" w:rsidRPr="000B521F" w:rsidRDefault="00F67C68" w:rsidP="0059011D">
      <w:pPr>
        <w:spacing w:after="120" w:line="240" w:lineRule="auto"/>
        <w:jc w:val="both"/>
        <w:rPr>
          <w:rFonts w:ascii="Times New Roman" w:hAnsi="Times New Roman" w:cs="Times New Roman"/>
          <w:color w:val="231F20"/>
          <w:sz w:val="24"/>
          <w:szCs w:val="24"/>
        </w:rPr>
      </w:pPr>
      <w:r w:rsidRPr="000B521F">
        <w:rPr>
          <w:rFonts w:ascii="Times New Roman" w:hAnsi="Times New Roman" w:cs="Times New Roman"/>
          <w:color w:val="231F20"/>
          <w:sz w:val="24"/>
          <w:szCs w:val="24"/>
        </w:rPr>
        <w:t>Operační program OP Praha, naváže na operační programy Praha Adaptabilita a Praha Konkurenceschopnost. Bude se jednat o multifondový operační program, tzn. bude financován z Evropského sociálního fondu i z Evropského fondu pro regionální rozvoj a umožní tak podporu investičních projektů i rozvoj lidských zdrojů.</w:t>
      </w:r>
    </w:p>
    <w:p w:rsidR="00F67C68" w:rsidRDefault="00F67C68" w:rsidP="0059011D">
      <w:pPr>
        <w:spacing w:after="120" w:line="240" w:lineRule="auto"/>
        <w:jc w:val="both"/>
        <w:rPr>
          <w:rFonts w:ascii="Times New Roman" w:hAnsi="Times New Roman" w:cs="Times New Roman"/>
          <w:color w:val="231F20"/>
          <w:sz w:val="24"/>
          <w:szCs w:val="24"/>
        </w:rPr>
      </w:pPr>
      <w:r w:rsidRPr="000B521F">
        <w:rPr>
          <w:rFonts w:ascii="Times New Roman" w:hAnsi="Times New Roman" w:cs="Times New Roman"/>
          <w:color w:val="231F20"/>
          <w:sz w:val="24"/>
          <w:szCs w:val="24"/>
        </w:rPr>
        <w:t xml:space="preserve">Mezi intervence a oblasti, které budou v dalším období pro Prahu určující a které budou podporovány prostřednictvím OP Praha  patří využití kvalitního lidského a inovačního potenciálu v oblasti výzkumu, vývoje a inovací; podpora malých a středních podniků; energetické úspory a podpora posunu směrem k nízkouhlíkovému hospodářství; podpora vzdělávání a rovných příležitostí. </w:t>
      </w:r>
    </w:p>
    <w:p w:rsidR="005A0E49" w:rsidRPr="000B521F" w:rsidRDefault="005A0E49" w:rsidP="005A0E49">
      <w:pPr>
        <w:spacing w:after="120" w:line="240" w:lineRule="auto"/>
        <w:jc w:val="both"/>
        <w:rPr>
          <w:rFonts w:ascii="Times New Roman" w:hAnsi="Times New Roman" w:cs="Times New Roman"/>
          <w:color w:val="231F20"/>
          <w:sz w:val="24"/>
          <w:szCs w:val="24"/>
        </w:rPr>
      </w:pPr>
      <w:r w:rsidRPr="000B521F">
        <w:rPr>
          <w:rFonts w:ascii="Times New Roman" w:hAnsi="Times New Roman" w:cs="Times New Roman"/>
          <w:color w:val="231F20"/>
          <w:sz w:val="24"/>
          <w:szCs w:val="24"/>
        </w:rPr>
        <w:t> Strukturován bude do těchto prioritních os:</w:t>
      </w:r>
    </w:p>
    <w:p w:rsidR="005A0E49" w:rsidRPr="000B521F" w:rsidRDefault="005A0E49" w:rsidP="005A0E49">
      <w:pPr>
        <w:pStyle w:val="Odstavecseseznamem"/>
        <w:numPr>
          <w:ilvl w:val="0"/>
          <w:numId w:val="157"/>
        </w:numPr>
        <w:spacing w:after="120" w:line="240" w:lineRule="auto"/>
        <w:jc w:val="both"/>
        <w:rPr>
          <w:rFonts w:ascii="Times New Roman" w:hAnsi="Times New Roman" w:cs="Times New Roman"/>
          <w:color w:val="231F20"/>
          <w:sz w:val="24"/>
          <w:szCs w:val="24"/>
        </w:rPr>
      </w:pPr>
      <w:r w:rsidRPr="005A0E49">
        <w:rPr>
          <w:rFonts w:ascii="Times New Roman" w:hAnsi="Times New Roman" w:cs="Times New Roman"/>
          <w:color w:val="231F20"/>
          <w:sz w:val="24"/>
          <w:szCs w:val="24"/>
        </w:rPr>
        <w:t>Posílení výzkumu, tec</w:t>
      </w:r>
      <w:r>
        <w:rPr>
          <w:rFonts w:ascii="Times New Roman" w:hAnsi="Times New Roman" w:cs="Times New Roman"/>
          <w:color w:val="231F20"/>
          <w:sz w:val="24"/>
          <w:szCs w:val="24"/>
        </w:rPr>
        <w:t>hnologického rozvoje a inovací</w:t>
      </w:r>
      <w:r w:rsidRPr="000B521F">
        <w:rPr>
          <w:rFonts w:ascii="Times New Roman" w:hAnsi="Times New Roman" w:cs="Times New Roman"/>
          <w:color w:val="231F20"/>
          <w:sz w:val="24"/>
          <w:szCs w:val="24"/>
        </w:rPr>
        <w:t>;</w:t>
      </w:r>
    </w:p>
    <w:p w:rsidR="005A0E49" w:rsidRPr="000B521F" w:rsidRDefault="005A0E49" w:rsidP="005A0E49">
      <w:pPr>
        <w:pStyle w:val="Odstavecseseznamem"/>
        <w:numPr>
          <w:ilvl w:val="0"/>
          <w:numId w:val="157"/>
        </w:numPr>
        <w:spacing w:after="120" w:line="240" w:lineRule="auto"/>
        <w:jc w:val="both"/>
        <w:rPr>
          <w:rFonts w:ascii="Times New Roman" w:hAnsi="Times New Roman" w:cs="Times New Roman"/>
          <w:color w:val="231F20"/>
          <w:sz w:val="24"/>
          <w:szCs w:val="24"/>
        </w:rPr>
      </w:pPr>
      <w:r w:rsidRPr="005A0E49">
        <w:rPr>
          <w:rFonts w:ascii="Times New Roman" w:hAnsi="Times New Roman" w:cs="Times New Roman"/>
          <w:color w:val="231F20"/>
          <w:sz w:val="24"/>
          <w:szCs w:val="24"/>
        </w:rPr>
        <w:t>Udržitelná mobilita a energetické úspory</w:t>
      </w:r>
      <w:r w:rsidRPr="000B521F">
        <w:rPr>
          <w:rFonts w:ascii="Times New Roman" w:hAnsi="Times New Roman" w:cs="Times New Roman"/>
          <w:color w:val="231F20"/>
          <w:sz w:val="24"/>
          <w:szCs w:val="24"/>
        </w:rPr>
        <w:t>;</w:t>
      </w:r>
    </w:p>
    <w:p w:rsidR="005A0E49" w:rsidRPr="000B521F" w:rsidRDefault="005A0E49" w:rsidP="005A0E49">
      <w:pPr>
        <w:pStyle w:val="Odstavecseseznamem"/>
        <w:numPr>
          <w:ilvl w:val="0"/>
          <w:numId w:val="157"/>
        </w:numPr>
        <w:spacing w:after="120" w:line="240" w:lineRule="auto"/>
        <w:jc w:val="both"/>
        <w:rPr>
          <w:rFonts w:ascii="Times New Roman" w:hAnsi="Times New Roman" w:cs="Times New Roman"/>
          <w:color w:val="231F20"/>
          <w:sz w:val="24"/>
          <w:szCs w:val="24"/>
        </w:rPr>
      </w:pPr>
      <w:r w:rsidRPr="005A0E49">
        <w:rPr>
          <w:rFonts w:ascii="Times New Roman" w:hAnsi="Times New Roman" w:cs="Times New Roman"/>
          <w:color w:val="231F20"/>
          <w:sz w:val="24"/>
          <w:szCs w:val="24"/>
        </w:rPr>
        <w:t>Podpora sociálního začleňování a boj proti chudobě</w:t>
      </w:r>
      <w:r w:rsidRPr="000B521F">
        <w:rPr>
          <w:rFonts w:ascii="Times New Roman" w:hAnsi="Times New Roman" w:cs="Times New Roman"/>
          <w:color w:val="231F20"/>
          <w:sz w:val="24"/>
          <w:szCs w:val="24"/>
        </w:rPr>
        <w:t>;</w:t>
      </w:r>
    </w:p>
    <w:p w:rsidR="005A0E49" w:rsidRDefault="008B2343" w:rsidP="005A0E49">
      <w:pPr>
        <w:pStyle w:val="Odstavecseseznamem"/>
        <w:numPr>
          <w:ilvl w:val="0"/>
          <w:numId w:val="157"/>
        </w:numPr>
        <w:spacing w:after="120" w:line="240" w:lineRule="auto"/>
        <w:jc w:val="both"/>
        <w:rPr>
          <w:rFonts w:ascii="Times New Roman" w:hAnsi="Times New Roman" w:cs="Times New Roman"/>
          <w:color w:val="231F20"/>
          <w:sz w:val="24"/>
          <w:szCs w:val="24"/>
        </w:rPr>
      </w:pPr>
      <w:r w:rsidRPr="008B2343">
        <w:rPr>
          <w:rFonts w:ascii="Times New Roman" w:hAnsi="Times New Roman" w:cs="Times New Roman"/>
          <w:color w:val="231F20"/>
          <w:sz w:val="24"/>
          <w:szCs w:val="24"/>
        </w:rPr>
        <w:lastRenderedPageBreak/>
        <w:t>Vzdělávání a vzdělanost</w:t>
      </w:r>
      <w:r>
        <w:rPr>
          <w:rFonts w:ascii="Times New Roman" w:hAnsi="Times New Roman" w:cs="Times New Roman"/>
          <w:color w:val="231F20"/>
          <w:sz w:val="24"/>
          <w:szCs w:val="24"/>
        </w:rPr>
        <w:t>;</w:t>
      </w:r>
    </w:p>
    <w:p w:rsidR="008B2343" w:rsidRPr="000B521F" w:rsidRDefault="008B2343" w:rsidP="005A0E49">
      <w:pPr>
        <w:pStyle w:val="Odstavecseseznamem"/>
        <w:numPr>
          <w:ilvl w:val="0"/>
          <w:numId w:val="157"/>
        </w:numPr>
        <w:spacing w:after="120" w:line="24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Technická pomoc</w:t>
      </w:r>
    </w:p>
    <w:p w:rsidR="005A0E49" w:rsidRPr="000B521F" w:rsidRDefault="005A0E49" w:rsidP="0059011D">
      <w:pPr>
        <w:spacing w:after="120" w:line="240" w:lineRule="auto"/>
        <w:jc w:val="both"/>
        <w:rPr>
          <w:rFonts w:ascii="Times New Roman" w:hAnsi="Times New Roman" w:cs="Times New Roman"/>
          <w:color w:val="231F20"/>
          <w:sz w:val="24"/>
          <w:szCs w:val="24"/>
        </w:rPr>
      </w:pPr>
    </w:p>
    <w:p w:rsidR="00F67C68" w:rsidRPr="000B521F" w:rsidRDefault="00F67C68" w:rsidP="0059011D">
      <w:pPr>
        <w:spacing w:after="120" w:line="240" w:lineRule="auto"/>
        <w:jc w:val="both"/>
        <w:rPr>
          <w:rFonts w:ascii="Times New Roman" w:hAnsi="Times New Roman" w:cs="Times New Roman"/>
          <w:sz w:val="24"/>
          <w:szCs w:val="24"/>
        </w:rPr>
      </w:pPr>
    </w:p>
    <w:p w:rsidR="00F67C68" w:rsidRPr="000B521F" w:rsidRDefault="00F67C68" w:rsidP="0059011D">
      <w:pPr>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OP Rybářství</w:t>
      </w:r>
    </w:p>
    <w:p w:rsidR="00F67C68" w:rsidRPr="000B521F" w:rsidRDefault="00F67C68"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Globálním cílem Ope</w:t>
      </w:r>
      <w:r w:rsidR="00831CC0">
        <w:rPr>
          <w:rFonts w:ascii="Times New Roman" w:hAnsi="Times New Roman" w:cs="Times New Roman"/>
          <w:sz w:val="24"/>
          <w:szCs w:val="24"/>
        </w:rPr>
        <w:t>račního programu Rybářství 2014</w:t>
      </w:r>
      <w:r w:rsidRPr="000B521F">
        <w:rPr>
          <w:rFonts w:ascii="Times New Roman" w:hAnsi="Times New Roman" w:cs="Times New Roman"/>
          <w:sz w:val="24"/>
          <w:szCs w:val="24"/>
        </w:rPr>
        <w:t>–2020 (OP Rybářství) je udržitelná a konkurenceschopná akvakultura založená na inovacích, konkurenceschopnosti, znalostech a účinnějším využití zdrojů. Cílem je rozvoj udržitelného chovu ryb v České republice a zajištění rovnoměrných dodávek sladkovodních ryb během roku na domácí trh včetně rozvoje mimoprodukčních funkcí rybníků. Je nezbytné rozvíjet tradiční a osvědčené formy akvakultury (rybníkářství) pro zajištění produkce kapra a současně zavádět moderní intenzivní chovné systémy k zajištění celoročních dodávek ryb na trh.</w:t>
      </w:r>
    </w:p>
    <w:p w:rsidR="00F67C68" w:rsidRPr="000B521F" w:rsidRDefault="00F67C68"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Podpora z OP Rybářství je zaměřena na zachování udržitelné produkce tržních ryb z tradiční akvakultury v České republice, investice do recirkulačních zařízení, investice do konkurenceschopnosti tradiční akvakultury, zvýšení podílu zpracovaných ryb, propagaci akvakultury a podporu konzumace ryb, podporu rybářského výzkumu a vývoj nových nebo inovovaných produktů a technologií a jejich zavádění do podniků, podporu forem hospodaření přispívající k zachování či zlepšování stavu životního prostředí a biologické rozmanitosti a na celoživotní vzdělávání.</w:t>
      </w:r>
    </w:p>
    <w:p w:rsidR="00F67C68" w:rsidRPr="000B521F" w:rsidRDefault="00F67C68" w:rsidP="0059011D">
      <w:pPr>
        <w:spacing w:after="120" w:line="240" w:lineRule="auto"/>
        <w:jc w:val="both"/>
        <w:rPr>
          <w:rFonts w:ascii="Times New Roman" w:hAnsi="Times New Roman" w:cs="Times New Roman"/>
          <w:sz w:val="24"/>
          <w:szCs w:val="24"/>
        </w:rPr>
      </w:pPr>
    </w:p>
    <w:p w:rsidR="00F67C68" w:rsidRPr="000B521F" w:rsidRDefault="00F67C68" w:rsidP="0059011D">
      <w:pPr>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P</w:t>
      </w:r>
      <w:r w:rsidR="00046F67" w:rsidRPr="000B521F">
        <w:rPr>
          <w:rFonts w:ascii="Times New Roman" w:hAnsi="Times New Roman" w:cs="Times New Roman"/>
          <w:b/>
          <w:sz w:val="24"/>
          <w:szCs w:val="24"/>
        </w:rPr>
        <w:t>rogram rozvoje venkova</w:t>
      </w:r>
    </w:p>
    <w:p w:rsidR="00F67C68" w:rsidRPr="000B521F" w:rsidRDefault="00F67C68"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bCs/>
          <w:sz w:val="24"/>
          <w:szCs w:val="24"/>
        </w:rPr>
        <w:t xml:space="preserve">Program rozvoje venkova na období 2014–2020  (PRV) je nástrojem k čerpání dotací z Evropského zemědělského fondu pro rozvoj venkova.  </w:t>
      </w:r>
      <w:r w:rsidRPr="000B521F">
        <w:rPr>
          <w:rFonts w:ascii="Times New Roman" w:hAnsi="Times New Roman" w:cs="Times New Roman"/>
          <w:sz w:val="24"/>
          <w:szCs w:val="24"/>
        </w:rPr>
        <w:t>PRV přispěje ke zlepšení stavu životního prostředí obnovou, zachováním a zlepšením ekosystémů souvisejících se zemědělstvím a lesnictvím a podporou účinného využívání zdrojů v odvětvích zemědělství, potravinářství a lesnictví. PRV dále umožní vytvořit podmínky pro růst konkurenceschopnosti zemědělských a potravinářských podniků, napomůže lepší organizaci potravinového řetězce, včetně zpracovávání zemědělských produktů a jejich uvádění na trh. Program bude také podporovat diverzifikaci ekonomických aktivit ve venkovském prostoru s cílem vytvářet nová pracovní místa a zvýšit hospodářský rozvoj. Podporován bude komunitně vedený místní rozvoj, resp. metoda LEADER, která přispívá k lepšímu zacílení podpory na místní potřeby daného venkovského území a rozvoji spolupráce aktérů na místní úrovni.  Horizontální prioritou je předávání znalostí a inovací formou vzdělávacích aktivit a poradenstvím a spolupráce v oblasti  zemědělství a lesnictví.</w:t>
      </w:r>
    </w:p>
    <w:p w:rsidR="00F67C68" w:rsidRPr="000B521F" w:rsidRDefault="00F67C68" w:rsidP="0059011D">
      <w:pPr>
        <w:spacing w:after="120" w:line="240" w:lineRule="auto"/>
        <w:jc w:val="both"/>
        <w:rPr>
          <w:rFonts w:ascii="Times New Roman" w:hAnsi="Times New Roman" w:cs="Times New Roman"/>
          <w:sz w:val="24"/>
          <w:szCs w:val="24"/>
        </w:rPr>
      </w:pPr>
    </w:p>
    <w:p w:rsidR="00F67C68" w:rsidRPr="000B521F" w:rsidRDefault="00F67C68" w:rsidP="0059011D">
      <w:pPr>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OP T</w:t>
      </w:r>
      <w:r w:rsidR="00046F67" w:rsidRPr="000B521F">
        <w:rPr>
          <w:rFonts w:ascii="Times New Roman" w:hAnsi="Times New Roman" w:cs="Times New Roman"/>
          <w:b/>
          <w:sz w:val="24"/>
          <w:szCs w:val="24"/>
        </w:rPr>
        <w:t>echnická pomoc</w:t>
      </w:r>
    </w:p>
    <w:p w:rsidR="00F67C68" w:rsidRPr="000B521F" w:rsidRDefault="00F67C68"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Smyslem Operačního programu Technická pomoc (OP TP) je financování administrativy a doplňkových činností nutných pro zdárný chod celého systému čerpání s ESI </w:t>
      </w:r>
      <w:r w:rsidR="00831CC0">
        <w:rPr>
          <w:rFonts w:ascii="Times New Roman" w:hAnsi="Times New Roman" w:cs="Times New Roman"/>
          <w:sz w:val="24"/>
          <w:szCs w:val="24"/>
        </w:rPr>
        <w:t>fondů v programovém období 2014</w:t>
      </w:r>
      <w:r w:rsidR="00831CC0">
        <w:rPr>
          <w:rFonts w:ascii="Times New Roman" w:hAnsi="Times New Roman" w:cs="Times New Roman"/>
          <w:color w:val="000000"/>
          <w:sz w:val="24"/>
          <w:szCs w:val="24"/>
        </w:rPr>
        <w:t>–</w:t>
      </w:r>
      <w:r w:rsidRPr="000B521F">
        <w:rPr>
          <w:rFonts w:ascii="Times New Roman" w:hAnsi="Times New Roman" w:cs="Times New Roman"/>
          <w:sz w:val="24"/>
          <w:szCs w:val="24"/>
        </w:rPr>
        <w:t>2020. OP TP bude stěžejní pro zajištění úspěšného působení Národního orgánu pro koordinaci i jiných orgánů. Cílem OP TP je, aby prostředky z ESI fondů byly využity v co nejvyšší míře a co nejefektivněji.</w:t>
      </w:r>
    </w:p>
    <w:p w:rsidR="004C78CE" w:rsidRPr="000B521F" w:rsidRDefault="004C78CE" w:rsidP="0059011D">
      <w:pPr>
        <w:spacing w:after="120" w:line="240" w:lineRule="auto"/>
        <w:jc w:val="both"/>
        <w:rPr>
          <w:rFonts w:ascii="Times New Roman" w:hAnsi="Times New Roman" w:cs="Times New Roman"/>
          <w:b/>
          <w:sz w:val="24"/>
          <w:szCs w:val="24"/>
        </w:rPr>
      </w:pPr>
      <w:r w:rsidRPr="000B521F">
        <w:rPr>
          <w:rFonts w:ascii="Times New Roman" w:hAnsi="Times New Roman" w:cs="Times New Roman"/>
          <w:sz w:val="24"/>
          <w:szCs w:val="24"/>
        </w:rPr>
        <w:t>OP TP navazuje na stejnojmenný program z programového období 2007</w:t>
      </w:r>
      <w:r w:rsidR="00831CC0">
        <w:rPr>
          <w:rFonts w:ascii="Times New Roman" w:hAnsi="Times New Roman" w:cs="Times New Roman"/>
          <w:color w:val="000000"/>
          <w:sz w:val="24"/>
          <w:szCs w:val="24"/>
        </w:rPr>
        <w:t>–</w:t>
      </w:r>
      <w:r w:rsidRPr="000B521F">
        <w:rPr>
          <w:rFonts w:ascii="Times New Roman" w:hAnsi="Times New Roman" w:cs="Times New Roman"/>
          <w:sz w:val="24"/>
          <w:szCs w:val="24"/>
        </w:rPr>
        <w:t xml:space="preserve">2013. Zaměřen bude na </w:t>
      </w:r>
      <w:r w:rsidR="00006212">
        <w:rPr>
          <w:rFonts w:ascii="Times New Roman" w:hAnsi="Times New Roman" w:cs="Times New Roman"/>
          <w:sz w:val="24"/>
          <w:szCs w:val="24"/>
        </w:rPr>
        <w:t>vytvoření podmínek pro</w:t>
      </w:r>
      <w:r w:rsidRPr="000B521F">
        <w:rPr>
          <w:rFonts w:ascii="Times New Roman" w:hAnsi="Times New Roman" w:cs="Times New Roman"/>
          <w:sz w:val="24"/>
          <w:szCs w:val="24"/>
        </w:rPr>
        <w:t xml:space="preserve"> naplňování cílů, které stanoví Dohoda o partnerství,</w:t>
      </w:r>
      <w:r w:rsidR="00006212">
        <w:rPr>
          <w:rFonts w:ascii="Times New Roman" w:hAnsi="Times New Roman" w:cs="Times New Roman"/>
          <w:sz w:val="24"/>
          <w:szCs w:val="24"/>
        </w:rPr>
        <w:t xml:space="preserve"> včetně uplatnění principu partnerství</w:t>
      </w:r>
      <w:r w:rsidRPr="000B521F">
        <w:rPr>
          <w:rFonts w:ascii="Times New Roman" w:hAnsi="Times New Roman" w:cs="Times New Roman"/>
          <w:sz w:val="24"/>
          <w:szCs w:val="24"/>
        </w:rPr>
        <w:t xml:space="preserve"> </w:t>
      </w:r>
      <w:r w:rsidR="00006212">
        <w:rPr>
          <w:rFonts w:ascii="Times New Roman" w:hAnsi="Times New Roman" w:cs="Times New Roman"/>
          <w:sz w:val="24"/>
          <w:szCs w:val="24"/>
        </w:rPr>
        <w:t xml:space="preserve">také s partnery vně veřejné správy, </w:t>
      </w:r>
      <w:r w:rsidRPr="000B521F">
        <w:rPr>
          <w:rFonts w:ascii="Times New Roman" w:hAnsi="Times New Roman" w:cs="Times New Roman"/>
          <w:sz w:val="24"/>
          <w:szCs w:val="24"/>
        </w:rPr>
        <w:t>přípravu programového období 2021+, zajištění publicity</w:t>
      </w:r>
      <w:r w:rsidR="00006212">
        <w:rPr>
          <w:rFonts w:ascii="Times New Roman" w:hAnsi="Times New Roman" w:cs="Times New Roman"/>
          <w:sz w:val="24"/>
          <w:szCs w:val="24"/>
        </w:rPr>
        <w:t xml:space="preserve"> a absorpční kapacity především formou poskytování </w:t>
      </w:r>
      <w:r w:rsidR="00006212">
        <w:rPr>
          <w:rFonts w:ascii="Times New Roman" w:hAnsi="Times New Roman" w:cs="Times New Roman"/>
          <w:sz w:val="24"/>
          <w:szCs w:val="24"/>
        </w:rPr>
        <w:lastRenderedPageBreak/>
        <w:t>informací, podpory integrovaných přístupů</w:t>
      </w:r>
      <w:r w:rsidRPr="000B521F">
        <w:rPr>
          <w:rFonts w:ascii="Times New Roman" w:hAnsi="Times New Roman" w:cs="Times New Roman"/>
          <w:sz w:val="24"/>
          <w:szCs w:val="24"/>
        </w:rPr>
        <w:t xml:space="preserve">, zajištění fungujícího Jednotného metodického prostředí </w:t>
      </w:r>
      <w:r w:rsidR="00006212">
        <w:rPr>
          <w:rFonts w:ascii="Times New Roman" w:hAnsi="Times New Roman" w:cs="Times New Roman"/>
          <w:sz w:val="24"/>
          <w:szCs w:val="24"/>
        </w:rPr>
        <w:t xml:space="preserve">a </w:t>
      </w:r>
      <w:r w:rsidRPr="000B521F">
        <w:rPr>
          <w:rFonts w:ascii="Times New Roman" w:hAnsi="Times New Roman" w:cs="Times New Roman"/>
          <w:sz w:val="24"/>
          <w:szCs w:val="24"/>
        </w:rPr>
        <w:t>rozvoj lidských zdrojů na úrovni Dohody o partnerství</w:t>
      </w:r>
      <w:r w:rsidR="00006212">
        <w:rPr>
          <w:rFonts w:ascii="Times New Roman" w:hAnsi="Times New Roman" w:cs="Times New Roman"/>
          <w:sz w:val="24"/>
          <w:szCs w:val="24"/>
        </w:rPr>
        <w:t>.</w:t>
      </w:r>
    </w:p>
    <w:p w:rsidR="008D6C19" w:rsidRPr="000B521F" w:rsidRDefault="008D6C19" w:rsidP="0059011D">
      <w:pPr>
        <w:spacing w:after="120" w:line="240" w:lineRule="auto"/>
        <w:jc w:val="both"/>
        <w:rPr>
          <w:rFonts w:ascii="Times New Roman" w:hAnsi="Times New Roman" w:cs="Times New Roman"/>
          <w:color w:val="231F20"/>
          <w:sz w:val="24"/>
          <w:szCs w:val="24"/>
        </w:rPr>
      </w:pPr>
      <w:r w:rsidRPr="000B521F">
        <w:rPr>
          <w:rFonts w:ascii="Times New Roman" w:hAnsi="Times New Roman" w:cs="Times New Roman"/>
          <w:color w:val="231F20"/>
          <w:sz w:val="24"/>
          <w:szCs w:val="24"/>
        </w:rPr>
        <w:t> Strukturován bude do těchto prioritních os:</w:t>
      </w:r>
    </w:p>
    <w:p w:rsidR="008206A4" w:rsidRPr="000B521F" w:rsidRDefault="008D6C19" w:rsidP="0059011D">
      <w:pPr>
        <w:pStyle w:val="Odstavecseseznamem"/>
        <w:numPr>
          <w:ilvl w:val="0"/>
          <w:numId w:val="111"/>
        </w:numPr>
        <w:spacing w:after="120" w:line="240" w:lineRule="auto"/>
        <w:jc w:val="both"/>
        <w:rPr>
          <w:rFonts w:ascii="Times New Roman" w:hAnsi="Times New Roman" w:cs="Times New Roman"/>
          <w:color w:val="231F20"/>
          <w:sz w:val="24"/>
          <w:szCs w:val="24"/>
        </w:rPr>
      </w:pPr>
      <w:r w:rsidRPr="000B521F">
        <w:rPr>
          <w:rFonts w:ascii="Times New Roman" w:hAnsi="Times New Roman" w:cs="Times New Roman"/>
          <w:color w:val="231F20"/>
          <w:sz w:val="24"/>
          <w:szCs w:val="24"/>
        </w:rPr>
        <w:t>Řízení a koordinace Dohody o partnerství;</w:t>
      </w:r>
    </w:p>
    <w:p w:rsidR="008206A4" w:rsidRPr="000B521F" w:rsidRDefault="008D6C19" w:rsidP="0059011D">
      <w:pPr>
        <w:pStyle w:val="Odstavecseseznamem"/>
        <w:numPr>
          <w:ilvl w:val="0"/>
          <w:numId w:val="111"/>
        </w:numPr>
        <w:spacing w:after="120" w:line="240" w:lineRule="auto"/>
        <w:jc w:val="both"/>
        <w:rPr>
          <w:rFonts w:ascii="Times New Roman" w:hAnsi="Times New Roman" w:cs="Times New Roman"/>
          <w:color w:val="231F20"/>
          <w:sz w:val="24"/>
          <w:szCs w:val="24"/>
        </w:rPr>
      </w:pPr>
      <w:r w:rsidRPr="000B521F">
        <w:rPr>
          <w:rFonts w:ascii="Times New Roman" w:hAnsi="Times New Roman" w:cs="Times New Roman"/>
          <w:color w:val="231F20"/>
          <w:sz w:val="24"/>
          <w:szCs w:val="24"/>
        </w:rPr>
        <w:t>Jednotný monitorovací systém;</w:t>
      </w:r>
    </w:p>
    <w:p w:rsidR="008206A4" w:rsidRPr="000B521F" w:rsidRDefault="00716BDD" w:rsidP="0059011D">
      <w:pPr>
        <w:pStyle w:val="Odstavecseseznamem"/>
        <w:numPr>
          <w:ilvl w:val="0"/>
          <w:numId w:val="111"/>
        </w:numPr>
        <w:spacing w:after="120" w:line="240" w:lineRule="auto"/>
        <w:jc w:val="both"/>
        <w:rPr>
          <w:rFonts w:ascii="Times New Roman" w:hAnsi="Times New Roman" w:cs="Times New Roman"/>
          <w:color w:val="231F20"/>
          <w:sz w:val="24"/>
          <w:szCs w:val="24"/>
        </w:rPr>
      </w:pPr>
      <w:r w:rsidRPr="000B521F">
        <w:rPr>
          <w:rFonts w:ascii="Times New Roman" w:hAnsi="Times New Roman" w:cs="Times New Roman"/>
          <w:color w:val="231F20"/>
          <w:sz w:val="24"/>
          <w:szCs w:val="24"/>
        </w:rPr>
        <w:t>Rozvoj lidských zdrojů na úrovni Dohody o partnerství</w:t>
      </w:r>
      <w:r w:rsidR="008D6C19" w:rsidRPr="000B521F">
        <w:rPr>
          <w:rFonts w:ascii="Times New Roman" w:hAnsi="Times New Roman" w:cs="Times New Roman"/>
          <w:color w:val="231F20"/>
          <w:sz w:val="24"/>
          <w:szCs w:val="24"/>
        </w:rPr>
        <w:t>;</w:t>
      </w:r>
    </w:p>
    <w:p w:rsidR="00FF5773" w:rsidRPr="000B521F" w:rsidRDefault="00FF5773" w:rsidP="0059011D">
      <w:pPr>
        <w:pStyle w:val="Nadpis2"/>
      </w:pPr>
      <w:bookmarkStart w:id="75" w:name="_Toc374702888"/>
      <w:r w:rsidRPr="000B521F">
        <w:t>Požadavek na převod alokace strukturálních fondů mezi kategoriemi regionů, kde je to použitelné (Článek 85 obecného nařízení)</w:t>
      </w:r>
      <w:bookmarkEnd w:id="75"/>
    </w:p>
    <w:p w:rsidR="001F20C3" w:rsidRPr="001F20C3" w:rsidRDefault="001F20C3" w:rsidP="001F20C3">
      <w:pPr>
        <w:spacing w:line="240" w:lineRule="auto"/>
        <w:jc w:val="both"/>
        <w:rPr>
          <w:rFonts w:ascii="Times New Roman" w:hAnsi="Times New Roman" w:cs="Times New Roman"/>
          <w:sz w:val="24"/>
          <w:szCs w:val="24"/>
        </w:rPr>
      </w:pPr>
      <w:r w:rsidRPr="001F20C3">
        <w:rPr>
          <w:rFonts w:ascii="Times New Roman" w:hAnsi="Times New Roman" w:cs="Times New Roman"/>
          <w:sz w:val="24"/>
          <w:szCs w:val="24"/>
        </w:rPr>
        <w:t>Vzhledem k nevyjasněné interpretaci dopadů článků 70 obecného nařízení a článku 13.2 nařízení o ESF nebylo možno s definitivní platností uzavřít otázku převodu mezi kategoriemi regionů. Níže uvedená tabulka proto převádí jen polovinu potenciálně možného objemu převodu. Další rozhodnutí o převodu prostředků bude učiněno po vyjasnění této problematiky s EK a na národní úrovni.</w:t>
      </w:r>
    </w:p>
    <w:p w:rsidR="001F20C3" w:rsidRDefault="001F20C3" w:rsidP="0059011D">
      <w:pPr>
        <w:pStyle w:val="Tabulka"/>
        <w:spacing w:before="120" w:after="60"/>
        <w:rPr>
          <w:szCs w:val="20"/>
        </w:rPr>
      </w:pPr>
    </w:p>
    <w:p w:rsidR="002856E1" w:rsidRPr="000B521F" w:rsidRDefault="002856E1" w:rsidP="0059011D">
      <w:pPr>
        <w:pStyle w:val="Tabulka"/>
        <w:spacing w:before="120" w:after="60"/>
        <w:rPr>
          <w:szCs w:val="20"/>
        </w:rPr>
      </w:pPr>
      <w:r w:rsidRPr="000B521F">
        <w:rPr>
          <w:szCs w:val="20"/>
        </w:rPr>
        <w:t>Tabulka 1-9</w:t>
      </w:r>
      <w:r w:rsidR="00831CC0">
        <w:rPr>
          <w:szCs w:val="20"/>
        </w:rPr>
        <w:t>:</w:t>
      </w:r>
      <w:r w:rsidR="00986582" w:rsidRPr="000B521F">
        <w:rPr>
          <w:szCs w:val="20"/>
        </w:rPr>
        <w:t xml:space="preserve"> Převod alokace mezi kategoriemi regionů</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436"/>
        <w:gridCol w:w="1435"/>
        <w:gridCol w:w="1436"/>
        <w:gridCol w:w="1435"/>
        <w:gridCol w:w="1436"/>
      </w:tblGrid>
      <w:tr w:rsidR="003A10B3" w:rsidRPr="006F46A5" w:rsidTr="008F7C58">
        <w:tc>
          <w:tcPr>
            <w:tcW w:w="1435" w:type="dxa"/>
            <w:shd w:val="clear" w:color="auto" w:fill="8DB3E2" w:themeFill="text2" w:themeFillTint="66"/>
          </w:tcPr>
          <w:p w:rsidR="003A10B3" w:rsidRPr="006F46A5" w:rsidRDefault="003A10B3" w:rsidP="0059011D">
            <w:pPr>
              <w:spacing w:after="120" w:line="240" w:lineRule="auto"/>
              <w:rPr>
                <w:rFonts w:ascii="Times New Roman" w:hAnsi="Times New Roman" w:cs="Times New Roman"/>
                <w:b/>
                <w:sz w:val="20"/>
                <w:szCs w:val="20"/>
                <w:lang w:val="et-EE"/>
              </w:rPr>
            </w:pPr>
            <w:r w:rsidRPr="006F46A5">
              <w:rPr>
                <w:rFonts w:ascii="Times New Roman" w:hAnsi="Times New Roman" w:cs="Times New Roman"/>
                <w:b/>
                <w:sz w:val="20"/>
                <w:szCs w:val="20"/>
                <w:lang w:val="et-EE"/>
              </w:rPr>
              <w:t>Kategorie regionů</w:t>
            </w:r>
          </w:p>
        </w:tc>
        <w:tc>
          <w:tcPr>
            <w:tcW w:w="1436" w:type="dxa"/>
            <w:shd w:val="clear" w:color="auto" w:fill="8DB3E2" w:themeFill="text2" w:themeFillTint="66"/>
          </w:tcPr>
          <w:p w:rsidR="003A10B3" w:rsidRPr="006F46A5" w:rsidRDefault="003A10B3" w:rsidP="0059011D">
            <w:pPr>
              <w:spacing w:after="120" w:line="240" w:lineRule="auto"/>
              <w:rPr>
                <w:rFonts w:ascii="Times New Roman" w:hAnsi="Times New Roman" w:cs="Times New Roman"/>
                <w:b/>
                <w:sz w:val="20"/>
                <w:szCs w:val="20"/>
                <w:lang w:val="et-EE"/>
              </w:rPr>
            </w:pPr>
            <w:r w:rsidRPr="006F46A5">
              <w:rPr>
                <w:rFonts w:ascii="Times New Roman" w:hAnsi="Times New Roman" w:cs="Times New Roman"/>
                <w:b/>
                <w:sz w:val="20"/>
                <w:szCs w:val="20"/>
                <w:lang w:val="et-EE"/>
              </w:rPr>
              <w:t>Finanční alokace založená na rozhodnutí Komise (…)(EUR)</w:t>
            </w:r>
          </w:p>
        </w:tc>
        <w:tc>
          <w:tcPr>
            <w:tcW w:w="1435" w:type="dxa"/>
            <w:shd w:val="clear" w:color="auto" w:fill="8DB3E2" w:themeFill="text2" w:themeFillTint="66"/>
          </w:tcPr>
          <w:p w:rsidR="003A10B3" w:rsidRPr="006F46A5" w:rsidRDefault="003A10B3" w:rsidP="0059011D">
            <w:pPr>
              <w:spacing w:after="120" w:line="240" w:lineRule="auto"/>
              <w:rPr>
                <w:rFonts w:ascii="Times New Roman" w:hAnsi="Times New Roman" w:cs="Times New Roman"/>
                <w:b/>
                <w:sz w:val="20"/>
                <w:szCs w:val="20"/>
                <w:lang w:val="et-EE"/>
              </w:rPr>
            </w:pPr>
            <w:r w:rsidRPr="006F46A5">
              <w:rPr>
                <w:rFonts w:ascii="Times New Roman" w:hAnsi="Times New Roman" w:cs="Times New Roman"/>
                <w:b/>
                <w:sz w:val="20"/>
                <w:szCs w:val="20"/>
                <w:lang w:val="et-EE"/>
              </w:rPr>
              <w:t>Převod do</w:t>
            </w:r>
          </w:p>
        </w:tc>
        <w:tc>
          <w:tcPr>
            <w:tcW w:w="1436" w:type="dxa"/>
            <w:shd w:val="clear" w:color="auto" w:fill="8DB3E2" w:themeFill="text2" w:themeFillTint="66"/>
          </w:tcPr>
          <w:p w:rsidR="003A10B3" w:rsidRPr="006F46A5" w:rsidRDefault="003A10B3" w:rsidP="0059011D">
            <w:pPr>
              <w:spacing w:after="120" w:line="240" w:lineRule="auto"/>
              <w:rPr>
                <w:rFonts w:ascii="Times New Roman" w:hAnsi="Times New Roman" w:cs="Times New Roman"/>
                <w:b/>
                <w:sz w:val="20"/>
                <w:szCs w:val="20"/>
                <w:lang w:val="et-EE"/>
              </w:rPr>
            </w:pPr>
            <w:r w:rsidRPr="006F46A5">
              <w:rPr>
                <w:rFonts w:ascii="Times New Roman" w:hAnsi="Times New Roman" w:cs="Times New Roman"/>
                <w:b/>
                <w:sz w:val="20"/>
                <w:szCs w:val="20"/>
                <w:lang w:val="et-EE"/>
              </w:rPr>
              <w:t>Objem převedených prostředků(EUR)</w:t>
            </w:r>
          </w:p>
        </w:tc>
        <w:tc>
          <w:tcPr>
            <w:tcW w:w="1435" w:type="dxa"/>
            <w:shd w:val="clear" w:color="auto" w:fill="8DB3E2" w:themeFill="text2" w:themeFillTint="66"/>
          </w:tcPr>
          <w:p w:rsidR="003A10B3" w:rsidRPr="006F46A5" w:rsidRDefault="003A10B3" w:rsidP="0059011D">
            <w:pPr>
              <w:spacing w:after="120" w:line="240" w:lineRule="auto"/>
              <w:rPr>
                <w:rFonts w:ascii="Times New Roman" w:hAnsi="Times New Roman" w:cs="Times New Roman"/>
                <w:b/>
                <w:sz w:val="20"/>
                <w:szCs w:val="20"/>
                <w:lang w:val="et-EE"/>
              </w:rPr>
            </w:pPr>
            <w:r w:rsidRPr="006F46A5">
              <w:rPr>
                <w:rFonts w:ascii="Times New Roman" w:hAnsi="Times New Roman" w:cs="Times New Roman"/>
                <w:b/>
                <w:sz w:val="20"/>
                <w:szCs w:val="20"/>
                <w:lang w:val="et-EE"/>
              </w:rPr>
              <w:t>Podíl na alokaci v kategorii regionů,z níž jsou prostředky převáděny(%)</w:t>
            </w:r>
          </w:p>
        </w:tc>
        <w:tc>
          <w:tcPr>
            <w:tcW w:w="1436" w:type="dxa"/>
            <w:shd w:val="clear" w:color="auto" w:fill="8DB3E2" w:themeFill="text2" w:themeFillTint="66"/>
          </w:tcPr>
          <w:p w:rsidR="003A10B3" w:rsidRPr="006F46A5" w:rsidRDefault="003A10B3" w:rsidP="0059011D">
            <w:pPr>
              <w:spacing w:after="120" w:line="240" w:lineRule="auto"/>
              <w:rPr>
                <w:rFonts w:ascii="Times New Roman" w:hAnsi="Times New Roman" w:cs="Times New Roman"/>
                <w:b/>
                <w:sz w:val="20"/>
                <w:szCs w:val="20"/>
                <w:lang w:val="et-EE"/>
              </w:rPr>
            </w:pPr>
            <w:r w:rsidRPr="006F46A5">
              <w:rPr>
                <w:rFonts w:ascii="Times New Roman" w:hAnsi="Times New Roman" w:cs="Times New Roman"/>
                <w:b/>
                <w:sz w:val="20"/>
                <w:szCs w:val="20"/>
                <w:lang w:val="et-EE"/>
              </w:rPr>
              <w:t>Finanční alokace po převodech(EUR)</w:t>
            </w:r>
          </w:p>
        </w:tc>
      </w:tr>
      <w:tr w:rsidR="00593BD8" w:rsidRPr="006F46A5" w:rsidTr="008F7C58">
        <w:trPr>
          <w:trHeight w:val="617"/>
        </w:trPr>
        <w:tc>
          <w:tcPr>
            <w:tcW w:w="1435" w:type="dxa"/>
            <w:vMerge w:val="restart"/>
            <w:shd w:val="clear" w:color="auto" w:fill="C6D9F1" w:themeFill="text2" w:themeFillTint="33"/>
          </w:tcPr>
          <w:p w:rsidR="00593BD8" w:rsidRPr="006F46A5" w:rsidRDefault="00593BD8" w:rsidP="0059011D">
            <w:pPr>
              <w:spacing w:after="120" w:line="240" w:lineRule="auto"/>
              <w:rPr>
                <w:rFonts w:ascii="Times New Roman" w:hAnsi="Times New Roman" w:cs="Times New Roman"/>
                <w:sz w:val="20"/>
                <w:szCs w:val="20"/>
                <w:lang w:val="et-EE"/>
              </w:rPr>
            </w:pPr>
            <w:r w:rsidRPr="006F46A5">
              <w:rPr>
                <w:rFonts w:ascii="Times New Roman" w:hAnsi="Times New Roman" w:cs="Times New Roman"/>
                <w:sz w:val="20"/>
                <w:szCs w:val="20"/>
                <w:lang w:val="et-EE"/>
              </w:rPr>
              <w:t>Méně rozvinuté regiony</w:t>
            </w:r>
          </w:p>
        </w:tc>
        <w:tc>
          <w:tcPr>
            <w:tcW w:w="1436" w:type="dxa"/>
            <w:vMerge w:val="restart"/>
            <w:shd w:val="clear" w:color="auto" w:fill="auto"/>
          </w:tcPr>
          <w:p w:rsidR="00593BD8" w:rsidRPr="006F46A5" w:rsidRDefault="00CD13E8" w:rsidP="0059011D">
            <w:pPr>
              <w:spacing w:after="120" w:line="240" w:lineRule="auto"/>
              <w:rPr>
                <w:rFonts w:ascii="Times New Roman" w:hAnsi="Times New Roman" w:cs="Times New Roman"/>
                <w:sz w:val="20"/>
                <w:szCs w:val="20"/>
                <w:lang w:val="et-EE"/>
              </w:rPr>
            </w:pPr>
            <w:r w:rsidRPr="006F46A5">
              <w:rPr>
                <w:rFonts w:ascii="Times New Roman" w:hAnsi="Times New Roman" w:cs="Times New Roman"/>
                <w:color w:val="000000"/>
                <w:sz w:val="20"/>
                <w:szCs w:val="20"/>
                <w:lang w:val="et-EE"/>
              </w:rPr>
              <w:t>15 306 200 000</w:t>
            </w:r>
          </w:p>
        </w:tc>
        <w:tc>
          <w:tcPr>
            <w:tcW w:w="1435" w:type="dxa"/>
            <w:shd w:val="clear" w:color="auto" w:fill="auto"/>
          </w:tcPr>
          <w:p w:rsidR="00593BD8" w:rsidRPr="006F46A5" w:rsidRDefault="00593BD8" w:rsidP="0059011D">
            <w:pPr>
              <w:spacing w:after="120" w:line="240" w:lineRule="auto"/>
              <w:rPr>
                <w:rFonts w:ascii="Times New Roman" w:hAnsi="Times New Roman" w:cs="Times New Roman"/>
                <w:sz w:val="20"/>
                <w:szCs w:val="20"/>
                <w:lang w:val="et-EE"/>
              </w:rPr>
            </w:pPr>
            <w:r w:rsidRPr="006F46A5">
              <w:rPr>
                <w:rFonts w:ascii="Times New Roman" w:hAnsi="Times New Roman" w:cs="Times New Roman"/>
                <w:sz w:val="20"/>
                <w:szCs w:val="20"/>
                <w:lang w:val="et-EE"/>
              </w:rPr>
              <w:t>Přechodové regiony</w:t>
            </w:r>
          </w:p>
        </w:tc>
        <w:tc>
          <w:tcPr>
            <w:tcW w:w="1436" w:type="dxa"/>
            <w:shd w:val="clear" w:color="auto" w:fill="auto"/>
          </w:tcPr>
          <w:p w:rsidR="00593BD8" w:rsidRPr="006F46A5" w:rsidRDefault="00593BD8" w:rsidP="0059011D">
            <w:pPr>
              <w:spacing w:after="120" w:line="240" w:lineRule="auto"/>
              <w:rPr>
                <w:rFonts w:ascii="Times New Roman" w:hAnsi="Times New Roman" w:cs="Times New Roman"/>
                <w:sz w:val="20"/>
                <w:szCs w:val="20"/>
                <w:lang w:val="et-EE"/>
              </w:rPr>
            </w:pPr>
            <w:r w:rsidRPr="006F46A5">
              <w:rPr>
                <w:rFonts w:ascii="Times New Roman" w:hAnsi="Times New Roman" w:cs="Times New Roman"/>
                <w:sz w:val="20"/>
                <w:szCs w:val="20"/>
                <w:lang w:eastAsia="cs-CZ"/>
              </w:rPr>
              <w:t>pro ČR není relevantní</w:t>
            </w:r>
          </w:p>
        </w:tc>
        <w:tc>
          <w:tcPr>
            <w:tcW w:w="1435" w:type="dxa"/>
            <w:vMerge w:val="restart"/>
            <w:shd w:val="clear" w:color="auto" w:fill="auto"/>
          </w:tcPr>
          <w:p w:rsidR="00593BD8" w:rsidRPr="006F46A5" w:rsidRDefault="00CD13E8" w:rsidP="0059011D">
            <w:pPr>
              <w:spacing w:after="120" w:line="240" w:lineRule="auto"/>
              <w:rPr>
                <w:rFonts w:ascii="Times New Roman" w:hAnsi="Times New Roman" w:cs="Times New Roman"/>
                <w:sz w:val="20"/>
                <w:szCs w:val="20"/>
                <w:lang w:eastAsia="cs-CZ"/>
              </w:rPr>
            </w:pPr>
            <w:r w:rsidRPr="006F46A5">
              <w:rPr>
                <w:rFonts w:ascii="Times New Roman" w:hAnsi="Times New Roman" w:cs="Times New Roman"/>
                <w:sz w:val="20"/>
                <w:szCs w:val="20"/>
                <w:lang w:eastAsia="cs-CZ"/>
              </w:rPr>
              <w:t>1,50%</w:t>
            </w:r>
          </w:p>
        </w:tc>
        <w:tc>
          <w:tcPr>
            <w:tcW w:w="1436" w:type="dxa"/>
            <w:vMerge w:val="restart"/>
            <w:shd w:val="clear" w:color="auto" w:fill="auto"/>
          </w:tcPr>
          <w:p w:rsidR="00593BD8" w:rsidRPr="006F46A5" w:rsidRDefault="00CD13E8" w:rsidP="0059011D">
            <w:pPr>
              <w:spacing w:after="120" w:line="240" w:lineRule="auto"/>
              <w:rPr>
                <w:rFonts w:ascii="Times New Roman" w:hAnsi="Times New Roman" w:cs="Times New Roman"/>
                <w:sz w:val="20"/>
                <w:szCs w:val="20"/>
                <w:lang w:eastAsia="cs-CZ"/>
              </w:rPr>
            </w:pPr>
            <w:r w:rsidRPr="006F46A5">
              <w:rPr>
                <w:rFonts w:ascii="Times New Roman" w:hAnsi="Times New Roman" w:cs="Times New Roman"/>
                <w:color w:val="000000"/>
                <w:sz w:val="20"/>
                <w:szCs w:val="20"/>
                <w:lang w:val="et-EE"/>
              </w:rPr>
              <w:t>15 076 607 000</w:t>
            </w:r>
          </w:p>
        </w:tc>
      </w:tr>
      <w:tr w:rsidR="00593BD8" w:rsidRPr="006F46A5" w:rsidTr="008F7C58">
        <w:trPr>
          <w:trHeight w:val="617"/>
        </w:trPr>
        <w:tc>
          <w:tcPr>
            <w:tcW w:w="1435" w:type="dxa"/>
            <w:vMerge/>
            <w:shd w:val="clear" w:color="auto" w:fill="C6D9F1" w:themeFill="text2" w:themeFillTint="33"/>
          </w:tcPr>
          <w:p w:rsidR="00593BD8" w:rsidRPr="006F46A5" w:rsidRDefault="00593BD8" w:rsidP="0059011D">
            <w:pPr>
              <w:spacing w:after="0" w:line="240" w:lineRule="auto"/>
              <w:rPr>
                <w:rFonts w:ascii="Times New Roman" w:hAnsi="Times New Roman" w:cs="Times New Roman"/>
                <w:sz w:val="20"/>
                <w:szCs w:val="20"/>
                <w:lang w:val="et-EE"/>
              </w:rPr>
            </w:pPr>
          </w:p>
        </w:tc>
        <w:tc>
          <w:tcPr>
            <w:tcW w:w="1436" w:type="dxa"/>
            <w:vMerge/>
            <w:shd w:val="clear" w:color="auto" w:fill="auto"/>
          </w:tcPr>
          <w:p w:rsidR="00593BD8" w:rsidRPr="006F46A5" w:rsidRDefault="00593BD8" w:rsidP="0059011D">
            <w:pPr>
              <w:spacing w:after="0" w:line="240" w:lineRule="auto"/>
              <w:rPr>
                <w:rFonts w:ascii="Times New Roman" w:hAnsi="Times New Roman" w:cs="Times New Roman"/>
                <w:sz w:val="20"/>
                <w:szCs w:val="20"/>
                <w:lang w:val="et-EE"/>
              </w:rPr>
            </w:pPr>
          </w:p>
        </w:tc>
        <w:tc>
          <w:tcPr>
            <w:tcW w:w="1435" w:type="dxa"/>
            <w:shd w:val="clear" w:color="auto" w:fill="auto"/>
          </w:tcPr>
          <w:p w:rsidR="00593BD8" w:rsidRPr="006F46A5" w:rsidRDefault="00B53212" w:rsidP="0059011D">
            <w:pPr>
              <w:spacing w:after="120" w:line="240" w:lineRule="auto"/>
              <w:rPr>
                <w:rFonts w:ascii="Times New Roman" w:hAnsi="Times New Roman" w:cs="Times New Roman"/>
                <w:sz w:val="20"/>
                <w:szCs w:val="20"/>
                <w:lang w:val="et-EE"/>
              </w:rPr>
            </w:pPr>
            <w:r w:rsidRPr="006F46A5">
              <w:rPr>
                <w:rFonts w:ascii="Times New Roman" w:hAnsi="Times New Roman" w:cs="Times New Roman"/>
                <w:sz w:val="20"/>
                <w:szCs w:val="20"/>
                <w:lang w:val="et-EE"/>
              </w:rPr>
              <w:t>Více rozvinuté</w:t>
            </w:r>
            <w:r w:rsidR="00593BD8" w:rsidRPr="006F46A5">
              <w:rPr>
                <w:rFonts w:ascii="Times New Roman" w:hAnsi="Times New Roman" w:cs="Times New Roman"/>
                <w:sz w:val="20"/>
                <w:szCs w:val="20"/>
                <w:lang w:val="et-EE"/>
              </w:rPr>
              <w:t xml:space="preserve"> regiony</w:t>
            </w:r>
          </w:p>
        </w:tc>
        <w:tc>
          <w:tcPr>
            <w:tcW w:w="1436" w:type="dxa"/>
            <w:shd w:val="clear" w:color="auto" w:fill="auto"/>
          </w:tcPr>
          <w:p w:rsidR="00593BD8" w:rsidRPr="006F46A5" w:rsidRDefault="00CD13E8" w:rsidP="0059011D">
            <w:pPr>
              <w:spacing w:after="120" w:line="240" w:lineRule="auto"/>
              <w:rPr>
                <w:rFonts w:ascii="Times New Roman" w:hAnsi="Times New Roman" w:cs="Times New Roman"/>
                <w:sz w:val="20"/>
                <w:szCs w:val="20"/>
                <w:lang w:val="et-EE"/>
              </w:rPr>
            </w:pPr>
            <w:r w:rsidRPr="006F46A5">
              <w:rPr>
                <w:rFonts w:ascii="Times New Roman" w:hAnsi="Times New Roman" w:cs="Times New Roman"/>
                <w:color w:val="000000"/>
                <w:sz w:val="20"/>
                <w:szCs w:val="20"/>
                <w:lang w:val="et-EE"/>
              </w:rPr>
              <w:t>229 593 000</w:t>
            </w:r>
          </w:p>
        </w:tc>
        <w:tc>
          <w:tcPr>
            <w:tcW w:w="1435" w:type="dxa"/>
            <w:vMerge/>
            <w:shd w:val="clear" w:color="auto" w:fill="auto"/>
          </w:tcPr>
          <w:p w:rsidR="00593BD8" w:rsidRPr="006F46A5" w:rsidRDefault="00593BD8" w:rsidP="0059011D">
            <w:pPr>
              <w:spacing w:after="0" w:line="240" w:lineRule="auto"/>
              <w:rPr>
                <w:rFonts w:ascii="Times New Roman" w:hAnsi="Times New Roman" w:cs="Times New Roman"/>
                <w:sz w:val="20"/>
                <w:szCs w:val="20"/>
                <w:lang w:eastAsia="cs-CZ"/>
              </w:rPr>
            </w:pPr>
          </w:p>
        </w:tc>
        <w:tc>
          <w:tcPr>
            <w:tcW w:w="1436" w:type="dxa"/>
            <w:vMerge/>
            <w:shd w:val="clear" w:color="auto" w:fill="auto"/>
          </w:tcPr>
          <w:p w:rsidR="00593BD8" w:rsidRPr="006F46A5" w:rsidRDefault="00593BD8" w:rsidP="0059011D">
            <w:pPr>
              <w:spacing w:after="0" w:line="240" w:lineRule="auto"/>
              <w:rPr>
                <w:rFonts w:ascii="Times New Roman" w:hAnsi="Times New Roman" w:cs="Times New Roman"/>
                <w:sz w:val="20"/>
                <w:szCs w:val="20"/>
                <w:lang w:eastAsia="cs-CZ"/>
              </w:rPr>
            </w:pPr>
          </w:p>
        </w:tc>
      </w:tr>
      <w:tr w:rsidR="00593BD8" w:rsidRPr="006F46A5" w:rsidTr="008F7C58">
        <w:trPr>
          <w:trHeight w:val="617"/>
        </w:trPr>
        <w:tc>
          <w:tcPr>
            <w:tcW w:w="1435" w:type="dxa"/>
            <w:vMerge w:val="restart"/>
            <w:shd w:val="clear" w:color="auto" w:fill="C6D9F1" w:themeFill="text2" w:themeFillTint="33"/>
          </w:tcPr>
          <w:p w:rsidR="00593BD8" w:rsidRPr="006F46A5" w:rsidRDefault="00593BD8" w:rsidP="0059011D">
            <w:pPr>
              <w:spacing w:after="120" w:line="240" w:lineRule="auto"/>
              <w:rPr>
                <w:rFonts w:ascii="Times New Roman" w:hAnsi="Times New Roman" w:cs="Times New Roman"/>
                <w:sz w:val="20"/>
                <w:szCs w:val="20"/>
                <w:lang w:val="et-EE"/>
              </w:rPr>
            </w:pPr>
            <w:r w:rsidRPr="006F46A5">
              <w:rPr>
                <w:rFonts w:ascii="Times New Roman" w:hAnsi="Times New Roman" w:cs="Times New Roman"/>
                <w:sz w:val="20"/>
                <w:szCs w:val="20"/>
                <w:lang w:val="et-EE"/>
              </w:rPr>
              <w:t>Přechodové regiony</w:t>
            </w:r>
          </w:p>
        </w:tc>
        <w:tc>
          <w:tcPr>
            <w:tcW w:w="1436" w:type="dxa"/>
            <w:vMerge w:val="restart"/>
            <w:shd w:val="clear" w:color="auto" w:fill="auto"/>
          </w:tcPr>
          <w:p w:rsidR="00593BD8" w:rsidRPr="006F46A5" w:rsidRDefault="00BC467F" w:rsidP="0059011D">
            <w:pPr>
              <w:spacing w:after="120" w:line="240" w:lineRule="auto"/>
              <w:rPr>
                <w:rFonts w:ascii="Times New Roman" w:hAnsi="Times New Roman" w:cs="Times New Roman"/>
                <w:sz w:val="20"/>
                <w:szCs w:val="20"/>
                <w:lang w:val="et-EE"/>
              </w:rPr>
            </w:pPr>
            <w:r w:rsidRPr="006F46A5">
              <w:rPr>
                <w:rFonts w:ascii="Times New Roman" w:hAnsi="Times New Roman" w:cs="Times New Roman"/>
                <w:sz w:val="20"/>
                <w:szCs w:val="20"/>
                <w:lang w:eastAsia="cs-CZ"/>
              </w:rPr>
              <w:t>pro ČR není relevantní</w:t>
            </w:r>
          </w:p>
        </w:tc>
        <w:tc>
          <w:tcPr>
            <w:tcW w:w="1435" w:type="dxa"/>
            <w:shd w:val="clear" w:color="auto" w:fill="auto"/>
          </w:tcPr>
          <w:p w:rsidR="00593BD8" w:rsidRPr="006F46A5" w:rsidRDefault="00593BD8" w:rsidP="0059011D">
            <w:pPr>
              <w:spacing w:after="120" w:line="240" w:lineRule="auto"/>
              <w:rPr>
                <w:rFonts w:ascii="Times New Roman" w:hAnsi="Times New Roman" w:cs="Times New Roman"/>
                <w:sz w:val="20"/>
                <w:szCs w:val="20"/>
                <w:lang w:val="et-EE"/>
              </w:rPr>
            </w:pPr>
            <w:r w:rsidRPr="006F46A5">
              <w:rPr>
                <w:rFonts w:ascii="Times New Roman" w:hAnsi="Times New Roman" w:cs="Times New Roman"/>
                <w:sz w:val="20"/>
                <w:szCs w:val="20"/>
                <w:lang w:val="et-EE"/>
              </w:rPr>
              <w:t>Méně rozvinuté regiony</w:t>
            </w:r>
          </w:p>
        </w:tc>
        <w:tc>
          <w:tcPr>
            <w:tcW w:w="1436" w:type="dxa"/>
            <w:shd w:val="clear" w:color="auto" w:fill="auto"/>
          </w:tcPr>
          <w:p w:rsidR="00593BD8" w:rsidRPr="006F46A5" w:rsidRDefault="00CD13E8" w:rsidP="0059011D">
            <w:pPr>
              <w:spacing w:after="120" w:line="240" w:lineRule="auto"/>
              <w:rPr>
                <w:rFonts w:ascii="Times New Roman" w:hAnsi="Times New Roman" w:cs="Times New Roman"/>
                <w:sz w:val="20"/>
                <w:szCs w:val="20"/>
                <w:lang w:val="et-EE"/>
              </w:rPr>
            </w:pPr>
            <w:r w:rsidRPr="006F46A5">
              <w:rPr>
                <w:rFonts w:ascii="Times New Roman" w:hAnsi="Times New Roman" w:cs="Times New Roman"/>
                <w:sz w:val="20"/>
                <w:szCs w:val="20"/>
                <w:lang w:eastAsia="cs-CZ"/>
              </w:rPr>
              <w:t>0</w:t>
            </w:r>
          </w:p>
        </w:tc>
        <w:tc>
          <w:tcPr>
            <w:tcW w:w="1435" w:type="dxa"/>
            <w:vMerge w:val="restart"/>
            <w:shd w:val="clear" w:color="auto" w:fill="auto"/>
          </w:tcPr>
          <w:p w:rsidR="00593BD8" w:rsidRPr="006F46A5" w:rsidRDefault="00BC467F" w:rsidP="0059011D">
            <w:pPr>
              <w:spacing w:after="120" w:line="240" w:lineRule="auto"/>
              <w:rPr>
                <w:rFonts w:ascii="Times New Roman" w:hAnsi="Times New Roman" w:cs="Times New Roman"/>
                <w:sz w:val="20"/>
                <w:szCs w:val="20"/>
                <w:lang w:eastAsia="cs-CZ"/>
              </w:rPr>
            </w:pPr>
            <w:r w:rsidRPr="006F46A5">
              <w:rPr>
                <w:rFonts w:ascii="Times New Roman" w:hAnsi="Times New Roman" w:cs="Times New Roman"/>
                <w:sz w:val="20"/>
                <w:szCs w:val="20"/>
                <w:lang w:eastAsia="cs-CZ"/>
              </w:rPr>
              <w:t>pro ČR není relevantní</w:t>
            </w:r>
          </w:p>
        </w:tc>
        <w:tc>
          <w:tcPr>
            <w:tcW w:w="1436" w:type="dxa"/>
            <w:vMerge w:val="restart"/>
            <w:shd w:val="clear" w:color="auto" w:fill="auto"/>
          </w:tcPr>
          <w:p w:rsidR="00593BD8" w:rsidRPr="006F46A5" w:rsidRDefault="00BC467F" w:rsidP="0059011D">
            <w:pPr>
              <w:spacing w:after="120" w:line="240" w:lineRule="auto"/>
              <w:rPr>
                <w:rFonts w:ascii="Times New Roman" w:hAnsi="Times New Roman" w:cs="Times New Roman"/>
                <w:sz w:val="20"/>
                <w:szCs w:val="20"/>
                <w:lang w:eastAsia="cs-CZ"/>
              </w:rPr>
            </w:pPr>
            <w:r w:rsidRPr="006F46A5">
              <w:rPr>
                <w:rFonts w:ascii="Times New Roman" w:hAnsi="Times New Roman" w:cs="Times New Roman"/>
                <w:sz w:val="20"/>
                <w:szCs w:val="20"/>
                <w:lang w:eastAsia="cs-CZ"/>
              </w:rPr>
              <w:t>pro ČR není relevantní</w:t>
            </w:r>
          </w:p>
        </w:tc>
      </w:tr>
      <w:tr w:rsidR="00593BD8" w:rsidRPr="006F46A5" w:rsidTr="008F7C58">
        <w:trPr>
          <w:trHeight w:val="617"/>
        </w:trPr>
        <w:tc>
          <w:tcPr>
            <w:tcW w:w="1435" w:type="dxa"/>
            <w:vMerge/>
            <w:shd w:val="clear" w:color="auto" w:fill="C6D9F1" w:themeFill="text2" w:themeFillTint="33"/>
          </w:tcPr>
          <w:p w:rsidR="00593BD8" w:rsidRPr="006F46A5" w:rsidRDefault="00593BD8" w:rsidP="0059011D">
            <w:pPr>
              <w:spacing w:after="0" w:line="240" w:lineRule="auto"/>
              <w:rPr>
                <w:rFonts w:ascii="Times New Roman" w:hAnsi="Times New Roman" w:cs="Times New Roman"/>
                <w:sz w:val="20"/>
                <w:szCs w:val="20"/>
                <w:lang w:val="et-EE"/>
              </w:rPr>
            </w:pPr>
          </w:p>
        </w:tc>
        <w:tc>
          <w:tcPr>
            <w:tcW w:w="1436" w:type="dxa"/>
            <w:vMerge/>
            <w:shd w:val="clear" w:color="auto" w:fill="auto"/>
          </w:tcPr>
          <w:p w:rsidR="00593BD8" w:rsidRPr="006F46A5" w:rsidRDefault="00593BD8" w:rsidP="0059011D">
            <w:pPr>
              <w:spacing w:after="0" w:line="240" w:lineRule="auto"/>
              <w:rPr>
                <w:rFonts w:ascii="Times New Roman" w:hAnsi="Times New Roman" w:cs="Times New Roman"/>
                <w:sz w:val="20"/>
                <w:szCs w:val="20"/>
                <w:lang w:val="et-EE"/>
              </w:rPr>
            </w:pPr>
          </w:p>
        </w:tc>
        <w:tc>
          <w:tcPr>
            <w:tcW w:w="1435" w:type="dxa"/>
            <w:shd w:val="clear" w:color="auto" w:fill="auto"/>
          </w:tcPr>
          <w:p w:rsidR="00593BD8" w:rsidRPr="006F46A5" w:rsidRDefault="00B53212" w:rsidP="0059011D">
            <w:pPr>
              <w:spacing w:after="120" w:line="240" w:lineRule="auto"/>
              <w:rPr>
                <w:rFonts w:ascii="Times New Roman" w:hAnsi="Times New Roman" w:cs="Times New Roman"/>
                <w:sz w:val="20"/>
                <w:szCs w:val="20"/>
                <w:lang w:val="et-EE"/>
              </w:rPr>
            </w:pPr>
            <w:r w:rsidRPr="006F46A5">
              <w:rPr>
                <w:rFonts w:ascii="Times New Roman" w:hAnsi="Times New Roman" w:cs="Times New Roman"/>
                <w:sz w:val="20"/>
                <w:szCs w:val="20"/>
                <w:lang w:val="et-EE"/>
              </w:rPr>
              <w:t>Více rozvinuté</w:t>
            </w:r>
            <w:r w:rsidR="00593BD8" w:rsidRPr="006F46A5">
              <w:rPr>
                <w:rFonts w:ascii="Times New Roman" w:hAnsi="Times New Roman" w:cs="Times New Roman"/>
                <w:sz w:val="20"/>
                <w:szCs w:val="20"/>
                <w:lang w:val="et-EE"/>
              </w:rPr>
              <w:t xml:space="preserve"> regiony</w:t>
            </w:r>
          </w:p>
        </w:tc>
        <w:tc>
          <w:tcPr>
            <w:tcW w:w="1436" w:type="dxa"/>
            <w:shd w:val="clear" w:color="auto" w:fill="auto"/>
          </w:tcPr>
          <w:p w:rsidR="00593BD8" w:rsidRPr="006F46A5" w:rsidRDefault="00CD13E8" w:rsidP="0059011D">
            <w:pPr>
              <w:spacing w:after="120" w:line="240" w:lineRule="auto"/>
              <w:rPr>
                <w:rFonts w:ascii="Times New Roman" w:hAnsi="Times New Roman" w:cs="Times New Roman"/>
                <w:sz w:val="20"/>
                <w:szCs w:val="20"/>
                <w:lang w:val="et-EE"/>
              </w:rPr>
            </w:pPr>
            <w:r w:rsidRPr="006F46A5">
              <w:rPr>
                <w:rFonts w:ascii="Times New Roman" w:hAnsi="Times New Roman" w:cs="Times New Roman"/>
                <w:sz w:val="20"/>
                <w:szCs w:val="20"/>
                <w:lang w:eastAsia="cs-CZ"/>
              </w:rPr>
              <w:t>0</w:t>
            </w:r>
          </w:p>
        </w:tc>
        <w:tc>
          <w:tcPr>
            <w:tcW w:w="1435" w:type="dxa"/>
            <w:vMerge/>
            <w:shd w:val="clear" w:color="auto" w:fill="auto"/>
          </w:tcPr>
          <w:p w:rsidR="00593BD8" w:rsidRPr="006F46A5" w:rsidRDefault="00593BD8" w:rsidP="0059011D">
            <w:pPr>
              <w:spacing w:after="0" w:line="240" w:lineRule="auto"/>
              <w:rPr>
                <w:rFonts w:ascii="Times New Roman" w:hAnsi="Times New Roman" w:cs="Times New Roman"/>
                <w:sz w:val="20"/>
                <w:szCs w:val="20"/>
                <w:lang w:eastAsia="cs-CZ"/>
              </w:rPr>
            </w:pPr>
          </w:p>
        </w:tc>
        <w:tc>
          <w:tcPr>
            <w:tcW w:w="1436" w:type="dxa"/>
            <w:vMerge/>
            <w:shd w:val="clear" w:color="auto" w:fill="auto"/>
          </w:tcPr>
          <w:p w:rsidR="00593BD8" w:rsidRPr="006F46A5" w:rsidRDefault="00593BD8" w:rsidP="0059011D">
            <w:pPr>
              <w:spacing w:after="0" w:line="240" w:lineRule="auto"/>
              <w:rPr>
                <w:rFonts w:ascii="Times New Roman" w:hAnsi="Times New Roman" w:cs="Times New Roman"/>
                <w:sz w:val="20"/>
                <w:szCs w:val="20"/>
                <w:lang w:eastAsia="cs-CZ"/>
              </w:rPr>
            </w:pPr>
          </w:p>
        </w:tc>
      </w:tr>
      <w:tr w:rsidR="00BC467F" w:rsidRPr="006F46A5" w:rsidTr="008F7C58">
        <w:trPr>
          <w:trHeight w:val="617"/>
        </w:trPr>
        <w:tc>
          <w:tcPr>
            <w:tcW w:w="1435" w:type="dxa"/>
            <w:vMerge w:val="restart"/>
            <w:shd w:val="clear" w:color="auto" w:fill="C6D9F1" w:themeFill="text2" w:themeFillTint="33"/>
          </w:tcPr>
          <w:p w:rsidR="00BC467F" w:rsidRPr="006F46A5" w:rsidRDefault="00B53212" w:rsidP="0059011D">
            <w:pPr>
              <w:spacing w:after="120" w:line="240" w:lineRule="auto"/>
              <w:rPr>
                <w:rFonts w:ascii="Times New Roman" w:hAnsi="Times New Roman" w:cs="Times New Roman"/>
                <w:sz w:val="20"/>
                <w:szCs w:val="20"/>
                <w:lang w:val="et-EE"/>
              </w:rPr>
            </w:pPr>
            <w:r w:rsidRPr="006F46A5">
              <w:rPr>
                <w:rFonts w:ascii="Times New Roman" w:hAnsi="Times New Roman" w:cs="Times New Roman"/>
                <w:sz w:val="20"/>
                <w:szCs w:val="20"/>
                <w:lang w:val="et-EE"/>
              </w:rPr>
              <w:t>Více rozvinuté</w:t>
            </w:r>
            <w:r w:rsidR="00BC467F" w:rsidRPr="006F46A5">
              <w:rPr>
                <w:rFonts w:ascii="Times New Roman" w:hAnsi="Times New Roman" w:cs="Times New Roman"/>
                <w:sz w:val="20"/>
                <w:szCs w:val="20"/>
                <w:lang w:val="et-EE"/>
              </w:rPr>
              <w:t xml:space="preserve"> regiony</w:t>
            </w:r>
          </w:p>
        </w:tc>
        <w:tc>
          <w:tcPr>
            <w:tcW w:w="1436" w:type="dxa"/>
            <w:vMerge w:val="restart"/>
            <w:shd w:val="clear" w:color="auto" w:fill="auto"/>
          </w:tcPr>
          <w:p w:rsidR="00BC467F" w:rsidRPr="006F46A5" w:rsidRDefault="00CD13E8" w:rsidP="0059011D">
            <w:pPr>
              <w:spacing w:after="120" w:line="240" w:lineRule="auto"/>
              <w:rPr>
                <w:rFonts w:ascii="Times New Roman" w:hAnsi="Times New Roman" w:cs="Times New Roman"/>
                <w:sz w:val="20"/>
                <w:szCs w:val="20"/>
                <w:lang w:val="et-EE"/>
              </w:rPr>
            </w:pPr>
            <w:r w:rsidRPr="006F46A5">
              <w:rPr>
                <w:rFonts w:ascii="Times New Roman" w:hAnsi="Times New Roman" w:cs="Times New Roman"/>
                <w:color w:val="000000"/>
                <w:sz w:val="20"/>
                <w:szCs w:val="20"/>
                <w:lang w:val="et-EE"/>
              </w:rPr>
              <w:t>88 300 000</w:t>
            </w:r>
          </w:p>
        </w:tc>
        <w:tc>
          <w:tcPr>
            <w:tcW w:w="1435" w:type="dxa"/>
            <w:shd w:val="clear" w:color="auto" w:fill="auto"/>
          </w:tcPr>
          <w:p w:rsidR="00BC467F" w:rsidRPr="006F46A5" w:rsidRDefault="00BC467F" w:rsidP="0059011D">
            <w:pPr>
              <w:spacing w:after="120" w:line="240" w:lineRule="auto"/>
              <w:rPr>
                <w:rFonts w:ascii="Times New Roman" w:hAnsi="Times New Roman" w:cs="Times New Roman"/>
                <w:sz w:val="20"/>
                <w:szCs w:val="20"/>
                <w:lang w:val="et-EE"/>
              </w:rPr>
            </w:pPr>
            <w:r w:rsidRPr="006F46A5">
              <w:rPr>
                <w:rFonts w:ascii="Times New Roman" w:hAnsi="Times New Roman" w:cs="Times New Roman"/>
                <w:sz w:val="20"/>
                <w:szCs w:val="20"/>
                <w:lang w:val="et-EE"/>
              </w:rPr>
              <w:t>Méně rozvinuté regiony</w:t>
            </w:r>
          </w:p>
        </w:tc>
        <w:tc>
          <w:tcPr>
            <w:tcW w:w="1436" w:type="dxa"/>
            <w:shd w:val="clear" w:color="auto" w:fill="auto"/>
          </w:tcPr>
          <w:p w:rsidR="00BC467F" w:rsidRPr="006F46A5" w:rsidRDefault="00CD13E8" w:rsidP="0059011D">
            <w:pPr>
              <w:spacing w:after="120" w:line="240" w:lineRule="auto"/>
              <w:rPr>
                <w:rFonts w:ascii="Times New Roman" w:hAnsi="Times New Roman" w:cs="Times New Roman"/>
                <w:sz w:val="20"/>
                <w:szCs w:val="20"/>
                <w:lang w:val="et-EE"/>
              </w:rPr>
            </w:pPr>
            <w:r w:rsidRPr="006F46A5">
              <w:rPr>
                <w:rFonts w:ascii="Times New Roman" w:hAnsi="Times New Roman" w:cs="Times New Roman"/>
                <w:sz w:val="20"/>
                <w:szCs w:val="20"/>
                <w:lang w:val="et-EE"/>
              </w:rPr>
              <w:t>0</w:t>
            </w:r>
          </w:p>
        </w:tc>
        <w:tc>
          <w:tcPr>
            <w:tcW w:w="1435" w:type="dxa"/>
            <w:vMerge w:val="restart"/>
            <w:shd w:val="clear" w:color="auto" w:fill="auto"/>
          </w:tcPr>
          <w:p w:rsidR="00BC467F" w:rsidRPr="006F46A5" w:rsidRDefault="00CD13E8" w:rsidP="0059011D">
            <w:pPr>
              <w:spacing w:after="120" w:line="240" w:lineRule="auto"/>
              <w:rPr>
                <w:rFonts w:ascii="Times New Roman" w:hAnsi="Times New Roman" w:cs="Times New Roman"/>
                <w:sz w:val="20"/>
                <w:szCs w:val="20"/>
                <w:lang w:eastAsia="cs-CZ"/>
              </w:rPr>
            </w:pPr>
            <w:r w:rsidRPr="006F46A5">
              <w:rPr>
                <w:rFonts w:ascii="Times New Roman" w:hAnsi="Times New Roman" w:cs="Times New Roman"/>
                <w:sz w:val="20"/>
                <w:szCs w:val="20"/>
                <w:lang w:eastAsia="cs-CZ"/>
              </w:rPr>
              <w:t>0</w:t>
            </w:r>
          </w:p>
        </w:tc>
        <w:tc>
          <w:tcPr>
            <w:tcW w:w="1436" w:type="dxa"/>
            <w:vMerge w:val="restart"/>
            <w:shd w:val="clear" w:color="auto" w:fill="auto"/>
          </w:tcPr>
          <w:p w:rsidR="00BC467F" w:rsidRPr="006F46A5" w:rsidRDefault="00CD13E8" w:rsidP="0059011D">
            <w:pPr>
              <w:spacing w:after="120" w:line="240" w:lineRule="auto"/>
              <w:rPr>
                <w:rFonts w:ascii="Times New Roman" w:hAnsi="Times New Roman" w:cs="Times New Roman"/>
                <w:sz w:val="20"/>
                <w:szCs w:val="20"/>
                <w:lang w:eastAsia="cs-CZ"/>
              </w:rPr>
            </w:pPr>
            <w:r w:rsidRPr="006F46A5">
              <w:rPr>
                <w:rFonts w:ascii="Times New Roman" w:hAnsi="Times New Roman" w:cs="Times New Roman"/>
                <w:color w:val="000000"/>
                <w:sz w:val="20"/>
                <w:szCs w:val="20"/>
                <w:lang w:val="et-EE"/>
              </w:rPr>
              <w:t>317 893 000</w:t>
            </w:r>
          </w:p>
        </w:tc>
      </w:tr>
      <w:tr w:rsidR="00BC467F" w:rsidRPr="006F46A5" w:rsidTr="008F7C58">
        <w:trPr>
          <w:trHeight w:val="617"/>
        </w:trPr>
        <w:tc>
          <w:tcPr>
            <w:tcW w:w="1435" w:type="dxa"/>
            <w:vMerge/>
            <w:shd w:val="clear" w:color="auto" w:fill="C6D9F1" w:themeFill="text2" w:themeFillTint="33"/>
          </w:tcPr>
          <w:p w:rsidR="00BC467F" w:rsidRPr="006F46A5" w:rsidRDefault="00BC467F" w:rsidP="0059011D">
            <w:pPr>
              <w:spacing w:after="0" w:line="240" w:lineRule="auto"/>
              <w:rPr>
                <w:rFonts w:ascii="Times New Roman" w:hAnsi="Times New Roman" w:cs="Times New Roman"/>
                <w:sz w:val="20"/>
                <w:szCs w:val="20"/>
                <w:lang w:val="et-EE"/>
              </w:rPr>
            </w:pPr>
          </w:p>
        </w:tc>
        <w:tc>
          <w:tcPr>
            <w:tcW w:w="1436" w:type="dxa"/>
            <w:vMerge/>
            <w:shd w:val="clear" w:color="auto" w:fill="auto"/>
          </w:tcPr>
          <w:p w:rsidR="00BC467F" w:rsidRPr="006F46A5" w:rsidRDefault="00BC467F" w:rsidP="0059011D">
            <w:pPr>
              <w:spacing w:after="0" w:line="240" w:lineRule="auto"/>
              <w:rPr>
                <w:rFonts w:ascii="Times New Roman" w:hAnsi="Times New Roman" w:cs="Times New Roman"/>
                <w:sz w:val="20"/>
                <w:szCs w:val="20"/>
                <w:lang w:val="et-EE"/>
              </w:rPr>
            </w:pPr>
          </w:p>
        </w:tc>
        <w:tc>
          <w:tcPr>
            <w:tcW w:w="1435" w:type="dxa"/>
            <w:shd w:val="clear" w:color="auto" w:fill="auto"/>
          </w:tcPr>
          <w:p w:rsidR="00BC467F" w:rsidRPr="006F46A5" w:rsidRDefault="00BC467F" w:rsidP="0059011D">
            <w:pPr>
              <w:spacing w:after="120" w:line="240" w:lineRule="auto"/>
              <w:rPr>
                <w:rFonts w:ascii="Times New Roman" w:hAnsi="Times New Roman" w:cs="Times New Roman"/>
                <w:sz w:val="20"/>
                <w:szCs w:val="20"/>
                <w:lang w:val="et-EE"/>
              </w:rPr>
            </w:pPr>
            <w:r w:rsidRPr="006F46A5">
              <w:rPr>
                <w:rFonts w:ascii="Times New Roman" w:hAnsi="Times New Roman" w:cs="Times New Roman"/>
                <w:sz w:val="20"/>
                <w:szCs w:val="20"/>
                <w:lang w:val="et-EE"/>
              </w:rPr>
              <w:t>Přechodové regiony</w:t>
            </w:r>
          </w:p>
        </w:tc>
        <w:tc>
          <w:tcPr>
            <w:tcW w:w="1436" w:type="dxa"/>
            <w:shd w:val="clear" w:color="auto" w:fill="auto"/>
          </w:tcPr>
          <w:p w:rsidR="00BC467F" w:rsidRPr="006F46A5" w:rsidRDefault="00BC467F" w:rsidP="0059011D">
            <w:pPr>
              <w:spacing w:after="120" w:line="240" w:lineRule="auto"/>
              <w:rPr>
                <w:rFonts w:ascii="Times New Roman" w:hAnsi="Times New Roman" w:cs="Times New Roman"/>
                <w:sz w:val="20"/>
                <w:szCs w:val="20"/>
                <w:lang w:val="et-EE"/>
              </w:rPr>
            </w:pPr>
            <w:r w:rsidRPr="006F46A5">
              <w:rPr>
                <w:rFonts w:ascii="Times New Roman" w:hAnsi="Times New Roman" w:cs="Times New Roman"/>
                <w:sz w:val="20"/>
                <w:szCs w:val="20"/>
                <w:lang w:eastAsia="cs-CZ"/>
              </w:rPr>
              <w:t>pro ČR není relevantní</w:t>
            </w:r>
          </w:p>
        </w:tc>
        <w:tc>
          <w:tcPr>
            <w:tcW w:w="1435" w:type="dxa"/>
            <w:vMerge/>
            <w:shd w:val="clear" w:color="auto" w:fill="auto"/>
          </w:tcPr>
          <w:p w:rsidR="00BC467F" w:rsidRPr="006F46A5" w:rsidRDefault="00BC467F" w:rsidP="0059011D">
            <w:pPr>
              <w:spacing w:after="0" w:line="240" w:lineRule="auto"/>
              <w:rPr>
                <w:rFonts w:ascii="Times New Roman" w:hAnsi="Times New Roman" w:cs="Times New Roman"/>
                <w:sz w:val="20"/>
                <w:szCs w:val="20"/>
                <w:lang w:eastAsia="cs-CZ"/>
              </w:rPr>
            </w:pPr>
          </w:p>
        </w:tc>
        <w:tc>
          <w:tcPr>
            <w:tcW w:w="1436" w:type="dxa"/>
            <w:vMerge/>
            <w:shd w:val="clear" w:color="auto" w:fill="auto"/>
          </w:tcPr>
          <w:p w:rsidR="00BC467F" w:rsidRPr="006F46A5" w:rsidRDefault="00BC467F" w:rsidP="0059011D">
            <w:pPr>
              <w:spacing w:after="0" w:line="240" w:lineRule="auto"/>
              <w:rPr>
                <w:rFonts w:ascii="Times New Roman" w:hAnsi="Times New Roman" w:cs="Times New Roman"/>
                <w:sz w:val="20"/>
                <w:szCs w:val="20"/>
                <w:lang w:eastAsia="cs-CZ"/>
              </w:rPr>
            </w:pPr>
          </w:p>
        </w:tc>
      </w:tr>
    </w:tbl>
    <w:p w:rsidR="00E14245" w:rsidRPr="000B521F" w:rsidRDefault="00E14245" w:rsidP="0059011D">
      <w:pPr>
        <w:pStyle w:val="Nadpis2"/>
      </w:pPr>
      <w:bookmarkStart w:id="76" w:name="_Toc374702889"/>
      <w:r w:rsidRPr="000B521F">
        <w:t>Převod prostředků z cíle Evropská územní spolupráce do cíle Investice pro růst a zaměstnanost, kde je to vhodné (Článek 85A obecného nařízení)</w:t>
      </w:r>
      <w:bookmarkEnd w:id="76"/>
    </w:p>
    <w:p w:rsidR="009B36ED" w:rsidRPr="000B521F" w:rsidRDefault="002C74AF" w:rsidP="0059011D">
      <w:pPr>
        <w:spacing w:after="120" w:line="240" w:lineRule="auto"/>
        <w:jc w:val="both"/>
        <w:rPr>
          <w:rFonts w:ascii="Times New Roman" w:hAnsi="Times New Roman" w:cs="Times New Roman"/>
          <w:sz w:val="24"/>
          <w:szCs w:val="24"/>
          <w:lang w:eastAsia="cs-CZ"/>
        </w:rPr>
      </w:pPr>
      <w:r w:rsidRPr="000B521F">
        <w:rPr>
          <w:rFonts w:ascii="Times New Roman" w:hAnsi="Times New Roman" w:cs="Times New Roman"/>
          <w:sz w:val="24"/>
          <w:szCs w:val="24"/>
        </w:rPr>
        <w:t>Převod prostředků z cíle Evropská územní spolupráce do cíle Investice pro růst a zaměstnanost nebude v ČR aplikován.</w:t>
      </w:r>
    </w:p>
    <w:p w:rsidR="009B36ED" w:rsidRPr="000B521F" w:rsidRDefault="00D1483D" w:rsidP="0059011D">
      <w:pPr>
        <w:pStyle w:val="Nadpis2"/>
      </w:pPr>
      <w:bookmarkStart w:id="77" w:name="_Toc374702890"/>
      <w:r w:rsidRPr="000B521F">
        <w:t>Žádost Evropské Komisi o převod prostředků technické pomoci, kde je to vhodné (Článek 22b obecného nařízení)</w:t>
      </w:r>
      <w:bookmarkEnd w:id="77"/>
    </w:p>
    <w:p w:rsidR="000B521F" w:rsidRPr="000B521F" w:rsidRDefault="002C74AF" w:rsidP="0059011D">
      <w:pPr>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Převod prostředků technické pomoci nebude v ČR aplikován.</w:t>
      </w:r>
    </w:p>
    <w:p w:rsidR="00FD15A3" w:rsidRPr="000B521F" w:rsidRDefault="00567824" w:rsidP="0059011D">
      <w:pPr>
        <w:pStyle w:val="Nadpis2"/>
      </w:pPr>
      <w:bookmarkStart w:id="78" w:name="_Toc374702891"/>
      <w:r w:rsidRPr="000B521F">
        <w:lastRenderedPageBreak/>
        <w:t>Informace k alokaci týkající se výkonnostní rezervy podle ESI fondů a kde je to vhodné podle kategorií region a k objemu prostředků vyhrazených na výkonnostní rezervu (Článek 14 (1) (a) (vii) obecného nařízení)</w:t>
      </w:r>
      <w:bookmarkEnd w:id="78"/>
    </w:p>
    <w:p w:rsidR="00567824" w:rsidRDefault="00567824" w:rsidP="00831CC0">
      <w:pPr>
        <w:spacing w:after="120" w:line="240" w:lineRule="auto"/>
        <w:jc w:val="both"/>
        <w:rPr>
          <w:rFonts w:ascii="Times New Roman" w:hAnsi="Times New Roman" w:cs="Times New Roman"/>
          <w:sz w:val="24"/>
          <w:szCs w:val="24"/>
          <w:lang w:eastAsia="cs-CZ"/>
        </w:rPr>
      </w:pPr>
      <w:r w:rsidRPr="000B521F">
        <w:rPr>
          <w:rFonts w:ascii="Times New Roman" w:hAnsi="Times New Roman" w:cs="Times New Roman"/>
          <w:sz w:val="24"/>
          <w:szCs w:val="24"/>
          <w:lang w:eastAsia="cs-CZ"/>
        </w:rPr>
        <w:t>Zvláštní alokace pro Iniciativu na podporu zaměstnanosti mladých lidí je vyjmuta z výpočtu a provádění výkonnostní rezervy. U zbylých fondů je objem prostředků vyhrazených pro</w:t>
      </w:r>
      <w:r w:rsidR="000B521F" w:rsidRPr="000B521F">
        <w:rPr>
          <w:rFonts w:ascii="Times New Roman" w:hAnsi="Times New Roman" w:cs="Times New Roman"/>
          <w:sz w:val="24"/>
          <w:szCs w:val="24"/>
          <w:lang w:eastAsia="cs-CZ"/>
        </w:rPr>
        <w:t xml:space="preserve"> </w:t>
      </w:r>
      <w:r w:rsidRPr="000B521F">
        <w:rPr>
          <w:rFonts w:ascii="Times New Roman" w:hAnsi="Times New Roman" w:cs="Times New Roman"/>
          <w:sz w:val="24"/>
          <w:szCs w:val="24"/>
          <w:lang w:eastAsia="cs-CZ"/>
        </w:rPr>
        <w:t>výpočet výkonnostní rezervy a alokace týkající se výkonnostní rezervy uveden v následující tabulce.</w:t>
      </w:r>
    </w:p>
    <w:p w:rsidR="001F20C3" w:rsidRPr="001F20C3" w:rsidRDefault="001F20C3" w:rsidP="001F20C3">
      <w:pPr>
        <w:spacing w:after="120" w:line="240" w:lineRule="auto"/>
        <w:jc w:val="both"/>
        <w:rPr>
          <w:rFonts w:ascii="Times New Roman" w:hAnsi="Times New Roman" w:cs="Times New Roman"/>
          <w:sz w:val="24"/>
          <w:szCs w:val="24"/>
          <w:lang w:eastAsia="cs-CZ"/>
        </w:rPr>
      </w:pPr>
      <w:r w:rsidRPr="001F20C3">
        <w:rPr>
          <w:rFonts w:ascii="Times New Roman" w:hAnsi="Times New Roman" w:cs="Times New Roman"/>
          <w:sz w:val="24"/>
          <w:szCs w:val="24"/>
          <w:lang w:eastAsia="cs-CZ"/>
        </w:rPr>
        <w:t>Česká republika stanovila jednotnou úroveň výkonnostní rezervy pro strukturální fondy a Fond soudržnosti jako 6 %, a to napříč operačními programy i prioritními osami.</w:t>
      </w:r>
    </w:p>
    <w:p w:rsidR="001F20C3" w:rsidRPr="000B521F" w:rsidRDefault="001F20C3" w:rsidP="00831CC0">
      <w:pPr>
        <w:spacing w:after="120" w:line="240" w:lineRule="auto"/>
        <w:jc w:val="both"/>
        <w:rPr>
          <w:rFonts w:ascii="Times New Roman" w:hAnsi="Times New Roman" w:cs="Times New Roman"/>
          <w:sz w:val="24"/>
          <w:szCs w:val="24"/>
          <w:lang w:eastAsia="cs-CZ"/>
        </w:rPr>
      </w:pPr>
    </w:p>
    <w:p w:rsidR="00567824" w:rsidRPr="000B521F" w:rsidRDefault="00567824" w:rsidP="0059011D">
      <w:pPr>
        <w:pStyle w:val="Tabulka"/>
        <w:spacing w:before="120" w:after="60"/>
        <w:rPr>
          <w:szCs w:val="20"/>
        </w:rPr>
      </w:pPr>
      <w:r w:rsidRPr="000B521F">
        <w:rPr>
          <w:szCs w:val="20"/>
        </w:rPr>
        <w:t>Tabulka 1-10</w:t>
      </w:r>
      <w:r w:rsidR="00831CC0">
        <w:rPr>
          <w:szCs w:val="20"/>
        </w:rPr>
        <w:t>:</w:t>
      </w:r>
      <w:r w:rsidRPr="000B521F">
        <w:rPr>
          <w:szCs w:val="20"/>
        </w:rPr>
        <w:t xml:space="preserve"> Alokace výkonnostní rezervy podle ESI fondů, kategorií regionů a </w:t>
      </w:r>
      <w:r w:rsidR="00AD04B5" w:rsidRPr="000B521F">
        <w:rPr>
          <w:szCs w:val="20"/>
        </w:rPr>
        <w:t>objem prostředků vyhrazených pro výkonnostní rezervu</w:t>
      </w:r>
      <w:r w:rsidRPr="000B521F">
        <w:rPr>
          <w:szCs w:val="20"/>
        </w:rPr>
        <w:t xml:space="preserve"> </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2"/>
        <w:gridCol w:w="1389"/>
        <w:gridCol w:w="1110"/>
        <w:gridCol w:w="1204"/>
        <w:gridCol w:w="1018"/>
        <w:gridCol w:w="1295"/>
        <w:gridCol w:w="1204"/>
        <w:gridCol w:w="1204"/>
      </w:tblGrid>
      <w:tr w:rsidR="009C643D" w:rsidRPr="006F46A5" w:rsidTr="008F7C58">
        <w:tc>
          <w:tcPr>
            <w:tcW w:w="439" w:type="pct"/>
            <w:shd w:val="clear" w:color="auto" w:fill="8DB3E2" w:themeFill="text2" w:themeFillTint="66"/>
          </w:tcPr>
          <w:p w:rsidR="00CD13E8" w:rsidRPr="006F46A5" w:rsidRDefault="00CD13E8" w:rsidP="0059011D">
            <w:pPr>
              <w:pStyle w:val="Text2"/>
              <w:numPr>
                <w:ilvl w:val="0"/>
                <w:numId w:val="92"/>
              </w:numPr>
              <w:rPr>
                <w:b/>
                <w:sz w:val="20"/>
                <w:szCs w:val="20"/>
                <w:lang w:val="et-EE"/>
              </w:rPr>
            </w:pPr>
          </w:p>
        </w:tc>
        <w:tc>
          <w:tcPr>
            <w:tcW w:w="752" w:type="pct"/>
            <w:shd w:val="clear" w:color="auto" w:fill="8DB3E2" w:themeFill="text2" w:themeFillTint="66"/>
          </w:tcPr>
          <w:p w:rsidR="00CD13E8" w:rsidRPr="006F46A5" w:rsidRDefault="00CD13E8" w:rsidP="0059011D">
            <w:pPr>
              <w:pStyle w:val="Text2"/>
              <w:numPr>
                <w:ilvl w:val="0"/>
                <w:numId w:val="92"/>
              </w:numPr>
              <w:rPr>
                <w:b/>
                <w:sz w:val="20"/>
                <w:szCs w:val="20"/>
                <w:lang w:val="et-EE"/>
              </w:rPr>
            </w:pPr>
          </w:p>
        </w:tc>
        <w:tc>
          <w:tcPr>
            <w:tcW w:w="601" w:type="pct"/>
            <w:shd w:val="clear" w:color="auto" w:fill="8DB3E2" w:themeFill="text2" w:themeFillTint="66"/>
          </w:tcPr>
          <w:p w:rsidR="00CD13E8" w:rsidRPr="006F46A5" w:rsidRDefault="00CD13E8" w:rsidP="0059011D">
            <w:pPr>
              <w:pStyle w:val="Text2"/>
              <w:numPr>
                <w:ilvl w:val="0"/>
                <w:numId w:val="92"/>
              </w:numPr>
              <w:rPr>
                <w:b/>
                <w:sz w:val="20"/>
                <w:szCs w:val="20"/>
                <w:lang w:val="et-EE"/>
              </w:rPr>
            </w:pPr>
          </w:p>
        </w:tc>
        <w:tc>
          <w:tcPr>
            <w:tcW w:w="652" w:type="pct"/>
            <w:shd w:val="clear" w:color="auto" w:fill="8DB3E2" w:themeFill="text2" w:themeFillTint="66"/>
          </w:tcPr>
          <w:p w:rsidR="00CD13E8" w:rsidRPr="006F46A5" w:rsidRDefault="00CD13E8" w:rsidP="0059011D">
            <w:pPr>
              <w:pStyle w:val="Text2"/>
              <w:numPr>
                <w:ilvl w:val="0"/>
                <w:numId w:val="92"/>
              </w:numPr>
              <w:rPr>
                <w:b/>
                <w:sz w:val="20"/>
                <w:szCs w:val="20"/>
                <w:lang w:val="et-EE"/>
              </w:rPr>
            </w:pPr>
          </w:p>
        </w:tc>
        <w:tc>
          <w:tcPr>
            <w:tcW w:w="551" w:type="pct"/>
            <w:shd w:val="clear" w:color="auto" w:fill="8DB3E2" w:themeFill="text2" w:themeFillTint="66"/>
          </w:tcPr>
          <w:p w:rsidR="00CD13E8" w:rsidRPr="006F46A5" w:rsidRDefault="00CD13E8" w:rsidP="0059011D">
            <w:pPr>
              <w:pStyle w:val="Text2"/>
              <w:numPr>
                <w:ilvl w:val="0"/>
                <w:numId w:val="92"/>
              </w:numPr>
              <w:rPr>
                <w:b/>
                <w:sz w:val="20"/>
                <w:szCs w:val="20"/>
                <w:lang w:val="et-EE"/>
              </w:rPr>
            </w:pPr>
          </w:p>
        </w:tc>
        <w:tc>
          <w:tcPr>
            <w:tcW w:w="701" w:type="pct"/>
            <w:shd w:val="clear" w:color="auto" w:fill="8DB3E2" w:themeFill="text2" w:themeFillTint="66"/>
          </w:tcPr>
          <w:p w:rsidR="00CD13E8" w:rsidRPr="006F46A5" w:rsidRDefault="00CD13E8" w:rsidP="0059011D">
            <w:pPr>
              <w:pStyle w:val="Text2"/>
              <w:numPr>
                <w:ilvl w:val="0"/>
                <w:numId w:val="92"/>
              </w:numPr>
              <w:rPr>
                <w:b/>
                <w:sz w:val="20"/>
                <w:szCs w:val="20"/>
                <w:lang w:val="et-EE"/>
              </w:rPr>
            </w:pPr>
          </w:p>
        </w:tc>
        <w:tc>
          <w:tcPr>
            <w:tcW w:w="652" w:type="pct"/>
            <w:shd w:val="clear" w:color="auto" w:fill="8DB3E2" w:themeFill="text2" w:themeFillTint="66"/>
          </w:tcPr>
          <w:p w:rsidR="00CD13E8" w:rsidRPr="006F46A5" w:rsidRDefault="00CD13E8" w:rsidP="0059011D">
            <w:pPr>
              <w:pStyle w:val="Text2"/>
              <w:numPr>
                <w:ilvl w:val="0"/>
                <w:numId w:val="92"/>
              </w:numPr>
              <w:rPr>
                <w:b/>
                <w:sz w:val="20"/>
                <w:szCs w:val="20"/>
                <w:lang w:val="et-EE"/>
              </w:rPr>
            </w:pPr>
          </w:p>
        </w:tc>
        <w:tc>
          <w:tcPr>
            <w:tcW w:w="652" w:type="pct"/>
            <w:shd w:val="clear" w:color="auto" w:fill="8DB3E2" w:themeFill="text2" w:themeFillTint="66"/>
          </w:tcPr>
          <w:p w:rsidR="00CD13E8" w:rsidRPr="006F46A5" w:rsidRDefault="00CD13E8" w:rsidP="0059011D">
            <w:pPr>
              <w:pStyle w:val="Text2"/>
              <w:numPr>
                <w:ilvl w:val="0"/>
                <w:numId w:val="92"/>
              </w:numPr>
              <w:rPr>
                <w:b/>
                <w:sz w:val="20"/>
                <w:szCs w:val="20"/>
                <w:lang w:val="et-EE"/>
              </w:rPr>
            </w:pPr>
          </w:p>
        </w:tc>
      </w:tr>
      <w:tr w:rsidR="009C643D" w:rsidRPr="006F46A5" w:rsidTr="008F7C58">
        <w:tc>
          <w:tcPr>
            <w:tcW w:w="439" w:type="pct"/>
            <w:shd w:val="clear" w:color="auto" w:fill="8DB3E2" w:themeFill="text2" w:themeFillTint="66"/>
          </w:tcPr>
          <w:p w:rsidR="00CD13E8" w:rsidRPr="006F46A5" w:rsidRDefault="00CD13E8" w:rsidP="0059011D">
            <w:pPr>
              <w:pStyle w:val="Text2"/>
              <w:ind w:left="0"/>
              <w:rPr>
                <w:b/>
                <w:sz w:val="20"/>
                <w:szCs w:val="20"/>
                <w:lang w:val="et-EE"/>
              </w:rPr>
            </w:pPr>
          </w:p>
        </w:tc>
        <w:tc>
          <w:tcPr>
            <w:tcW w:w="752" w:type="pct"/>
            <w:shd w:val="clear" w:color="auto" w:fill="8DB3E2" w:themeFill="text2" w:themeFillTint="66"/>
          </w:tcPr>
          <w:p w:rsidR="00CD13E8" w:rsidRPr="006F46A5" w:rsidRDefault="00CD13E8" w:rsidP="0059011D">
            <w:pPr>
              <w:pStyle w:val="Text2"/>
              <w:ind w:left="0"/>
              <w:rPr>
                <w:b/>
                <w:sz w:val="20"/>
                <w:szCs w:val="20"/>
                <w:lang w:val="et-EE"/>
              </w:rPr>
            </w:pPr>
          </w:p>
        </w:tc>
        <w:tc>
          <w:tcPr>
            <w:tcW w:w="601" w:type="pct"/>
            <w:shd w:val="clear" w:color="auto" w:fill="8DB3E2" w:themeFill="text2" w:themeFillTint="66"/>
          </w:tcPr>
          <w:p w:rsidR="00CD13E8" w:rsidRPr="006F46A5" w:rsidRDefault="00CD13E8" w:rsidP="0059011D">
            <w:pPr>
              <w:pStyle w:val="Text2"/>
              <w:ind w:left="0"/>
              <w:rPr>
                <w:b/>
                <w:sz w:val="20"/>
                <w:szCs w:val="20"/>
                <w:lang w:val="et-EE"/>
              </w:rPr>
            </w:pPr>
          </w:p>
        </w:tc>
        <w:tc>
          <w:tcPr>
            <w:tcW w:w="1203" w:type="pct"/>
            <w:gridSpan w:val="2"/>
            <w:shd w:val="clear" w:color="auto" w:fill="8DB3E2" w:themeFill="text2" w:themeFillTint="66"/>
          </w:tcPr>
          <w:p w:rsidR="00CD13E8" w:rsidRPr="006F46A5" w:rsidRDefault="00CD13E8" w:rsidP="0059011D">
            <w:pPr>
              <w:pStyle w:val="Text2"/>
              <w:ind w:left="0"/>
              <w:jc w:val="center"/>
              <w:rPr>
                <w:b/>
                <w:sz w:val="20"/>
                <w:szCs w:val="20"/>
                <w:lang w:val="et-EE"/>
              </w:rPr>
            </w:pPr>
            <w:r w:rsidRPr="006F46A5">
              <w:rPr>
                <w:b/>
                <w:sz w:val="20"/>
                <w:szCs w:val="20"/>
                <w:lang w:val="et-EE"/>
              </w:rPr>
              <w:t>Prostředky, jichž se  výpočet výkonnostní rezervy nedotýká</w:t>
            </w:r>
            <w:r w:rsidRPr="006F46A5">
              <w:rPr>
                <w:rStyle w:val="Znakapoznpodarou"/>
                <w:rFonts w:ascii="Times New Roman" w:hAnsi="Times New Roman"/>
                <w:b/>
                <w:sz w:val="20"/>
                <w:szCs w:val="20"/>
                <w:lang w:val="et-EE"/>
              </w:rPr>
              <w:footnoteReference w:id="78"/>
            </w:r>
          </w:p>
        </w:tc>
        <w:tc>
          <w:tcPr>
            <w:tcW w:w="701" w:type="pct"/>
            <w:shd w:val="clear" w:color="auto" w:fill="8DB3E2" w:themeFill="text2" w:themeFillTint="66"/>
          </w:tcPr>
          <w:p w:rsidR="00CD13E8" w:rsidRPr="006F46A5" w:rsidRDefault="00CD13E8" w:rsidP="0059011D">
            <w:pPr>
              <w:pStyle w:val="Text2"/>
              <w:ind w:left="0"/>
              <w:rPr>
                <w:b/>
                <w:sz w:val="20"/>
                <w:szCs w:val="20"/>
                <w:lang w:val="et-EE"/>
              </w:rPr>
            </w:pPr>
          </w:p>
        </w:tc>
        <w:tc>
          <w:tcPr>
            <w:tcW w:w="652" w:type="pct"/>
            <w:shd w:val="clear" w:color="auto" w:fill="8DB3E2" w:themeFill="text2" w:themeFillTint="66"/>
          </w:tcPr>
          <w:p w:rsidR="00CD13E8" w:rsidRPr="006F46A5" w:rsidRDefault="00CD13E8" w:rsidP="0059011D">
            <w:pPr>
              <w:pStyle w:val="Text2"/>
              <w:ind w:left="0"/>
              <w:rPr>
                <w:b/>
                <w:sz w:val="20"/>
                <w:szCs w:val="20"/>
                <w:lang w:val="et-EE"/>
              </w:rPr>
            </w:pPr>
          </w:p>
        </w:tc>
        <w:tc>
          <w:tcPr>
            <w:tcW w:w="652" w:type="pct"/>
            <w:shd w:val="clear" w:color="auto" w:fill="8DB3E2" w:themeFill="text2" w:themeFillTint="66"/>
          </w:tcPr>
          <w:p w:rsidR="00CD13E8" w:rsidRPr="006F46A5" w:rsidRDefault="00CD13E8" w:rsidP="0059011D">
            <w:pPr>
              <w:pStyle w:val="Text2"/>
              <w:ind w:left="0"/>
              <w:rPr>
                <w:b/>
                <w:sz w:val="20"/>
                <w:szCs w:val="20"/>
                <w:lang w:val="et-EE"/>
              </w:rPr>
            </w:pPr>
          </w:p>
        </w:tc>
      </w:tr>
      <w:tr w:rsidR="009C643D" w:rsidRPr="006F46A5" w:rsidTr="008F7C58">
        <w:tc>
          <w:tcPr>
            <w:tcW w:w="439" w:type="pct"/>
            <w:shd w:val="clear" w:color="auto" w:fill="8DB3E2" w:themeFill="text2" w:themeFillTint="66"/>
          </w:tcPr>
          <w:p w:rsidR="00CD13E8" w:rsidRPr="006F46A5" w:rsidRDefault="00CD13E8" w:rsidP="0059011D">
            <w:pPr>
              <w:pStyle w:val="Text2"/>
              <w:ind w:left="0"/>
              <w:rPr>
                <w:b/>
                <w:sz w:val="20"/>
                <w:szCs w:val="20"/>
                <w:lang w:val="et-EE"/>
              </w:rPr>
            </w:pPr>
            <w:r w:rsidRPr="006F46A5">
              <w:rPr>
                <w:b/>
                <w:sz w:val="20"/>
                <w:szCs w:val="20"/>
                <w:lang w:val="et-EE"/>
              </w:rPr>
              <w:t>Fond</w:t>
            </w:r>
          </w:p>
        </w:tc>
        <w:tc>
          <w:tcPr>
            <w:tcW w:w="752" w:type="pct"/>
            <w:shd w:val="clear" w:color="auto" w:fill="8DB3E2" w:themeFill="text2" w:themeFillTint="66"/>
          </w:tcPr>
          <w:p w:rsidR="00CD13E8" w:rsidRPr="006F46A5" w:rsidRDefault="00CD13E8" w:rsidP="0059011D">
            <w:pPr>
              <w:pStyle w:val="Text2"/>
              <w:ind w:left="0"/>
              <w:rPr>
                <w:b/>
                <w:sz w:val="20"/>
                <w:szCs w:val="20"/>
                <w:lang w:val="et-EE"/>
              </w:rPr>
            </w:pPr>
            <w:r w:rsidRPr="006F46A5">
              <w:rPr>
                <w:b/>
                <w:sz w:val="20"/>
                <w:szCs w:val="20"/>
                <w:lang w:val="et-EE"/>
              </w:rPr>
              <w:t>Kategorie regionů</w:t>
            </w:r>
          </w:p>
        </w:tc>
        <w:tc>
          <w:tcPr>
            <w:tcW w:w="601" w:type="pct"/>
            <w:shd w:val="clear" w:color="auto" w:fill="8DB3E2" w:themeFill="text2" w:themeFillTint="66"/>
          </w:tcPr>
          <w:p w:rsidR="00CD13E8" w:rsidRPr="006F46A5" w:rsidRDefault="00CD13E8" w:rsidP="0059011D">
            <w:pPr>
              <w:pStyle w:val="Text2"/>
              <w:ind w:left="0"/>
              <w:rPr>
                <w:b/>
                <w:sz w:val="20"/>
                <w:szCs w:val="20"/>
                <w:lang w:val="et-EE"/>
              </w:rPr>
            </w:pPr>
            <w:r w:rsidRPr="006F46A5">
              <w:rPr>
                <w:b/>
                <w:sz w:val="20"/>
                <w:szCs w:val="20"/>
                <w:lang w:val="et-EE"/>
              </w:rPr>
              <w:t>Celková podpora Společenství</w:t>
            </w:r>
            <w:r w:rsidRPr="006F46A5">
              <w:rPr>
                <w:rStyle w:val="Znakapoznpodarou"/>
                <w:rFonts w:ascii="Times New Roman" w:hAnsi="Times New Roman"/>
                <w:b/>
                <w:sz w:val="20"/>
                <w:szCs w:val="20"/>
                <w:lang w:val="et-EE"/>
              </w:rPr>
              <w:footnoteReference w:id="79"/>
            </w:r>
          </w:p>
          <w:p w:rsidR="00CD13E8" w:rsidRPr="006F46A5" w:rsidRDefault="00CD13E8" w:rsidP="0059011D">
            <w:pPr>
              <w:pStyle w:val="Text2"/>
              <w:ind w:left="0"/>
              <w:rPr>
                <w:b/>
                <w:sz w:val="20"/>
                <w:szCs w:val="20"/>
                <w:lang w:val="et-EE"/>
              </w:rPr>
            </w:pPr>
            <w:r w:rsidRPr="006F46A5">
              <w:rPr>
                <w:b/>
                <w:sz w:val="20"/>
                <w:szCs w:val="20"/>
                <w:lang w:val="et-EE"/>
              </w:rPr>
              <w:t>(EUR)</w:t>
            </w:r>
          </w:p>
        </w:tc>
        <w:tc>
          <w:tcPr>
            <w:tcW w:w="652" w:type="pct"/>
            <w:shd w:val="clear" w:color="auto" w:fill="8DB3E2" w:themeFill="text2" w:themeFillTint="66"/>
          </w:tcPr>
          <w:p w:rsidR="00CD13E8" w:rsidRPr="006F46A5" w:rsidRDefault="00CD13E8" w:rsidP="0059011D">
            <w:pPr>
              <w:pStyle w:val="Text2"/>
              <w:ind w:left="0"/>
              <w:rPr>
                <w:b/>
                <w:sz w:val="20"/>
                <w:szCs w:val="20"/>
                <w:lang w:val="et-EE"/>
              </w:rPr>
            </w:pPr>
            <w:r w:rsidRPr="006F46A5">
              <w:rPr>
                <w:b/>
                <w:sz w:val="20"/>
                <w:szCs w:val="20"/>
                <w:lang w:val="et-EE"/>
              </w:rPr>
              <w:t>Odpovídající podpora ESF pro IZM (EUR)</w:t>
            </w:r>
          </w:p>
        </w:tc>
        <w:tc>
          <w:tcPr>
            <w:tcW w:w="551" w:type="pct"/>
            <w:shd w:val="clear" w:color="auto" w:fill="8DB3E2" w:themeFill="text2" w:themeFillTint="66"/>
          </w:tcPr>
          <w:p w:rsidR="00CD13E8" w:rsidRPr="006F46A5" w:rsidRDefault="00CD13E8" w:rsidP="0059011D">
            <w:pPr>
              <w:pStyle w:val="Text2"/>
              <w:ind w:left="0"/>
              <w:rPr>
                <w:b/>
                <w:sz w:val="20"/>
                <w:szCs w:val="20"/>
                <w:lang w:val="et-EE"/>
              </w:rPr>
            </w:pPr>
            <w:r w:rsidRPr="006F46A5">
              <w:rPr>
                <w:b/>
                <w:sz w:val="20"/>
                <w:szCs w:val="20"/>
                <w:lang w:val="et-EE"/>
              </w:rPr>
              <w:t>Převody v rámci Společné zemědělské politiky</w:t>
            </w:r>
            <w:r w:rsidRPr="006F46A5">
              <w:rPr>
                <w:rStyle w:val="Znakapoznpodarou"/>
                <w:rFonts w:ascii="Times New Roman" w:hAnsi="Times New Roman"/>
                <w:b/>
                <w:sz w:val="20"/>
                <w:szCs w:val="20"/>
                <w:lang w:val="et-EE"/>
              </w:rPr>
              <w:footnoteReference w:id="80"/>
            </w:r>
          </w:p>
          <w:p w:rsidR="00CD13E8" w:rsidRPr="006F46A5" w:rsidRDefault="00CD13E8" w:rsidP="0059011D">
            <w:pPr>
              <w:pStyle w:val="Text2"/>
              <w:ind w:left="0"/>
              <w:rPr>
                <w:b/>
                <w:sz w:val="20"/>
                <w:szCs w:val="20"/>
                <w:lang w:val="et-EE"/>
              </w:rPr>
            </w:pPr>
          </w:p>
        </w:tc>
        <w:tc>
          <w:tcPr>
            <w:tcW w:w="701" w:type="pct"/>
            <w:shd w:val="clear" w:color="auto" w:fill="8DB3E2" w:themeFill="text2" w:themeFillTint="66"/>
          </w:tcPr>
          <w:p w:rsidR="00CD13E8" w:rsidRPr="006F46A5" w:rsidRDefault="00CD13E8" w:rsidP="0059011D">
            <w:pPr>
              <w:pStyle w:val="Text2"/>
              <w:ind w:left="0"/>
              <w:rPr>
                <w:b/>
                <w:sz w:val="20"/>
                <w:szCs w:val="20"/>
                <w:lang w:val="et-EE"/>
              </w:rPr>
            </w:pPr>
            <w:r w:rsidRPr="006F46A5">
              <w:rPr>
                <w:b/>
                <w:sz w:val="20"/>
                <w:szCs w:val="20"/>
                <w:lang w:val="et-EE"/>
              </w:rPr>
              <w:t xml:space="preserve">Podpora Společenství, z níž se vypočítává výkonnostní rezerva (EUR) </w:t>
            </w:r>
            <w:r w:rsidRPr="006F46A5">
              <w:rPr>
                <w:rStyle w:val="Znakapoznpodarou"/>
                <w:rFonts w:ascii="Times New Roman" w:hAnsi="Times New Roman"/>
                <w:b/>
                <w:sz w:val="20"/>
                <w:szCs w:val="20"/>
                <w:lang w:val="et-EE"/>
              </w:rPr>
              <w:footnoteReference w:id="81"/>
            </w:r>
          </w:p>
        </w:tc>
        <w:tc>
          <w:tcPr>
            <w:tcW w:w="652" w:type="pct"/>
            <w:shd w:val="clear" w:color="auto" w:fill="8DB3E2" w:themeFill="text2" w:themeFillTint="66"/>
          </w:tcPr>
          <w:p w:rsidR="00CD13E8" w:rsidRPr="006F46A5" w:rsidRDefault="00CD13E8" w:rsidP="0059011D">
            <w:pPr>
              <w:pStyle w:val="Text2"/>
              <w:ind w:left="0"/>
              <w:rPr>
                <w:b/>
                <w:sz w:val="20"/>
                <w:szCs w:val="20"/>
                <w:lang w:val="et-EE"/>
              </w:rPr>
            </w:pPr>
            <w:r w:rsidRPr="006F46A5">
              <w:rPr>
                <w:b/>
                <w:sz w:val="20"/>
                <w:szCs w:val="20"/>
                <w:lang w:val="et-EE"/>
              </w:rPr>
              <w:t xml:space="preserve">Výkonnostní rezerva (EUR) </w:t>
            </w:r>
          </w:p>
        </w:tc>
        <w:tc>
          <w:tcPr>
            <w:tcW w:w="652" w:type="pct"/>
            <w:shd w:val="clear" w:color="auto" w:fill="8DB3E2" w:themeFill="text2" w:themeFillTint="66"/>
          </w:tcPr>
          <w:p w:rsidR="00CD13E8" w:rsidRPr="006F46A5" w:rsidRDefault="00CD13E8" w:rsidP="0059011D">
            <w:pPr>
              <w:pStyle w:val="Text2"/>
              <w:ind w:left="0"/>
              <w:rPr>
                <w:b/>
                <w:sz w:val="20"/>
                <w:szCs w:val="20"/>
                <w:lang w:val="et-EE"/>
              </w:rPr>
            </w:pPr>
            <w:r w:rsidRPr="006F46A5">
              <w:rPr>
                <w:b/>
                <w:sz w:val="20"/>
                <w:szCs w:val="20"/>
                <w:lang w:val="et-EE"/>
              </w:rPr>
              <w:t xml:space="preserve">Výkonnostní rezerva jako podíl na podpoře Společenství, z níž se výkonnostní rezerva vypočítává </w:t>
            </w:r>
            <w:r w:rsidRPr="006F46A5">
              <w:rPr>
                <w:rStyle w:val="Znakapoznpodarou"/>
                <w:rFonts w:ascii="Times New Roman" w:hAnsi="Times New Roman"/>
                <w:b/>
                <w:sz w:val="20"/>
                <w:szCs w:val="20"/>
                <w:lang w:val="et-EE"/>
              </w:rPr>
              <w:footnoteReference w:id="82"/>
            </w:r>
          </w:p>
        </w:tc>
      </w:tr>
      <w:tr w:rsidR="009C643D" w:rsidRPr="006F46A5" w:rsidTr="008F7C58">
        <w:tc>
          <w:tcPr>
            <w:tcW w:w="439" w:type="pct"/>
            <w:vMerge w:val="restart"/>
            <w:shd w:val="clear" w:color="auto" w:fill="C6D9F1" w:themeFill="text2" w:themeFillTint="33"/>
          </w:tcPr>
          <w:p w:rsidR="00CD13E8" w:rsidRPr="006F46A5" w:rsidRDefault="00CD13E8" w:rsidP="0059011D">
            <w:pPr>
              <w:pStyle w:val="Text2"/>
              <w:ind w:left="0"/>
              <w:rPr>
                <w:sz w:val="20"/>
                <w:szCs w:val="20"/>
                <w:lang w:val="et-EE"/>
              </w:rPr>
            </w:pPr>
            <w:r w:rsidRPr="006F46A5">
              <w:rPr>
                <w:sz w:val="20"/>
                <w:szCs w:val="20"/>
                <w:lang w:val="et-EE"/>
              </w:rPr>
              <w:t>EFRR</w:t>
            </w:r>
          </w:p>
        </w:tc>
        <w:tc>
          <w:tcPr>
            <w:tcW w:w="752" w:type="pct"/>
            <w:shd w:val="clear" w:color="auto" w:fill="auto"/>
          </w:tcPr>
          <w:p w:rsidR="00CD13E8" w:rsidRPr="006F46A5" w:rsidRDefault="00CD13E8" w:rsidP="0059011D">
            <w:pPr>
              <w:pStyle w:val="Text2"/>
              <w:ind w:left="0"/>
              <w:rPr>
                <w:sz w:val="20"/>
                <w:szCs w:val="20"/>
                <w:lang w:val="et-EE"/>
              </w:rPr>
            </w:pPr>
            <w:r w:rsidRPr="006F46A5">
              <w:rPr>
                <w:sz w:val="20"/>
                <w:szCs w:val="20"/>
                <w:lang w:val="et-EE"/>
              </w:rPr>
              <w:t>Vyspělé regiony</w:t>
            </w:r>
          </w:p>
        </w:tc>
        <w:tc>
          <w:tcPr>
            <w:tcW w:w="601" w:type="pct"/>
            <w:shd w:val="clear" w:color="auto" w:fill="auto"/>
          </w:tcPr>
          <w:p w:rsidR="00CD13E8" w:rsidRPr="006F46A5" w:rsidRDefault="00CD13E8" w:rsidP="0059011D">
            <w:pPr>
              <w:spacing w:after="120" w:line="240" w:lineRule="auto"/>
              <w:jc w:val="right"/>
              <w:rPr>
                <w:rFonts w:ascii="Times New Roman" w:hAnsi="Times New Roman" w:cs="Times New Roman"/>
                <w:color w:val="000000"/>
                <w:sz w:val="20"/>
                <w:szCs w:val="20"/>
              </w:rPr>
            </w:pPr>
            <w:r w:rsidRPr="006F46A5">
              <w:rPr>
                <w:rFonts w:ascii="Times New Roman" w:hAnsi="Times New Roman" w:cs="Times New Roman"/>
                <w:color w:val="000000"/>
                <w:sz w:val="20"/>
                <w:szCs w:val="20"/>
                <w:lang w:val="et-EE"/>
              </w:rPr>
              <w:t>174 841 150</w:t>
            </w:r>
          </w:p>
        </w:tc>
        <w:tc>
          <w:tcPr>
            <w:tcW w:w="652" w:type="pct"/>
            <w:shd w:val="clear" w:color="auto" w:fill="auto"/>
            <w:vAlign w:val="bottom"/>
          </w:tcPr>
          <w:p w:rsidR="00CD13E8" w:rsidRPr="006F46A5" w:rsidRDefault="00CD13E8" w:rsidP="0059011D">
            <w:pPr>
              <w:spacing w:after="12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rPr>
              <w:t> </w:t>
            </w:r>
          </w:p>
        </w:tc>
        <w:tc>
          <w:tcPr>
            <w:tcW w:w="551" w:type="pct"/>
            <w:shd w:val="clear" w:color="auto" w:fill="auto"/>
          </w:tcPr>
          <w:p w:rsidR="00CD13E8" w:rsidRPr="006F46A5" w:rsidRDefault="00CD13E8" w:rsidP="0059011D">
            <w:pPr>
              <w:spacing w:after="12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lang w:val="et-EE"/>
              </w:rPr>
              <w:t> </w:t>
            </w:r>
          </w:p>
        </w:tc>
        <w:tc>
          <w:tcPr>
            <w:tcW w:w="701" w:type="pct"/>
            <w:shd w:val="clear" w:color="auto" w:fill="auto"/>
          </w:tcPr>
          <w:p w:rsidR="00CD13E8" w:rsidRPr="006F46A5" w:rsidRDefault="00CD13E8" w:rsidP="0059011D">
            <w:pPr>
              <w:spacing w:after="120" w:line="240" w:lineRule="auto"/>
              <w:jc w:val="right"/>
              <w:rPr>
                <w:rFonts w:ascii="Times New Roman" w:hAnsi="Times New Roman" w:cs="Times New Roman"/>
                <w:color w:val="000000"/>
                <w:sz w:val="20"/>
                <w:szCs w:val="20"/>
              </w:rPr>
            </w:pPr>
            <w:r w:rsidRPr="006F46A5">
              <w:rPr>
                <w:rFonts w:ascii="Times New Roman" w:hAnsi="Times New Roman" w:cs="Times New Roman"/>
                <w:color w:val="000000"/>
                <w:sz w:val="20"/>
                <w:szCs w:val="20"/>
                <w:lang w:val="et-EE"/>
              </w:rPr>
              <w:t>174 841 150</w:t>
            </w:r>
          </w:p>
        </w:tc>
        <w:tc>
          <w:tcPr>
            <w:tcW w:w="652" w:type="pct"/>
            <w:shd w:val="clear" w:color="auto" w:fill="auto"/>
          </w:tcPr>
          <w:p w:rsidR="00CD13E8" w:rsidRPr="006F46A5" w:rsidRDefault="00CD13E8" w:rsidP="0059011D">
            <w:pPr>
              <w:spacing w:after="120" w:line="240" w:lineRule="auto"/>
              <w:jc w:val="right"/>
              <w:rPr>
                <w:rFonts w:ascii="Times New Roman" w:hAnsi="Times New Roman" w:cs="Times New Roman"/>
                <w:color w:val="000000"/>
                <w:sz w:val="20"/>
                <w:szCs w:val="20"/>
              </w:rPr>
            </w:pPr>
            <w:r w:rsidRPr="006F46A5">
              <w:rPr>
                <w:rFonts w:ascii="Times New Roman" w:hAnsi="Times New Roman" w:cs="Times New Roman"/>
                <w:color w:val="000000"/>
                <w:sz w:val="20"/>
                <w:szCs w:val="20"/>
                <w:lang w:val="et-EE"/>
              </w:rPr>
              <w:t>10 490 469</w:t>
            </w:r>
          </w:p>
        </w:tc>
        <w:tc>
          <w:tcPr>
            <w:tcW w:w="652" w:type="pct"/>
            <w:shd w:val="clear" w:color="auto" w:fill="auto"/>
          </w:tcPr>
          <w:p w:rsidR="00CD13E8" w:rsidRPr="006F46A5" w:rsidRDefault="00CD13E8" w:rsidP="0059011D">
            <w:pPr>
              <w:spacing w:after="120" w:line="240" w:lineRule="auto"/>
              <w:jc w:val="center"/>
              <w:rPr>
                <w:rFonts w:ascii="Times New Roman" w:hAnsi="Times New Roman" w:cs="Times New Roman"/>
                <w:color w:val="000000"/>
                <w:sz w:val="20"/>
                <w:szCs w:val="20"/>
              </w:rPr>
            </w:pPr>
            <w:r w:rsidRPr="006F46A5">
              <w:rPr>
                <w:rFonts w:ascii="Times New Roman" w:hAnsi="Times New Roman" w:cs="Times New Roman"/>
                <w:color w:val="000000"/>
                <w:sz w:val="20"/>
                <w:szCs w:val="20"/>
                <w:lang w:val="et-EE"/>
              </w:rPr>
              <w:t>6,0%</w:t>
            </w:r>
          </w:p>
        </w:tc>
      </w:tr>
      <w:tr w:rsidR="009C643D" w:rsidRPr="006F46A5" w:rsidTr="008F7C58">
        <w:tc>
          <w:tcPr>
            <w:tcW w:w="439" w:type="pct"/>
            <w:vMerge/>
            <w:shd w:val="clear" w:color="auto" w:fill="C6D9F1" w:themeFill="text2" w:themeFillTint="33"/>
          </w:tcPr>
          <w:p w:rsidR="00CD13E8" w:rsidRPr="006F46A5" w:rsidRDefault="00CD13E8" w:rsidP="0059011D">
            <w:pPr>
              <w:pStyle w:val="Text2"/>
              <w:ind w:left="0"/>
              <w:rPr>
                <w:sz w:val="20"/>
                <w:szCs w:val="20"/>
                <w:lang w:val="et-EE"/>
              </w:rPr>
            </w:pPr>
          </w:p>
        </w:tc>
        <w:tc>
          <w:tcPr>
            <w:tcW w:w="752" w:type="pct"/>
            <w:shd w:val="clear" w:color="auto" w:fill="auto"/>
          </w:tcPr>
          <w:p w:rsidR="00CD13E8" w:rsidRPr="006F46A5" w:rsidRDefault="00CD13E8" w:rsidP="0059011D">
            <w:pPr>
              <w:pStyle w:val="Text2"/>
              <w:ind w:left="0"/>
              <w:rPr>
                <w:sz w:val="20"/>
                <w:szCs w:val="20"/>
                <w:lang w:val="et-EE"/>
              </w:rPr>
            </w:pPr>
            <w:r w:rsidRPr="006F46A5">
              <w:rPr>
                <w:sz w:val="20"/>
                <w:szCs w:val="20"/>
                <w:lang w:val="et-EE"/>
              </w:rPr>
              <w:t>Přechodové regiony</w:t>
            </w:r>
          </w:p>
        </w:tc>
        <w:tc>
          <w:tcPr>
            <w:tcW w:w="601" w:type="pct"/>
            <w:shd w:val="clear" w:color="auto" w:fill="auto"/>
          </w:tcPr>
          <w:p w:rsidR="00CD13E8" w:rsidRPr="006F46A5" w:rsidRDefault="00CD13E8" w:rsidP="0059011D">
            <w:pPr>
              <w:spacing w:after="12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lang w:val="et-EE"/>
              </w:rPr>
              <w:t> </w:t>
            </w:r>
          </w:p>
        </w:tc>
        <w:tc>
          <w:tcPr>
            <w:tcW w:w="652" w:type="pct"/>
            <w:shd w:val="clear" w:color="auto" w:fill="auto"/>
          </w:tcPr>
          <w:p w:rsidR="00CD13E8" w:rsidRPr="006F46A5" w:rsidRDefault="00CD13E8" w:rsidP="0059011D">
            <w:pPr>
              <w:spacing w:after="12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lang w:val="et-EE"/>
              </w:rPr>
              <w:t> </w:t>
            </w:r>
          </w:p>
        </w:tc>
        <w:tc>
          <w:tcPr>
            <w:tcW w:w="551" w:type="pct"/>
            <w:shd w:val="clear" w:color="auto" w:fill="auto"/>
          </w:tcPr>
          <w:p w:rsidR="00CD13E8" w:rsidRPr="006F46A5" w:rsidRDefault="00CD13E8" w:rsidP="0059011D">
            <w:pPr>
              <w:spacing w:after="12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lang w:val="et-EE"/>
              </w:rPr>
              <w:t> </w:t>
            </w:r>
          </w:p>
        </w:tc>
        <w:tc>
          <w:tcPr>
            <w:tcW w:w="701" w:type="pct"/>
            <w:shd w:val="clear" w:color="auto" w:fill="auto"/>
          </w:tcPr>
          <w:p w:rsidR="00CD13E8" w:rsidRPr="006F46A5" w:rsidRDefault="00CD13E8" w:rsidP="0059011D">
            <w:pPr>
              <w:spacing w:after="12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lang w:val="et-EE"/>
              </w:rPr>
              <w:t> </w:t>
            </w:r>
          </w:p>
        </w:tc>
        <w:tc>
          <w:tcPr>
            <w:tcW w:w="652" w:type="pct"/>
            <w:shd w:val="clear" w:color="auto" w:fill="auto"/>
          </w:tcPr>
          <w:p w:rsidR="00CD13E8" w:rsidRPr="006F46A5" w:rsidRDefault="00CD13E8" w:rsidP="0059011D">
            <w:pPr>
              <w:spacing w:after="12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lang w:val="et-EE"/>
              </w:rPr>
              <w:t> </w:t>
            </w:r>
          </w:p>
        </w:tc>
        <w:tc>
          <w:tcPr>
            <w:tcW w:w="652" w:type="pct"/>
            <w:shd w:val="clear" w:color="auto" w:fill="auto"/>
          </w:tcPr>
          <w:p w:rsidR="00CD13E8" w:rsidRPr="006F46A5" w:rsidRDefault="00CD13E8" w:rsidP="0059011D">
            <w:pPr>
              <w:spacing w:line="240" w:lineRule="auto"/>
              <w:jc w:val="center"/>
              <w:rPr>
                <w:rFonts w:ascii="Times New Roman" w:hAnsi="Times New Roman" w:cs="Times New Roman"/>
                <w:color w:val="000000"/>
                <w:sz w:val="20"/>
                <w:szCs w:val="20"/>
              </w:rPr>
            </w:pPr>
          </w:p>
        </w:tc>
      </w:tr>
      <w:tr w:rsidR="009C643D" w:rsidRPr="006F46A5" w:rsidTr="008F7C58">
        <w:tc>
          <w:tcPr>
            <w:tcW w:w="439" w:type="pct"/>
            <w:vMerge/>
            <w:shd w:val="clear" w:color="auto" w:fill="C6D9F1" w:themeFill="text2" w:themeFillTint="33"/>
          </w:tcPr>
          <w:p w:rsidR="00CD13E8" w:rsidRPr="006F46A5" w:rsidRDefault="00CD13E8" w:rsidP="0059011D">
            <w:pPr>
              <w:pStyle w:val="Text2"/>
              <w:ind w:left="0"/>
              <w:rPr>
                <w:sz w:val="20"/>
                <w:szCs w:val="20"/>
                <w:lang w:val="et-EE"/>
              </w:rPr>
            </w:pPr>
          </w:p>
        </w:tc>
        <w:tc>
          <w:tcPr>
            <w:tcW w:w="752" w:type="pct"/>
            <w:shd w:val="clear" w:color="auto" w:fill="auto"/>
          </w:tcPr>
          <w:p w:rsidR="00CD13E8" w:rsidRPr="006F46A5" w:rsidRDefault="00CD13E8" w:rsidP="0059011D">
            <w:pPr>
              <w:pStyle w:val="Text2"/>
              <w:ind w:left="0"/>
              <w:rPr>
                <w:sz w:val="20"/>
                <w:szCs w:val="20"/>
                <w:lang w:val="et-EE"/>
              </w:rPr>
            </w:pPr>
            <w:r w:rsidRPr="006F46A5">
              <w:rPr>
                <w:sz w:val="20"/>
                <w:szCs w:val="20"/>
                <w:lang w:val="et-EE"/>
              </w:rPr>
              <w:t>Méně vyspělé regiony</w:t>
            </w:r>
          </w:p>
        </w:tc>
        <w:tc>
          <w:tcPr>
            <w:tcW w:w="601" w:type="pct"/>
            <w:shd w:val="clear" w:color="auto" w:fill="auto"/>
          </w:tcPr>
          <w:p w:rsidR="00CD13E8" w:rsidRPr="006F46A5" w:rsidRDefault="00CD13E8" w:rsidP="0059011D">
            <w:pPr>
              <w:spacing w:after="120" w:line="240" w:lineRule="auto"/>
              <w:jc w:val="right"/>
              <w:rPr>
                <w:rFonts w:ascii="Times New Roman" w:hAnsi="Times New Roman" w:cs="Times New Roman"/>
                <w:color w:val="000000"/>
                <w:sz w:val="20"/>
                <w:szCs w:val="20"/>
              </w:rPr>
            </w:pPr>
            <w:r w:rsidRPr="006F46A5">
              <w:rPr>
                <w:rFonts w:ascii="Times New Roman" w:hAnsi="Times New Roman" w:cs="Times New Roman"/>
                <w:color w:val="000000"/>
                <w:sz w:val="20"/>
                <w:szCs w:val="20"/>
                <w:lang w:val="et-EE"/>
              </w:rPr>
              <w:t>11 794 222 401</w:t>
            </w:r>
          </w:p>
        </w:tc>
        <w:tc>
          <w:tcPr>
            <w:tcW w:w="652" w:type="pct"/>
            <w:shd w:val="clear" w:color="auto" w:fill="auto"/>
            <w:vAlign w:val="bottom"/>
          </w:tcPr>
          <w:p w:rsidR="00CD13E8" w:rsidRPr="006F46A5" w:rsidRDefault="00CD13E8" w:rsidP="0059011D">
            <w:pPr>
              <w:spacing w:after="12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rPr>
              <w:t> </w:t>
            </w:r>
          </w:p>
        </w:tc>
        <w:tc>
          <w:tcPr>
            <w:tcW w:w="551" w:type="pct"/>
            <w:shd w:val="clear" w:color="auto" w:fill="auto"/>
          </w:tcPr>
          <w:p w:rsidR="00CD13E8" w:rsidRPr="006F46A5" w:rsidRDefault="00CD13E8" w:rsidP="0059011D">
            <w:pPr>
              <w:spacing w:after="12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lang w:val="et-EE"/>
              </w:rPr>
              <w:t> </w:t>
            </w:r>
          </w:p>
        </w:tc>
        <w:tc>
          <w:tcPr>
            <w:tcW w:w="701" w:type="pct"/>
            <w:shd w:val="clear" w:color="auto" w:fill="auto"/>
          </w:tcPr>
          <w:p w:rsidR="00CD13E8" w:rsidRPr="006F46A5" w:rsidRDefault="00CD13E8" w:rsidP="0059011D">
            <w:pPr>
              <w:spacing w:after="120" w:line="240" w:lineRule="auto"/>
              <w:jc w:val="right"/>
              <w:rPr>
                <w:rFonts w:ascii="Times New Roman" w:hAnsi="Times New Roman" w:cs="Times New Roman"/>
                <w:color w:val="000000"/>
                <w:sz w:val="20"/>
                <w:szCs w:val="20"/>
              </w:rPr>
            </w:pPr>
            <w:r w:rsidRPr="006F46A5">
              <w:rPr>
                <w:rFonts w:ascii="Times New Roman" w:hAnsi="Times New Roman" w:cs="Times New Roman"/>
                <w:color w:val="000000"/>
                <w:sz w:val="20"/>
                <w:szCs w:val="20"/>
                <w:lang w:val="et-EE"/>
              </w:rPr>
              <w:t>11 794 222 401</w:t>
            </w:r>
          </w:p>
        </w:tc>
        <w:tc>
          <w:tcPr>
            <w:tcW w:w="652" w:type="pct"/>
            <w:shd w:val="clear" w:color="auto" w:fill="auto"/>
          </w:tcPr>
          <w:p w:rsidR="00CD13E8" w:rsidRPr="006F46A5" w:rsidRDefault="00CD13E8" w:rsidP="0059011D">
            <w:pPr>
              <w:spacing w:after="120" w:line="240" w:lineRule="auto"/>
              <w:jc w:val="right"/>
              <w:rPr>
                <w:rFonts w:ascii="Times New Roman" w:hAnsi="Times New Roman" w:cs="Times New Roman"/>
                <w:color w:val="000000"/>
                <w:sz w:val="20"/>
                <w:szCs w:val="20"/>
              </w:rPr>
            </w:pPr>
            <w:r w:rsidRPr="006F46A5">
              <w:rPr>
                <w:rFonts w:ascii="Times New Roman" w:hAnsi="Times New Roman" w:cs="Times New Roman"/>
                <w:color w:val="000000"/>
                <w:sz w:val="20"/>
                <w:szCs w:val="20"/>
                <w:lang w:val="et-EE"/>
              </w:rPr>
              <w:t>707 653 344</w:t>
            </w:r>
          </w:p>
        </w:tc>
        <w:tc>
          <w:tcPr>
            <w:tcW w:w="652" w:type="pct"/>
            <w:shd w:val="clear" w:color="auto" w:fill="auto"/>
          </w:tcPr>
          <w:p w:rsidR="00CD13E8" w:rsidRPr="006F46A5" w:rsidRDefault="00CD13E8" w:rsidP="0059011D">
            <w:pPr>
              <w:spacing w:after="120" w:line="240" w:lineRule="auto"/>
              <w:jc w:val="center"/>
              <w:rPr>
                <w:rFonts w:ascii="Times New Roman" w:hAnsi="Times New Roman" w:cs="Times New Roman"/>
                <w:color w:val="000000"/>
                <w:sz w:val="20"/>
                <w:szCs w:val="20"/>
              </w:rPr>
            </w:pPr>
            <w:r w:rsidRPr="006F46A5">
              <w:rPr>
                <w:rFonts w:ascii="Times New Roman" w:hAnsi="Times New Roman" w:cs="Times New Roman"/>
                <w:color w:val="000000"/>
                <w:sz w:val="20"/>
                <w:szCs w:val="20"/>
                <w:lang w:val="et-EE"/>
              </w:rPr>
              <w:t>6,0%</w:t>
            </w:r>
          </w:p>
        </w:tc>
      </w:tr>
      <w:tr w:rsidR="009C643D" w:rsidRPr="006F46A5" w:rsidTr="008F7C58">
        <w:tc>
          <w:tcPr>
            <w:tcW w:w="439" w:type="pct"/>
            <w:vMerge/>
            <w:shd w:val="clear" w:color="auto" w:fill="C6D9F1" w:themeFill="text2" w:themeFillTint="33"/>
          </w:tcPr>
          <w:p w:rsidR="00CD13E8" w:rsidRPr="006F46A5" w:rsidRDefault="00CD13E8" w:rsidP="0059011D">
            <w:pPr>
              <w:pStyle w:val="Text2"/>
              <w:ind w:left="0"/>
              <w:rPr>
                <w:sz w:val="20"/>
                <w:szCs w:val="20"/>
                <w:lang w:val="et-EE"/>
              </w:rPr>
            </w:pPr>
          </w:p>
        </w:tc>
        <w:tc>
          <w:tcPr>
            <w:tcW w:w="752" w:type="pct"/>
            <w:shd w:val="clear" w:color="auto" w:fill="auto"/>
          </w:tcPr>
          <w:p w:rsidR="00CD13E8" w:rsidRPr="006F46A5" w:rsidRDefault="00CD13E8" w:rsidP="0059011D">
            <w:pPr>
              <w:pStyle w:val="Text2"/>
              <w:ind w:left="0"/>
              <w:rPr>
                <w:sz w:val="20"/>
                <w:szCs w:val="20"/>
                <w:lang w:val="et-EE"/>
              </w:rPr>
            </w:pPr>
            <w:r w:rsidRPr="006F46A5">
              <w:rPr>
                <w:sz w:val="20"/>
                <w:szCs w:val="20"/>
                <w:lang w:val="et-EE"/>
              </w:rPr>
              <w:t xml:space="preserve">Zvláštní alokace pro vzdálené nebo řídce osídlené regiony </w:t>
            </w:r>
          </w:p>
        </w:tc>
        <w:tc>
          <w:tcPr>
            <w:tcW w:w="601" w:type="pct"/>
            <w:shd w:val="clear" w:color="auto" w:fill="auto"/>
          </w:tcPr>
          <w:p w:rsidR="00CD13E8" w:rsidRPr="006F46A5" w:rsidRDefault="00CD13E8" w:rsidP="0059011D">
            <w:pPr>
              <w:spacing w:after="120" w:line="240" w:lineRule="auto"/>
              <w:rPr>
                <w:rFonts w:ascii="Times New Roman" w:hAnsi="Times New Roman" w:cs="Times New Roman"/>
                <w:color w:val="000000"/>
                <w:sz w:val="20"/>
                <w:szCs w:val="20"/>
                <w:lang w:val="et-EE"/>
              </w:rPr>
            </w:pPr>
            <w:r w:rsidRPr="006F46A5">
              <w:rPr>
                <w:rFonts w:ascii="Times New Roman" w:hAnsi="Times New Roman" w:cs="Times New Roman"/>
                <w:color w:val="000000"/>
                <w:sz w:val="20"/>
                <w:szCs w:val="20"/>
                <w:lang w:val="et-EE"/>
              </w:rPr>
              <w:t> </w:t>
            </w:r>
          </w:p>
        </w:tc>
        <w:tc>
          <w:tcPr>
            <w:tcW w:w="652" w:type="pct"/>
            <w:shd w:val="clear" w:color="auto" w:fill="auto"/>
          </w:tcPr>
          <w:p w:rsidR="00CD13E8" w:rsidRPr="006F46A5" w:rsidRDefault="00CD13E8" w:rsidP="0059011D">
            <w:pPr>
              <w:spacing w:after="120" w:line="240" w:lineRule="auto"/>
              <w:rPr>
                <w:rFonts w:ascii="Times New Roman" w:hAnsi="Times New Roman" w:cs="Times New Roman"/>
                <w:color w:val="000000"/>
                <w:sz w:val="20"/>
                <w:szCs w:val="20"/>
                <w:lang w:val="et-EE"/>
              </w:rPr>
            </w:pPr>
            <w:r w:rsidRPr="006F46A5">
              <w:rPr>
                <w:rFonts w:ascii="Times New Roman" w:hAnsi="Times New Roman" w:cs="Times New Roman"/>
                <w:color w:val="000000"/>
                <w:sz w:val="20"/>
                <w:szCs w:val="20"/>
                <w:lang w:val="et-EE"/>
              </w:rPr>
              <w:t> </w:t>
            </w:r>
          </w:p>
        </w:tc>
        <w:tc>
          <w:tcPr>
            <w:tcW w:w="551" w:type="pct"/>
            <w:shd w:val="clear" w:color="auto" w:fill="auto"/>
          </w:tcPr>
          <w:p w:rsidR="00CD13E8" w:rsidRPr="006F46A5" w:rsidRDefault="00CD13E8" w:rsidP="0059011D">
            <w:pPr>
              <w:spacing w:after="120" w:line="240" w:lineRule="auto"/>
              <w:rPr>
                <w:rFonts w:ascii="Times New Roman" w:hAnsi="Times New Roman" w:cs="Times New Roman"/>
                <w:color w:val="000000"/>
                <w:sz w:val="20"/>
                <w:szCs w:val="20"/>
                <w:lang w:val="et-EE"/>
              </w:rPr>
            </w:pPr>
            <w:r w:rsidRPr="006F46A5">
              <w:rPr>
                <w:rFonts w:ascii="Times New Roman" w:hAnsi="Times New Roman" w:cs="Times New Roman"/>
                <w:color w:val="000000"/>
                <w:sz w:val="20"/>
                <w:szCs w:val="20"/>
                <w:lang w:val="et-EE"/>
              </w:rPr>
              <w:t> </w:t>
            </w:r>
          </w:p>
        </w:tc>
        <w:tc>
          <w:tcPr>
            <w:tcW w:w="701" w:type="pct"/>
            <w:shd w:val="clear" w:color="auto" w:fill="auto"/>
          </w:tcPr>
          <w:p w:rsidR="00CD13E8" w:rsidRPr="006F46A5" w:rsidRDefault="00CD13E8" w:rsidP="0059011D">
            <w:pPr>
              <w:spacing w:after="120" w:line="240" w:lineRule="auto"/>
              <w:rPr>
                <w:rFonts w:ascii="Times New Roman" w:hAnsi="Times New Roman" w:cs="Times New Roman"/>
                <w:color w:val="000000"/>
                <w:sz w:val="20"/>
                <w:szCs w:val="20"/>
                <w:lang w:val="et-EE"/>
              </w:rPr>
            </w:pPr>
            <w:r w:rsidRPr="006F46A5">
              <w:rPr>
                <w:rFonts w:ascii="Times New Roman" w:hAnsi="Times New Roman" w:cs="Times New Roman"/>
                <w:color w:val="000000"/>
                <w:sz w:val="20"/>
                <w:szCs w:val="20"/>
                <w:lang w:val="et-EE"/>
              </w:rPr>
              <w:t> </w:t>
            </w:r>
          </w:p>
        </w:tc>
        <w:tc>
          <w:tcPr>
            <w:tcW w:w="652" w:type="pct"/>
            <w:shd w:val="clear" w:color="auto" w:fill="auto"/>
          </w:tcPr>
          <w:p w:rsidR="00CD13E8" w:rsidRPr="006F46A5" w:rsidRDefault="00CD13E8" w:rsidP="0059011D">
            <w:pPr>
              <w:spacing w:after="120" w:line="240" w:lineRule="auto"/>
              <w:rPr>
                <w:rFonts w:ascii="Times New Roman" w:hAnsi="Times New Roman" w:cs="Times New Roman"/>
                <w:color w:val="000000"/>
                <w:sz w:val="20"/>
                <w:szCs w:val="20"/>
                <w:lang w:val="et-EE"/>
              </w:rPr>
            </w:pPr>
            <w:r w:rsidRPr="006F46A5">
              <w:rPr>
                <w:rFonts w:ascii="Times New Roman" w:hAnsi="Times New Roman" w:cs="Times New Roman"/>
                <w:color w:val="000000"/>
                <w:sz w:val="20"/>
                <w:szCs w:val="20"/>
                <w:lang w:val="et-EE"/>
              </w:rPr>
              <w:t> </w:t>
            </w:r>
          </w:p>
        </w:tc>
        <w:tc>
          <w:tcPr>
            <w:tcW w:w="652" w:type="pct"/>
            <w:shd w:val="clear" w:color="auto" w:fill="auto"/>
          </w:tcPr>
          <w:p w:rsidR="00CD13E8" w:rsidRPr="006F46A5" w:rsidRDefault="00CD13E8" w:rsidP="0059011D">
            <w:pPr>
              <w:spacing w:line="240" w:lineRule="auto"/>
              <w:jc w:val="center"/>
              <w:rPr>
                <w:rFonts w:ascii="Times New Roman" w:hAnsi="Times New Roman" w:cs="Times New Roman"/>
                <w:color w:val="000000"/>
                <w:sz w:val="20"/>
                <w:szCs w:val="20"/>
                <w:lang w:val="et-EE"/>
              </w:rPr>
            </w:pPr>
          </w:p>
        </w:tc>
      </w:tr>
      <w:tr w:rsidR="009C643D" w:rsidRPr="006F46A5" w:rsidTr="008F7C58">
        <w:tc>
          <w:tcPr>
            <w:tcW w:w="439" w:type="pct"/>
            <w:shd w:val="clear" w:color="auto" w:fill="C6D9F1" w:themeFill="text2" w:themeFillTint="33"/>
          </w:tcPr>
          <w:p w:rsidR="00CD13E8" w:rsidRPr="006F46A5" w:rsidRDefault="00CD13E8" w:rsidP="0059011D">
            <w:pPr>
              <w:pStyle w:val="Text2"/>
              <w:ind w:left="0"/>
              <w:rPr>
                <w:b/>
                <w:sz w:val="20"/>
                <w:szCs w:val="20"/>
                <w:lang w:val="et-EE"/>
              </w:rPr>
            </w:pPr>
            <w:r w:rsidRPr="006F46A5">
              <w:rPr>
                <w:b/>
                <w:sz w:val="20"/>
                <w:szCs w:val="20"/>
                <w:lang w:val="et-EE"/>
              </w:rPr>
              <w:t>CELKEM EFRR</w:t>
            </w:r>
          </w:p>
        </w:tc>
        <w:tc>
          <w:tcPr>
            <w:tcW w:w="752" w:type="pct"/>
            <w:shd w:val="clear" w:color="auto" w:fill="auto"/>
          </w:tcPr>
          <w:p w:rsidR="00CD13E8" w:rsidRPr="006F46A5" w:rsidRDefault="00CD13E8" w:rsidP="0059011D">
            <w:pPr>
              <w:pStyle w:val="Text2"/>
              <w:rPr>
                <w:sz w:val="20"/>
                <w:szCs w:val="20"/>
                <w:lang w:val="et-EE"/>
              </w:rPr>
            </w:pPr>
            <w:r w:rsidRPr="006F46A5">
              <w:rPr>
                <w:sz w:val="20"/>
                <w:szCs w:val="20"/>
                <w:lang w:val="et-EE"/>
              </w:rPr>
              <w:t> </w:t>
            </w:r>
          </w:p>
        </w:tc>
        <w:tc>
          <w:tcPr>
            <w:tcW w:w="601" w:type="pct"/>
            <w:shd w:val="clear" w:color="auto" w:fill="auto"/>
          </w:tcPr>
          <w:p w:rsidR="00CD13E8" w:rsidRPr="006F46A5" w:rsidRDefault="00CD13E8" w:rsidP="0059011D">
            <w:pPr>
              <w:spacing w:after="120" w:line="240" w:lineRule="auto"/>
              <w:jc w:val="right"/>
              <w:rPr>
                <w:rFonts w:ascii="Times New Roman" w:hAnsi="Times New Roman" w:cs="Times New Roman"/>
                <w:b/>
                <w:color w:val="000000"/>
                <w:sz w:val="20"/>
                <w:szCs w:val="20"/>
                <w:lang w:val="et-EE"/>
              </w:rPr>
            </w:pPr>
            <w:r w:rsidRPr="006F46A5">
              <w:rPr>
                <w:rFonts w:ascii="Times New Roman" w:hAnsi="Times New Roman" w:cs="Times New Roman"/>
                <w:b/>
                <w:color w:val="000000"/>
                <w:sz w:val="20"/>
                <w:szCs w:val="20"/>
                <w:lang w:val="et-EE"/>
              </w:rPr>
              <w:t>11 969 063 551</w:t>
            </w:r>
          </w:p>
        </w:tc>
        <w:tc>
          <w:tcPr>
            <w:tcW w:w="652" w:type="pct"/>
            <w:shd w:val="clear" w:color="auto" w:fill="auto"/>
          </w:tcPr>
          <w:p w:rsidR="00CD13E8" w:rsidRPr="006F46A5" w:rsidRDefault="00CD13E8" w:rsidP="0059011D">
            <w:pPr>
              <w:spacing w:after="120" w:line="240" w:lineRule="auto"/>
              <w:jc w:val="right"/>
              <w:rPr>
                <w:rFonts w:ascii="Times New Roman" w:hAnsi="Times New Roman" w:cs="Times New Roman"/>
                <w:b/>
                <w:color w:val="000000"/>
                <w:sz w:val="20"/>
                <w:szCs w:val="20"/>
                <w:lang w:val="et-EE"/>
              </w:rPr>
            </w:pPr>
            <w:r w:rsidRPr="006F46A5">
              <w:rPr>
                <w:rFonts w:ascii="Times New Roman" w:hAnsi="Times New Roman" w:cs="Times New Roman"/>
                <w:b/>
                <w:color w:val="000000"/>
                <w:sz w:val="20"/>
                <w:szCs w:val="20"/>
                <w:lang w:val="et-EE"/>
              </w:rPr>
              <w:t>0</w:t>
            </w:r>
          </w:p>
        </w:tc>
        <w:tc>
          <w:tcPr>
            <w:tcW w:w="551" w:type="pct"/>
            <w:shd w:val="clear" w:color="auto" w:fill="auto"/>
          </w:tcPr>
          <w:p w:rsidR="00CD13E8" w:rsidRPr="006F46A5" w:rsidRDefault="00CD13E8" w:rsidP="0059011D">
            <w:pPr>
              <w:spacing w:after="120" w:line="240" w:lineRule="auto"/>
              <w:jc w:val="right"/>
              <w:rPr>
                <w:rFonts w:ascii="Times New Roman" w:hAnsi="Times New Roman" w:cs="Times New Roman"/>
                <w:b/>
                <w:color w:val="000000"/>
                <w:sz w:val="20"/>
                <w:szCs w:val="20"/>
                <w:lang w:val="et-EE"/>
              </w:rPr>
            </w:pPr>
            <w:r w:rsidRPr="006F46A5">
              <w:rPr>
                <w:rFonts w:ascii="Times New Roman" w:hAnsi="Times New Roman" w:cs="Times New Roman"/>
                <w:b/>
                <w:color w:val="000000"/>
                <w:sz w:val="20"/>
                <w:szCs w:val="20"/>
                <w:lang w:val="et-EE"/>
              </w:rPr>
              <w:t> </w:t>
            </w:r>
          </w:p>
        </w:tc>
        <w:tc>
          <w:tcPr>
            <w:tcW w:w="701" w:type="pct"/>
            <w:shd w:val="clear" w:color="auto" w:fill="auto"/>
          </w:tcPr>
          <w:p w:rsidR="00CD13E8" w:rsidRPr="006F46A5" w:rsidRDefault="00CD13E8" w:rsidP="0059011D">
            <w:pPr>
              <w:spacing w:after="120" w:line="240" w:lineRule="auto"/>
              <w:jc w:val="right"/>
              <w:rPr>
                <w:rFonts w:ascii="Times New Roman" w:hAnsi="Times New Roman" w:cs="Times New Roman"/>
                <w:b/>
                <w:color w:val="000000"/>
                <w:sz w:val="20"/>
                <w:szCs w:val="20"/>
                <w:lang w:val="et-EE"/>
              </w:rPr>
            </w:pPr>
            <w:r w:rsidRPr="006F46A5">
              <w:rPr>
                <w:rFonts w:ascii="Times New Roman" w:hAnsi="Times New Roman" w:cs="Times New Roman"/>
                <w:b/>
                <w:color w:val="000000"/>
                <w:sz w:val="20"/>
                <w:szCs w:val="20"/>
                <w:lang w:val="et-EE"/>
              </w:rPr>
              <w:t>11 969 063 551</w:t>
            </w:r>
          </w:p>
        </w:tc>
        <w:tc>
          <w:tcPr>
            <w:tcW w:w="652" w:type="pct"/>
            <w:shd w:val="clear" w:color="auto" w:fill="auto"/>
          </w:tcPr>
          <w:p w:rsidR="00CD13E8" w:rsidRPr="006F46A5" w:rsidRDefault="00CD13E8" w:rsidP="0059011D">
            <w:pPr>
              <w:spacing w:after="120" w:line="240" w:lineRule="auto"/>
              <w:jc w:val="right"/>
              <w:rPr>
                <w:rFonts w:ascii="Times New Roman" w:hAnsi="Times New Roman" w:cs="Times New Roman"/>
                <w:b/>
                <w:color w:val="000000"/>
                <w:sz w:val="20"/>
                <w:szCs w:val="20"/>
                <w:lang w:val="et-EE"/>
              </w:rPr>
            </w:pPr>
            <w:r w:rsidRPr="006F46A5">
              <w:rPr>
                <w:rFonts w:ascii="Times New Roman" w:hAnsi="Times New Roman" w:cs="Times New Roman"/>
                <w:b/>
                <w:color w:val="000000"/>
                <w:sz w:val="20"/>
                <w:szCs w:val="20"/>
                <w:lang w:val="et-EE"/>
              </w:rPr>
              <w:t>718 143 813</w:t>
            </w:r>
          </w:p>
        </w:tc>
        <w:tc>
          <w:tcPr>
            <w:tcW w:w="652" w:type="pct"/>
            <w:shd w:val="clear" w:color="auto" w:fill="auto"/>
          </w:tcPr>
          <w:p w:rsidR="00CD13E8" w:rsidRPr="006F46A5" w:rsidRDefault="00CD13E8" w:rsidP="0059011D">
            <w:pPr>
              <w:spacing w:line="240" w:lineRule="auto"/>
              <w:jc w:val="center"/>
              <w:rPr>
                <w:rFonts w:ascii="Times New Roman" w:hAnsi="Times New Roman" w:cs="Times New Roman"/>
                <w:b/>
                <w:color w:val="000000"/>
                <w:sz w:val="20"/>
                <w:szCs w:val="20"/>
                <w:lang w:val="et-EE"/>
              </w:rPr>
            </w:pPr>
          </w:p>
        </w:tc>
      </w:tr>
      <w:tr w:rsidR="009C643D" w:rsidRPr="006F46A5" w:rsidTr="008F7C58">
        <w:tc>
          <w:tcPr>
            <w:tcW w:w="439" w:type="pct"/>
            <w:vMerge w:val="restart"/>
            <w:shd w:val="clear" w:color="auto" w:fill="C6D9F1" w:themeFill="text2" w:themeFillTint="33"/>
          </w:tcPr>
          <w:p w:rsidR="00CD13E8" w:rsidRPr="006F46A5" w:rsidRDefault="00CD13E8" w:rsidP="0059011D">
            <w:pPr>
              <w:pStyle w:val="Text2"/>
              <w:ind w:left="0"/>
              <w:rPr>
                <w:sz w:val="20"/>
                <w:szCs w:val="20"/>
                <w:lang w:val="et-EE"/>
              </w:rPr>
            </w:pPr>
            <w:r w:rsidRPr="006F46A5">
              <w:rPr>
                <w:sz w:val="20"/>
                <w:szCs w:val="20"/>
                <w:lang w:val="et-EE"/>
              </w:rPr>
              <w:t>ESF</w:t>
            </w:r>
            <w:r w:rsidRPr="006F46A5">
              <w:rPr>
                <w:rStyle w:val="Znakapoznpodarou"/>
                <w:rFonts w:ascii="Times New Roman" w:hAnsi="Times New Roman"/>
                <w:sz w:val="20"/>
                <w:szCs w:val="20"/>
                <w:lang w:val="et-EE"/>
              </w:rPr>
              <w:footnoteReference w:id="83"/>
            </w:r>
          </w:p>
        </w:tc>
        <w:tc>
          <w:tcPr>
            <w:tcW w:w="752" w:type="pct"/>
            <w:shd w:val="clear" w:color="auto" w:fill="auto"/>
          </w:tcPr>
          <w:p w:rsidR="00CD13E8" w:rsidRPr="006F46A5" w:rsidRDefault="00CD13E8" w:rsidP="0059011D">
            <w:pPr>
              <w:pStyle w:val="Text2"/>
              <w:ind w:left="0"/>
              <w:rPr>
                <w:sz w:val="20"/>
                <w:szCs w:val="20"/>
                <w:lang w:val="et-EE"/>
              </w:rPr>
            </w:pPr>
            <w:r w:rsidRPr="006F46A5">
              <w:rPr>
                <w:sz w:val="20"/>
                <w:szCs w:val="20"/>
                <w:lang w:val="et-EE"/>
              </w:rPr>
              <w:t>Vyspělé regiony</w:t>
            </w:r>
          </w:p>
        </w:tc>
        <w:tc>
          <w:tcPr>
            <w:tcW w:w="601" w:type="pct"/>
            <w:shd w:val="clear" w:color="auto" w:fill="auto"/>
          </w:tcPr>
          <w:p w:rsidR="00CD13E8" w:rsidRPr="006F46A5" w:rsidRDefault="00CD13E8" w:rsidP="0059011D">
            <w:pPr>
              <w:spacing w:after="120" w:line="240" w:lineRule="auto"/>
              <w:jc w:val="right"/>
              <w:rPr>
                <w:rFonts w:ascii="Times New Roman" w:hAnsi="Times New Roman" w:cs="Times New Roman"/>
                <w:color w:val="000000"/>
                <w:sz w:val="20"/>
                <w:szCs w:val="20"/>
              </w:rPr>
            </w:pPr>
            <w:r w:rsidRPr="006F46A5">
              <w:rPr>
                <w:rFonts w:ascii="Times New Roman" w:hAnsi="Times New Roman" w:cs="Times New Roman"/>
                <w:color w:val="000000"/>
                <w:sz w:val="20"/>
                <w:szCs w:val="20"/>
                <w:lang w:val="et-EE"/>
              </w:rPr>
              <w:t>143 051 850</w:t>
            </w:r>
          </w:p>
        </w:tc>
        <w:tc>
          <w:tcPr>
            <w:tcW w:w="652" w:type="pct"/>
            <w:shd w:val="clear" w:color="auto" w:fill="auto"/>
          </w:tcPr>
          <w:p w:rsidR="00CD13E8" w:rsidRPr="006F46A5" w:rsidRDefault="00CD13E8" w:rsidP="0059011D">
            <w:pPr>
              <w:spacing w:after="12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lang w:val="et-EE"/>
              </w:rPr>
              <w:t> </w:t>
            </w:r>
          </w:p>
        </w:tc>
        <w:tc>
          <w:tcPr>
            <w:tcW w:w="551" w:type="pct"/>
            <w:shd w:val="clear" w:color="auto" w:fill="auto"/>
          </w:tcPr>
          <w:p w:rsidR="00CD13E8" w:rsidRPr="006F46A5" w:rsidRDefault="00CD13E8" w:rsidP="0059011D">
            <w:pPr>
              <w:spacing w:after="12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lang w:val="et-EE"/>
              </w:rPr>
              <w:t> </w:t>
            </w:r>
          </w:p>
        </w:tc>
        <w:tc>
          <w:tcPr>
            <w:tcW w:w="701" w:type="pct"/>
            <w:shd w:val="clear" w:color="auto" w:fill="auto"/>
          </w:tcPr>
          <w:p w:rsidR="00CD13E8" w:rsidRPr="006F46A5" w:rsidRDefault="00CD13E8" w:rsidP="0059011D">
            <w:pPr>
              <w:spacing w:after="120" w:line="240" w:lineRule="auto"/>
              <w:jc w:val="right"/>
              <w:rPr>
                <w:rFonts w:ascii="Times New Roman" w:hAnsi="Times New Roman" w:cs="Times New Roman"/>
                <w:color w:val="000000"/>
                <w:sz w:val="20"/>
                <w:szCs w:val="20"/>
              </w:rPr>
            </w:pPr>
            <w:r w:rsidRPr="006F46A5">
              <w:rPr>
                <w:rFonts w:ascii="Times New Roman" w:hAnsi="Times New Roman" w:cs="Times New Roman"/>
                <w:color w:val="000000"/>
                <w:sz w:val="20"/>
                <w:szCs w:val="20"/>
                <w:lang w:val="et-EE"/>
              </w:rPr>
              <w:t>143 051 850</w:t>
            </w:r>
          </w:p>
        </w:tc>
        <w:tc>
          <w:tcPr>
            <w:tcW w:w="652" w:type="pct"/>
            <w:shd w:val="clear" w:color="auto" w:fill="auto"/>
          </w:tcPr>
          <w:p w:rsidR="00CD13E8" w:rsidRPr="006F46A5" w:rsidRDefault="00CD13E8" w:rsidP="0059011D">
            <w:pPr>
              <w:spacing w:after="120" w:line="240" w:lineRule="auto"/>
              <w:jc w:val="right"/>
              <w:rPr>
                <w:rFonts w:ascii="Times New Roman" w:hAnsi="Times New Roman" w:cs="Times New Roman"/>
                <w:color w:val="000000"/>
                <w:sz w:val="20"/>
                <w:szCs w:val="20"/>
              </w:rPr>
            </w:pPr>
            <w:r w:rsidRPr="006F46A5">
              <w:rPr>
                <w:rFonts w:ascii="Times New Roman" w:hAnsi="Times New Roman" w:cs="Times New Roman"/>
                <w:color w:val="000000"/>
                <w:sz w:val="20"/>
                <w:szCs w:val="20"/>
                <w:lang w:val="et-EE"/>
              </w:rPr>
              <w:t>8 583 111</w:t>
            </w:r>
          </w:p>
        </w:tc>
        <w:tc>
          <w:tcPr>
            <w:tcW w:w="652" w:type="pct"/>
            <w:shd w:val="clear" w:color="auto" w:fill="auto"/>
          </w:tcPr>
          <w:p w:rsidR="00CD13E8" w:rsidRPr="006F46A5" w:rsidRDefault="00CD13E8" w:rsidP="0059011D">
            <w:pPr>
              <w:spacing w:after="120" w:line="240" w:lineRule="auto"/>
              <w:jc w:val="center"/>
              <w:rPr>
                <w:rFonts w:ascii="Times New Roman" w:hAnsi="Times New Roman" w:cs="Times New Roman"/>
                <w:color w:val="000000"/>
                <w:sz w:val="20"/>
                <w:szCs w:val="20"/>
              </w:rPr>
            </w:pPr>
            <w:r w:rsidRPr="006F46A5">
              <w:rPr>
                <w:rFonts w:ascii="Times New Roman" w:hAnsi="Times New Roman" w:cs="Times New Roman"/>
                <w:color w:val="000000"/>
                <w:sz w:val="20"/>
                <w:szCs w:val="20"/>
                <w:lang w:val="et-EE"/>
              </w:rPr>
              <w:t>6,0%</w:t>
            </w:r>
          </w:p>
        </w:tc>
      </w:tr>
      <w:tr w:rsidR="009C643D" w:rsidRPr="006F46A5" w:rsidTr="008F7C58">
        <w:tc>
          <w:tcPr>
            <w:tcW w:w="439" w:type="pct"/>
            <w:vMerge/>
            <w:shd w:val="clear" w:color="auto" w:fill="C6D9F1" w:themeFill="text2" w:themeFillTint="33"/>
          </w:tcPr>
          <w:p w:rsidR="00CD13E8" w:rsidRPr="006F46A5" w:rsidRDefault="00CD13E8" w:rsidP="0059011D">
            <w:pPr>
              <w:pStyle w:val="Text2"/>
              <w:ind w:left="0"/>
              <w:rPr>
                <w:sz w:val="20"/>
                <w:szCs w:val="20"/>
                <w:lang w:val="et-EE"/>
              </w:rPr>
            </w:pPr>
          </w:p>
        </w:tc>
        <w:tc>
          <w:tcPr>
            <w:tcW w:w="752" w:type="pct"/>
            <w:shd w:val="clear" w:color="auto" w:fill="auto"/>
          </w:tcPr>
          <w:p w:rsidR="00CD13E8" w:rsidRPr="006F46A5" w:rsidRDefault="00CD13E8" w:rsidP="0059011D">
            <w:pPr>
              <w:pStyle w:val="Text2"/>
              <w:ind w:left="0"/>
              <w:rPr>
                <w:sz w:val="20"/>
                <w:szCs w:val="20"/>
                <w:lang w:val="et-EE"/>
              </w:rPr>
            </w:pPr>
            <w:r w:rsidRPr="006F46A5">
              <w:rPr>
                <w:sz w:val="20"/>
                <w:szCs w:val="20"/>
                <w:lang w:val="et-EE"/>
              </w:rPr>
              <w:t>Přechodové regiony</w:t>
            </w:r>
          </w:p>
        </w:tc>
        <w:tc>
          <w:tcPr>
            <w:tcW w:w="601" w:type="pct"/>
            <w:shd w:val="clear" w:color="auto" w:fill="auto"/>
          </w:tcPr>
          <w:p w:rsidR="00CD13E8" w:rsidRPr="006F46A5" w:rsidRDefault="00CD13E8" w:rsidP="0059011D">
            <w:pPr>
              <w:spacing w:after="12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lang w:val="et-EE"/>
              </w:rPr>
              <w:t> </w:t>
            </w:r>
          </w:p>
        </w:tc>
        <w:tc>
          <w:tcPr>
            <w:tcW w:w="652" w:type="pct"/>
            <w:shd w:val="clear" w:color="auto" w:fill="auto"/>
          </w:tcPr>
          <w:p w:rsidR="00CD13E8" w:rsidRPr="006F46A5" w:rsidRDefault="00CD13E8" w:rsidP="0059011D">
            <w:pPr>
              <w:spacing w:after="12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lang w:val="et-EE"/>
              </w:rPr>
              <w:t> </w:t>
            </w:r>
          </w:p>
        </w:tc>
        <w:tc>
          <w:tcPr>
            <w:tcW w:w="551" w:type="pct"/>
            <w:shd w:val="clear" w:color="auto" w:fill="auto"/>
          </w:tcPr>
          <w:p w:rsidR="00CD13E8" w:rsidRPr="006F46A5" w:rsidRDefault="00CD13E8" w:rsidP="0059011D">
            <w:pPr>
              <w:spacing w:after="12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lang w:val="et-EE"/>
              </w:rPr>
              <w:t> </w:t>
            </w:r>
          </w:p>
        </w:tc>
        <w:tc>
          <w:tcPr>
            <w:tcW w:w="701" w:type="pct"/>
            <w:shd w:val="clear" w:color="auto" w:fill="auto"/>
          </w:tcPr>
          <w:p w:rsidR="00CD13E8" w:rsidRPr="006F46A5" w:rsidRDefault="00CD13E8" w:rsidP="0059011D">
            <w:pPr>
              <w:spacing w:after="12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lang w:val="et-EE"/>
              </w:rPr>
              <w:t> </w:t>
            </w:r>
          </w:p>
        </w:tc>
        <w:tc>
          <w:tcPr>
            <w:tcW w:w="652" w:type="pct"/>
            <w:shd w:val="clear" w:color="auto" w:fill="auto"/>
          </w:tcPr>
          <w:p w:rsidR="00CD13E8" w:rsidRPr="006F46A5" w:rsidRDefault="00CD13E8" w:rsidP="0059011D">
            <w:pPr>
              <w:spacing w:after="12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lang w:val="et-EE"/>
              </w:rPr>
              <w:t> </w:t>
            </w:r>
          </w:p>
        </w:tc>
        <w:tc>
          <w:tcPr>
            <w:tcW w:w="652" w:type="pct"/>
            <w:shd w:val="clear" w:color="auto" w:fill="auto"/>
          </w:tcPr>
          <w:p w:rsidR="00CD13E8" w:rsidRPr="006F46A5" w:rsidRDefault="00CD13E8" w:rsidP="0059011D">
            <w:pPr>
              <w:spacing w:line="240" w:lineRule="auto"/>
              <w:jc w:val="center"/>
              <w:rPr>
                <w:rFonts w:ascii="Times New Roman" w:hAnsi="Times New Roman" w:cs="Times New Roman"/>
                <w:color w:val="000000"/>
                <w:sz w:val="20"/>
                <w:szCs w:val="20"/>
              </w:rPr>
            </w:pPr>
          </w:p>
        </w:tc>
      </w:tr>
      <w:tr w:rsidR="009C643D" w:rsidRPr="006F46A5" w:rsidTr="008F7C58">
        <w:tc>
          <w:tcPr>
            <w:tcW w:w="439" w:type="pct"/>
            <w:vMerge/>
            <w:shd w:val="clear" w:color="auto" w:fill="C6D9F1" w:themeFill="text2" w:themeFillTint="33"/>
          </w:tcPr>
          <w:p w:rsidR="00CD13E8" w:rsidRPr="006F46A5" w:rsidRDefault="00CD13E8" w:rsidP="0059011D">
            <w:pPr>
              <w:pStyle w:val="Text2"/>
              <w:ind w:left="0"/>
              <w:rPr>
                <w:sz w:val="20"/>
                <w:szCs w:val="20"/>
                <w:lang w:val="et-EE"/>
              </w:rPr>
            </w:pPr>
          </w:p>
        </w:tc>
        <w:tc>
          <w:tcPr>
            <w:tcW w:w="752" w:type="pct"/>
            <w:shd w:val="clear" w:color="auto" w:fill="auto"/>
          </w:tcPr>
          <w:p w:rsidR="00CD13E8" w:rsidRPr="006F46A5" w:rsidRDefault="00CD13E8" w:rsidP="0059011D">
            <w:pPr>
              <w:pStyle w:val="Text2"/>
              <w:ind w:left="0"/>
              <w:rPr>
                <w:sz w:val="20"/>
                <w:szCs w:val="20"/>
                <w:lang w:val="et-EE"/>
              </w:rPr>
            </w:pPr>
            <w:r w:rsidRPr="006F46A5">
              <w:rPr>
                <w:sz w:val="20"/>
                <w:szCs w:val="20"/>
                <w:lang w:val="et-EE"/>
              </w:rPr>
              <w:t>Méně vyspělé regiony</w:t>
            </w:r>
          </w:p>
        </w:tc>
        <w:tc>
          <w:tcPr>
            <w:tcW w:w="601" w:type="pct"/>
            <w:shd w:val="clear" w:color="auto" w:fill="auto"/>
          </w:tcPr>
          <w:p w:rsidR="00CD13E8" w:rsidRPr="006F46A5" w:rsidRDefault="00CD13E8" w:rsidP="0059011D">
            <w:pPr>
              <w:spacing w:after="120" w:line="240" w:lineRule="auto"/>
              <w:jc w:val="right"/>
              <w:rPr>
                <w:rFonts w:ascii="Times New Roman" w:hAnsi="Times New Roman" w:cs="Times New Roman"/>
                <w:color w:val="000000"/>
                <w:sz w:val="20"/>
                <w:szCs w:val="20"/>
              </w:rPr>
            </w:pPr>
            <w:r w:rsidRPr="006F46A5">
              <w:rPr>
                <w:rFonts w:ascii="Times New Roman" w:hAnsi="Times New Roman" w:cs="Times New Roman"/>
                <w:color w:val="000000"/>
                <w:sz w:val="20"/>
                <w:szCs w:val="20"/>
                <w:lang w:val="et-EE"/>
              </w:rPr>
              <w:t>3 259 154 750</w:t>
            </w:r>
          </w:p>
        </w:tc>
        <w:tc>
          <w:tcPr>
            <w:tcW w:w="652" w:type="pct"/>
            <w:shd w:val="clear" w:color="auto" w:fill="auto"/>
          </w:tcPr>
          <w:p w:rsidR="00CD13E8" w:rsidRPr="006F46A5" w:rsidRDefault="00CD13E8" w:rsidP="0059011D">
            <w:pPr>
              <w:spacing w:after="120" w:line="240" w:lineRule="auto"/>
              <w:jc w:val="right"/>
              <w:rPr>
                <w:rFonts w:ascii="Times New Roman" w:hAnsi="Times New Roman" w:cs="Times New Roman"/>
                <w:color w:val="000000"/>
                <w:sz w:val="20"/>
                <w:szCs w:val="20"/>
              </w:rPr>
            </w:pPr>
            <w:r w:rsidRPr="006F46A5">
              <w:rPr>
                <w:rFonts w:ascii="Times New Roman" w:hAnsi="Times New Roman" w:cs="Times New Roman"/>
                <w:color w:val="000000"/>
                <w:sz w:val="20"/>
                <w:szCs w:val="20"/>
                <w:lang w:val="et-EE"/>
              </w:rPr>
              <w:t>14 349 000</w:t>
            </w:r>
          </w:p>
        </w:tc>
        <w:tc>
          <w:tcPr>
            <w:tcW w:w="551" w:type="pct"/>
            <w:shd w:val="clear" w:color="auto" w:fill="auto"/>
          </w:tcPr>
          <w:p w:rsidR="00CD13E8" w:rsidRPr="006F46A5" w:rsidRDefault="00CD13E8" w:rsidP="0059011D">
            <w:pPr>
              <w:spacing w:after="12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lang w:val="et-EE"/>
              </w:rPr>
              <w:t> </w:t>
            </w:r>
          </w:p>
        </w:tc>
        <w:tc>
          <w:tcPr>
            <w:tcW w:w="701" w:type="pct"/>
            <w:shd w:val="clear" w:color="auto" w:fill="auto"/>
          </w:tcPr>
          <w:p w:rsidR="00CD13E8" w:rsidRPr="006F46A5" w:rsidRDefault="00CD13E8" w:rsidP="0059011D">
            <w:pPr>
              <w:spacing w:after="120" w:line="240" w:lineRule="auto"/>
              <w:jc w:val="right"/>
              <w:rPr>
                <w:rFonts w:ascii="Times New Roman" w:hAnsi="Times New Roman" w:cs="Times New Roman"/>
                <w:color w:val="000000"/>
                <w:sz w:val="20"/>
                <w:szCs w:val="20"/>
              </w:rPr>
            </w:pPr>
            <w:r w:rsidRPr="006F46A5">
              <w:rPr>
                <w:rFonts w:ascii="Times New Roman" w:hAnsi="Times New Roman" w:cs="Times New Roman"/>
                <w:color w:val="000000"/>
                <w:sz w:val="20"/>
                <w:szCs w:val="20"/>
                <w:lang w:val="et-EE"/>
              </w:rPr>
              <w:t>3 244 805 750</w:t>
            </w:r>
          </w:p>
        </w:tc>
        <w:tc>
          <w:tcPr>
            <w:tcW w:w="652" w:type="pct"/>
            <w:shd w:val="clear" w:color="auto" w:fill="auto"/>
          </w:tcPr>
          <w:p w:rsidR="00CD13E8" w:rsidRPr="006F46A5" w:rsidRDefault="00CD13E8" w:rsidP="0059011D">
            <w:pPr>
              <w:spacing w:after="120" w:line="240" w:lineRule="auto"/>
              <w:jc w:val="right"/>
              <w:rPr>
                <w:rFonts w:ascii="Times New Roman" w:hAnsi="Times New Roman" w:cs="Times New Roman"/>
                <w:color w:val="000000"/>
                <w:sz w:val="20"/>
                <w:szCs w:val="20"/>
              </w:rPr>
            </w:pPr>
            <w:r w:rsidRPr="006F46A5">
              <w:rPr>
                <w:rFonts w:ascii="Times New Roman" w:hAnsi="Times New Roman" w:cs="Times New Roman"/>
                <w:color w:val="000000"/>
                <w:sz w:val="20"/>
                <w:szCs w:val="20"/>
                <w:lang w:val="et-EE"/>
              </w:rPr>
              <w:t>194 688 345</w:t>
            </w:r>
          </w:p>
        </w:tc>
        <w:tc>
          <w:tcPr>
            <w:tcW w:w="652" w:type="pct"/>
            <w:shd w:val="clear" w:color="auto" w:fill="auto"/>
          </w:tcPr>
          <w:p w:rsidR="00CD13E8" w:rsidRPr="006F46A5" w:rsidRDefault="00CD13E8" w:rsidP="0059011D">
            <w:pPr>
              <w:spacing w:after="120" w:line="240" w:lineRule="auto"/>
              <w:jc w:val="center"/>
              <w:rPr>
                <w:rFonts w:ascii="Times New Roman" w:hAnsi="Times New Roman" w:cs="Times New Roman"/>
                <w:color w:val="000000"/>
                <w:sz w:val="20"/>
                <w:szCs w:val="20"/>
              </w:rPr>
            </w:pPr>
            <w:r w:rsidRPr="006F46A5">
              <w:rPr>
                <w:rFonts w:ascii="Times New Roman" w:hAnsi="Times New Roman" w:cs="Times New Roman"/>
                <w:color w:val="000000"/>
                <w:sz w:val="20"/>
                <w:szCs w:val="20"/>
                <w:lang w:val="et-EE"/>
              </w:rPr>
              <w:t>6,0%</w:t>
            </w:r>
          </w:p>
        </w:tc>
      </w:tr>
      <w:tr w:rsidR="009C643D" w:rsidRPr="006F46A5" w:rsidTr="008F7C58">
        <w:trPr>
          <w:trHeight w:val="70"/>
        </w:trPr>
        <w:tc>
          <w:tcPr>
            <w:tcW w:w="439" w:type="pct"/>
            <w:shd w:val="clear" w:color="auto" w:fill="C6D9F1" w:themeFill="text2" w:themeFillTint="33"/>
          </w:tcPr>
          <w:p w:rsidR="00CD13E8" w:rsidRPr="006F46A5" w:rsidRDefault="00CD13E8" w:rsidP="0059011D">
            <w:pPr>
              <w:pStyle w:val="Text2"/>
              <w:ind w:left="0"/>
              <w:rPr>
                <w:b/>
                <w:sz w:val="20"/>
                <w:szCs w:val="20"/>
                <w:lang w:val="et-EE"/>
              </w:rPr>
            </w:pPr>
            <w:r w:rsidRPr="006F46A5">
              <w:rPr>
                <w:b/>
                <w:sz w:val="20"/>
                <w:szCs w:val="20"/>
                <w:lang w:val="et-EE"/>
              </w:rPr>
              <w:t>CELKEM ESF</w:t>
            </w:r>
          </w:p>
        </w:tc>
        <w:tc>
          <w:tcPr>
            <w:tcW w:w="752" w:type="pct"/>
            <w:shd w:val="clear" w:color="auto" w:fill="auto"/>
          </w:tcPr>
          <w:p w:rsidR="00CD13E8" w:rsidRPr="006F46A5" w:rsidRDefault="00CD13E8" w:rsidP="0059011D">
            <w:pPr>
              <w:pStyle w:val="Text2"/>
              <w:jc w:val="right"/>
              <w:rPr>
                <w:b/>
                <w:sz w:val="20"/>
                <w:szCs w:val="20"/>
                <w:lang w:val="et-EE"/>
              </w:rPr>
            </w:pPr>
            <w:r w:rsidRPr="006F46A5">
              <w:rPr>
                <w:b/>
                <w:sz w:val="20"/>
                <w:szCs w:val="20"/>
                <w:lang w:val="et-EE"/>
              </w:rPr>
              <w:t> </w:t>
            </w:r>
          </w:p>
        </w:tc>
        <w:tc>
          <w:tcPr>
            <w:tcW w:w="601" w:type="pct"/>
            <w:shd w:val="clear" w:color="auto" w:fill="auto"/>
          </w:tcPr>
          <w:p w:rsidR="00CD13E8" w:rsidRPr="006F46A5" w:rsidRDefault="00CD13E8" w:rsidP="0059011D">
            <w:pPr>
              <w:spacing w:after="120" w:line="240" w:lineRule="auto"/>
              <w:jc w:val="right"/>
              <w:rPr>
                <w:rFonts w:ascii="Times New Roman" w:hAnsi="Times New Roman" w:cs="Times New Roman"/>
                <w:b/>
                <w:color w:val="000000"/>
                <w:sz w:val="20"/>
                <w:szCs w:val="20"/>
                <w:lang w:val="et-EE"/>
              </w:rPr>
            </w:pPr>
            <w:r w:rsidRPr="006F46A5">
              <w:rPr>
                <w:rFonts w:ascii="Times New Roman" w:hAnsi="Times New Roman" w:cs="Times New Roman"/>
                <w:b/>
                <w:color w:val="000000"/>
                <w:sz w:val="20"/>
                <w:szCs w:val="20"/>
                <w:lang w:val="et-EE"/>
              </w:rPr>
              <w:t>3 402 206 600</w:t>
            </w:r>
          </w:p>
        </w:tc>
        <w:tc>
          <w:tcPr>
            <w:tcW w:w="652" w:type="pct"/>
            <w:shd w:val="clear" w:color="auto" w:fill="auto"/>
          </w:tcPr>
          <w:p w:rsidR="00CD13E8" w:rsidRPr="006F46A5" w:rsidRDefault="00CD13E8" w:rsidP="0059011D">
            <w:pPr>
              <w:spacing w:after="120" w:line="240" w:lineRule="auto"/>
              <w:jc w:val="right"/>
              <w:rPr>
                <w:rFonts w:ascii="Times New Roman" w:hAnsi="Times New Roman" w:cs="Times New Roman"/>
                <w:b/>
                <w:color w:val="000000"/>
                <w:sz w:val="20"/>
                <w:szCs w:val="20"/>
                <w:lang w:val="et-EE"/>
              </w:rPr>
            </w:pPr>
            <w:r w:rsidRPr="006F46A5">
              <w:rPr>
                <w:rFonts w:ascii="Times New Roman" w:hAnsi="Times New Roman" w:cs="Times New Roman"/>
                <w:b/>
                <w:color w:val="000000"/>
                <w:sz w:val="20"/>
                <w:szCs w:val="20"/>
                <w:lang w:val="et-EE"/>
              </w:rPr>
              <w:t>14 349 000</w:t>
            </w:r>
          </w:p>
        </w:tc>
        <w:tc>
          <w:tcPr>
            <w:tcW w:w="551" w:type="pct"/>
            <w:shd w:val="clear" w:color="auto" w:fill="auto"/>
          </w:tcPr>
          <w:p w:rsidR="00CD13E8" w:rsidRPr="006F46A5" w:rsidRDefault="00CD13E8" w:rsidP="0059011D">
            <w:pPr>
              <w:spacing w:after="120" w:line="240" w:lineRule="auto"/>
              <w:jc w:val="right"/>
              <w:rPr>
                <w:rFonts w:ascii="Times New Roman" w:hAnsi="Times New Roman" w:cs="Times New Roman"/>
                <w:b/>
                <w:color w:val="000000"/>
                <w:sz w:val="20"/>
                <w:szCs w:val="20"/>
                <w:lang w:val="et-EE"/>
              </w:rPr>
            </w:pPr>
            <w:r w:rsidRPr="006F46A5">
              <w:rPr>
                <w:rFonts w:ascii="Times New Roman" w:hAnsi="Times New Roman" w:cs="Times New Roman"/>
                <w:b/>
                <w:color w:val="000000"/>
                <w:sz w:val="20"/>
                <w:szCs w:val="20"/>
                <w:lang w:val="et-EE"/>
              </w:rPr>
              <w:t> </w:t>
            </w:r>
          </w:p>
        </w:tc>
        <w:tc>
          <w:tcPr>
            <w:tcW w:w="701" w:type="pct"/>
            <w:shd w:val="clear" w:color="auto" w:fill="auto"/>
          </w:tcPr>
          <w:p w:rsidR="00CD13E8" w:rsidRPr="006F46A5" w:rsidRDefault="00CD13E8" w:rsidP="0059011D">
            <w:pPr>
              <w:spacing w:after="120" w:line="240" w:lineRule="auto"/>
              <w:jc w:val="right"/>
              <w:rPr>
                <w:rFonts w:ascii="Times New Roman" w:hAnsi="Times New Roman" w:cs="Times New Roman"/>
                <w:b/>
                <w:color w:val="000000"/>
                <w:sz w:val="20"/>
                <w:szCs w:val="20"/>
                <w:lang w:val="et-EE"/>
              </w:rPr>
            </w:pPr>
            <w:r w:rsidRPr="006F46A5">
              <w:rPr>
                <w:rFonts w:ascii="Times New Roman" w:hAnsi="Times New Roman" w:cs="Times New Roman"/>
                <w:b/>
                <w:color w:val="000000"/>
                <w:sz w:val="20"/>
                <w:szCs w:val="20"/>
                <w:lang w:val="et-EE"/>
              </w:rPr>
              <w:t>3 387 857 600</w:t>
            </w:r>
          </w:p>
        </w:tc>
        <w:tc>
          <w:tcPr>
            <w:tcW w:w="652" w:type="pct"/>
            <w:shd w:val="clear" w:color="auto" w:fill="auto"/>
          </w:tcPr>
          <w:p w:rsidR="00CD13E8" w:rsidRPr="006F46A5" w:rsidRDefault="00CD13E8" w:rsidP="0059011D">
            <w:pPr>
              <w:spacing w:after="120" w:line="240" w:lineRule="auto"/>
              <w:jc w:val="right"/>
              <w:rPr>
                <w:rFonts w:ascii="Times New Roman" w:hAnsi="Times New Roman" w:cs="Times New Roman"/>
                <w:b/>
                <w:color w:val="000000"/>
                <w:sz w:val="20"/>
                <w:szCs w:val="20"/>
                <w:lang w:val="et-EE"/>
              </w:rPr>
            </w:pPr>
            <w:r w:rsidRPr="006F46A5">
              <w:rPr>
                <w:rFonts w:ascii="Times New Roman" w:hAnsi="Times New Roman" w:cs="Times New Roman"/>
                <w:b/>
                <w:color w:val="000000"/>
                <w:sz w:val="20"/>
                <w:szCs w:val="20"/>
                <w:lang w:val="et-EE"/>
              </w:rPr>
              <w:t>203 271 456</w:t>
            </w:r>
          </w:p>
        </w:tc>
        <w:tc>
          <w:tcPr>
            <w:tcW w:w="652" w:type="pct"/>
            <w:shd w:val="clear" w:color="auto" w:fill="auto"/>
          </w:tcPr>
          <w:p w:rsidR="00CD13E8" w:rsidRPr="006F46A5" w:rsidRDefault="00CD13E8" w:rsidP="0059011D">
            <w:pPr>
              <w:spacing w:line="240" w:lineRule="auto"/>
              <w:jc w:val="center"/>
              <w:rPr>
                <w:rFonts w:ascii="Times New Roman" w:hAnsi="Times New Roman" w:cs="Times New Roman"/>
                <w:b/>
                <w:color w:val="000000"/>
                <w:sz w:val="20"/>
                <w:szCs w:val="20"/>
                <w:lang w:val="et-EE"/>
              </w:rPr>
            </w:pPr>
          </w:p>
        </w:tc>
      </w:tr>
      <w:tr w:rsidR="009C643D" w:rsidRPr="006F46A5" w:rsidTr="008F7C58">
        <w:trPr>
          <w:trHeight w:val="70"/>
        </w:trPr>
        <w:tc>
          <w:tcPr>
            <w:tcW w:w="439" w:type="pct"/>
            <w:shd w:val="clear" w:color="auto" w:fill="C6D9F1" w:themeFill="text2" w:themeFillTint="33"/>
          </w:tcPr>
          <w:p w:rsidR="00CD13E8" w:rsidRPr="006F46A5" w:rsidRDefault="00CD13E8" w:rsidP="0059011D">
            <w:pPr>
              <w:pStyle w:val="Text2"/>
              <w:ind w:left="0"/>
              <w:rPr>
                <w:sz w:val="20"/>
                <w:szCs w:val="20"/>
                <w:lang w:val="et-EE"/>
              </w:rPr>
            </w:pPr>
            <w:r w:rsidRPr="006F46A5">
              <w:rPr>
                <w:sz w:val="20"/>
                <w:szCs w:val="20"/>
                <w:lang w:val="et-EE"/>
              </w:rPr>
              <w:t>EZFRV</w:t>
            </w:r>
          </w:p>
        </w:tc>
        <w:tc>
          <w:tcPr>
            <w:tcW w:w="752" w:type="pct"/>
            <w:shd w:val="clear" w:color="auto" w:fill="auto"/>
          </w:tcPr>
          <w:p w:rsidR="00CD13E8" w:rsidRPr="006F46A5" w:rsidRDefault="00CD13E8" w:rsidP="0059011D">
            <w:pPr>
              <w:pStyle w:val="Text2"/>
              <w:ind w:left="0"/>
              <w:rPr>
                <w:sz w:val="20"/>
                <w:szCs w:val="20"/>
                <w:highlight w:val="yellow"/>
                <w:lang w:val="et-EE"/>
              </w:rPr>
            </w:pPr>
            <w:r w:rsidRPr="006F46A5">
              <w:rPr>
                <w:sz w:val="20"/>
                <w:szCs w:val="20"/>
                <w:lang w:val="et-EE"/>
              </w:rPr>
              <w:t xml:space="preserve">NA </w:t>
            </w:r>
            <w:r w:rsidRPr="006F46A5">
              <w:rPr>
                <w:rStyle w:val="Znakapoznpodarou"/>
                <w:rFonts w:ascii="Times New Roman" w:hAnsi="Times New Roman"/>
                <w:sz w:val="20"/>
                <w:szCs w:val="20"/>
                <w:lang w:val="et-EE"/>
              </w:rPr>
              <w:footnoteReference w:id="84"/>
            </w:r>
          </w:p>
        </w:tc>
        <w:tc>
          <w:tcPr>
            <w:tcW w:w="601" w:type="pct"/>
            <w:shd w:val="clear" w:color="auto" w:fill="auto"/>
          </w:tcPr>
          <w:p w:rsidR="00CD13E8" w:rsidRPr="006F46A5" w:rsidRDefault="00CD13E8" w:rsidP="0059011D">
            <w:pPr>
              <w:spacing w:after="12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lang w:val="et-EE"/>
              </w:rPr>
              <w:t> </w:t>
            </w:r>
          </w:p>
        </w:tc>
        <w:tc>
          <w:tcPr>
            <w:tcW w:w="652" w:type="pct"/>
            <w:shd w:val="clear" w:color="auto" w:fill="auto"/>
          </w:tcPr>
          <w:p w:rsidR="00CD13E8" w:rsidRPr="006F46A5" w:rsidRDefault="00CD13E8" w:rsidP="0059011D">
            <w:pPr>
              <w:spacing w:after="12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lang w:val="et-EE"/>
              </w:rPr>
              <w:t> </w:t>
            </w:r>
          </w:p>
        </w:tc>
        <w:tc>
          <w:tcPr>
            <w:tcW w:w="551" w:type="pct"/>
            <w:shd w:val="clear" w:color="auto" w:fill="auto"/>
          </w:tcPr>
          <w:p w:rsidR="00CD13E8" w:rsidRPr="006F46A5" w:rsidRDefault="00CD13E8" w:rsidP="0059011D">
            <w:pPr>
              <w:spacing w:after="12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lang w:val="et-EE"/>
              </w:rPr>
              <w:t> </w:t>
            </w:r>
          </w:p>
        </w:tc>
        <w:tc>
          <w:tcPr>
            <w:tcW w:w="701" w:type="pct"/>
            <w:shd w:val="clear" w:color="auto" w:fill="auto"/>
          </w:tcPr>
          <w:p w:rsidR="00CD13E8" w:rsidRPr="006F46A5" w:rsidRDefault="00CD13E8" w:rsidP="0059011D">
            <w:pPr>
              <w:spacing w:after="12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lang w:val="et-EE"/>
              </w:rPr>
              <w:t> </w:t>
            </w:r>
          </w:p>
        </w:tc>
        <w:tc>
          <w:tcPr>
            <w:tcW w:w="652" w:type="pct"/>
            <w:shd w:val="clear" w:color="auto" w:fill="auto"/>
          </w:tcPr>
          <w:p w:rsidR="00CD13E8" w:rsidRPr="006F46A5" w:rsidRDefault="00CD13E8" w:rsidP="0059011D">
            <w:pPr>
              <w:spacing w:after="12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lang w:val="et-EE"/>
              </w:rPr>
              <w:t> </w:t>
            </w:r>
          </w:p>
        </w:tc>
        <w:tc>
          <w:tcPr>
            <w:tcW w:w="652" w:type="pct"/>
            <w:shd w:val="clear" w:color="auto" w:fill="auto"/>
          </w:tcPr>
          <w:p w:rsidR="00CD13E8" w:rsidRPr="006F46A5" w:rsidRDefault="00CD13E8" w:rsidP="0059011D">
            <w:pPr>
              <w:spacing w:line="240" w:lineRule="auto"/>
              <w:jc w:val="center"/>
              <w:rPr>
                <w:rFonts w:ascii="Times New Roman" w:hAnsi="Times New Roman" w:cs="Times New Roman"/>
                <w:color w:val="000000"/>
                <w:sz w:val="20"/>
                <w:szCs w:val="20"/>
              </w:rPr>
            </w:pPr>
          </w:p>
        </w:tc>
      </w:tr>
      <w:tr w:rsidR="009C643D" w:rsidRPr="006F46A5" w:rsidTr="008F7C58">
        <w:tc>
          <w:tcPr>
            <w:tcW w:w="439" w:type="pct"/>
            <w:shd w:val="clear" w:color="auto" w:fill="C6D9F1" w:themeFill="text2" w:themeFillTint="33"/>
          </w:tcPr>
          <w:p w:rsidR="00CD13E8" w:rsidRPr="006F46A5" w:rsidRDefault="00CD13E8" w:rsidP="0059011D">
            <w:pPr>
              <w:pStyle w:val="Text2"/>
              <w:ind w:left="0"/>
              <w:rPr>
                <w:b/>
                <w:sz w:val="20"/>
                <w:szCs w:val="20"/>
                <w:lang w:val="et-EE"/>
              </w:rPr>
            </w:pPr>
            <w:r w:rsidRPr="006F46A5">
              <w:rPr>
                <w:b/>
                <w:sz w:val="20"/>
                <w:szCs w:val="20"/>
                <w:lang w:val="et-EE"/>
              </w:rPr>
              <w:t>Fond soudržnosti</w:t>
            </w:r>
          </w:p>
        </w:tc>
        <w:tc>
          <w:tcPr>
            <w:tcW w:w="752" w:type="pct"/>
            <w:shd w:val="clear" w:color="auto" w:fill="auto"/>
          </w:tcPr>
          <w:p w:rsidR="00CD13E8" w:rsidRPr="006F46A5" w:rsidRDefault="00CD13E8" w:rsidP="0059011D">
            <w:pPr>
              <w:pStyle w:val="Text2"/>
              <w:ind w:left="0"/>
              <w:rPr>
                <w:sz w:val="20"/>
                <w:szCs w:val="20"/>
                <w:lang w:val="et-EE"/>
              </w:rPr>
            </w:pPr>
            <w:r w:rsidRPr="006F46A5">
              <w:rPr>
                <w:sz w:val="20"/>
                <w:szCs w:val="20"/>
                <w:lang w:val="et-EE"/>
              </w:rPr>
              <w:t>NA</w:t>
            </w:r>
          </w:p>
        </w:tc>
        <w:tc>
          <w:tcPr>
            <w:tcW w:w="601" w:type="pct"/>
            <w:shd w:val="clear" w:color="auto" w:fill="auto"/>
          </w:tcPr>
          <w:p w:rsidR="00CD13E8" w:rsidRPr="006F46A5" w:rsidRDefault="00CD13E8" w:rsidP="0059011D">
            <w:pPr>
              <w:spacing w:after="120" w:line="240" w:lineRule="auto"/>
              <w:jc w:val="right"/>
              <w:rPr>
                <w:rFonts w:ascii="Times New Roman" w:hAnsi="Times New Roman" w:cs="Times New Roman"/>
                <w:b/>
                <w:bCs/>
                <w:color w:val="000000"/>
                <w:sz w:val="20"/>
                <w:szCs w:val="20"/>
              </w:rPr>
            </w:pPr>
            <w:r w:rsidRPr="006F46A5">
              <w:rPr>
                <w:rFonts w:ascii="Times New Roman" w:hAnsi="Times New Roman" w:cs="Times New Roman"/>
                <w:b/>
                <w:bCs/>
                <w:color w:val="000000"/>
                <w:sz w:val="20"/>
                <w:szCs w:val="20"/>
                <w:lang w:val="et-EE"/>
              </w:rPr>
              <w:t>6 258 900 000</w:t>
            </w:r>
          </w:p>
        </w:tc>
        <w:tc>
          <w:tcPr>
            <w:tcW w:w="652" w:type="pct"/>
            <w:shd w:val="clear" w:color="auto" w:fill="auto"/>
          </w:tcPr>
          <w:p w:rsidR="00CD13E8" w:rsidRPr="006F46A5" w:rsidRDefault="00CD13E8" w:rsidP="0059011D">
            <w:pPr>
              <w:spacing w:after="120" w:line="240" w:lineRule="auto"/>
              <w:rPr>
                <w:rFonts w:ascii="Times New Roman" w:hAnsi="Times New Roman" w:cs="Times New Roman"/>
                <w:b/>
                <w:bCs/>
                <w:color w:val="000000"/>
                <w:sz w:val="20"/>
                <w:szCs w:val="20"/>
              </w:rPr>
            </w:pPr>
            <w:r w:rsidRPr="006F46A5">
              <w:rPr>
                <w:rFonts w:ascii="Times New Roman" w:hAnsi="Times New Roman" w:cs="Times New Roman"/>
                <w:b/>
                <w:bCs/>
                <w:color w:val="000000"/>
                <w:sz w:val="20"/>
                <w:szCs w:val="20"/>
                <w:lang w:val="et-EE"/>
              </w:rPr>
              <w:t> </w:t>
            </w:r>
          </w:p>
        </w:tc>
        <w:tc>
          <w:tcPr>
            <w:tcW w:w="551" w:type="pct"/>
            <w:shd w:val="clear" w:color="auto" w:fill="auto"/>
          </w:tcPr>
          <w:p w:rsidR="00CD13E8" w:rsidRPr="006F46A5" w:rsidRDefault="00CD13E8" w:rsidP="0059011D">
            <w:pPr>
              <w:spacing w:after="120" w:line="240" w:lineRule="auto"/>
              <w:rPr>
                <w:rFonts w:ascii="Times New Roman" w:hAnsi="Times New Roman" w:cs="Times New Roman"/>
                <w:b/>
                <w:bCs/>
                <w:color w:val="000000"/>
                <w:sz w:val="20"/>
                <w:szCs w:val="20"/>
              </w:rPr>
            </w:pPr>
            <w:r w:rsidRPr="006F46A5">
              <w:rPr>
                <w:rFonts w:ascii="Times New Roman" w:hAnsi="Times New Roman" w:cs="Times New Roman"/>
                <w:b/>
                <w:bCs/>
                <w:color w:val="000000"/>
                <w:sz w:val="20"/>
                <w:szCs w:val="20"/>
                <w:lang w:val="et-EE"/>
              </w:rPr>
              <w:t> </w:t>
            </w:r>
          </w:p>
        </w:tc>
        <w:tc>
          <w:tcPr>
            <w:tcW w:w="701" w:type="pct"/>
            <w:shd w:val="clear" w:color="auto" w:fill="auto"/>
          </w:tcPr>
          <w:p w:rsidR="00CD13E8" w:rsidRPr="006F46A5" w:rsidRDefault="00CD13E8" w:rsidP="0059011D">
            <w:pPr>
              <w:spacing w:after="120" w:line="240" w:lineRule="auto"/>
              <w:jc w:val="right"/>
              <w:rPr>
                <w:rFonts w:ascii="Times New Roman" w:hAnsi="Times New Roman" w:cs="Times New Roman"/>
                <w:b/>
                <w:bCs/>
                <w:color w:val="000000"/>
                <w:sz w:val="20"/>
                <w:szCs w:val="20"/>
              </w:rPr>
            </w:pPr>
            <w:r w:rsidRPr="006F46A5">
              <w:rPr>
                <w:rFonts w:ascii="Times New Roman" w:hAnsi="Times New Roman" w:cs="Times New Roman"/>
                <w:b/>
                <w:bCs/>
                <w:color w:val="000000"/>
                <w:sz w:val="20"/>
                <w:szCs w:val="20"/>
                <w:lang w:val="et-EE"/>
              </w:rPr>
              <w:t>6 258 900 000</w:t>
            </w:r>
          </w:p>
        </w:tc>
        <w:tc>
          <w:tcPr>
            <w:tcW w:w="652" w:type="pct"/>
            <w:shd w:val="clear" w:color="auto" w:fill="auto"/>
          </w:tcPr>
          <w:p w:rsidR="00CD13E8" w:rsidRPr="006F46A5" w:rsidRDefault="00CD13E8" w:rsidP="0059011D">
            <w:pPr>
              <w:spacing w:after="120" w:line="240" w:lineRule="auto"/>
              <w:jc w:val="right"/>
              <w:rPr>
                <w:rFonts w:ascii="Times New Roman" w:hAnsi="Times New Roman" w:cs="Times New Roman"/>
                <w:b/>
                <w:bCs/>
                <w:color w:val="000000"/>
                <w:sz w:val="20"/>
                <w:szCs w:val="20"/>
              </w:rPr>
            </w:pPr>
            <w:r w:rsidRPr="006F46A5">
              <w:rPr>
                <w:rFonts w:ascii="Times New Roman" w:hAnsi="Times New Roman" w:cs="Times New Roman"/>
                <w:b/>
                <w:bCs/>
                <w:color w:val="000000"/>
                <w:sz w:val="20"/>
                <w:szCs w:val="20"/>
                <w:lang w:val="et-EE"/>
              </w:rPr>
              <w:t>375 534 000</w:t>
            </w:r>
          </w:p>
        </w:tc>
        <w:tc>
          <w:tcPr>
            <w:tcW w:w="652" w:type="pct"/>
            <w:shd w:val="clear" w:color="auto" w:fill="auto"/>
          </w:tcPr>
          <w:p w:rsidR="00CD13E8" w:rsidRPr="006F46A5" w:rsidRDefault="00CD13E8" w:rsidP="0059011D">
            <w:pPr>
              <w:spacing w:after="120" w:line="240" w:lineRule="auto"/>
              <w:jc w:val="center"/>
              <w:rPr>
                <w:rFonts w:ascii="Times New Roman" w:hAnsi="Times New Roman" w:cs="Times New Roman"/>
                <w:b/>
                <w:bCs/>
                <w:color w:val="000000"/>
                <w:sz w:val="20"/>
                <w:szCs w:val="20"/>
              </w:rPr>
            </w:pPr>
            <w:r w:rsidRPr="006F46A5">
              <w:rPr>
                <w:rFonts w:ascii="Times New Roman" w:hAnsi="Times New Roman" w:cs="Times New Roman"/>
                <w:b/>
                <w:bCs/>
                <w:color w:val="000000"/>
                <w:sz w:val="20"/>
                <w:szCs w:val="20"/>
                <w:lang w:val="et-EE"/>
              </w:rPr>
              <w:t>6,0%</w:t>
            </w:r>
          </w:p>
        </w:tc>
      </w:tr>
      <w:tr w:rsidR="009C643D" w:rsidRPr="006F46A5" w:rsidTr="008F7C58">
        <w:tc>
          <w:tcPr>
            <w:tcW w:w="439" w:type="pct"/>
            <w:shd w:val="clear" w:color="auto" w:fill="C6D9F1" w:themeFill="text2" w:themeFillTint="33"/>
          </w:tcPr>
          <w:p w:rsidR="00CD13E8" w:rsidRPr="006F46A5" w:rsidRDefault="00CD13E8" w:rsidP="0059011D">
            <w:pPr>
              <w:pStyle w:val="Text2"/>
              <w:ind w:left="0"/>
              <w:rPr>
                <w:sz w:val="20"/>
                <w:szCs w:val="20"/>
                <w:lang w:val="et-EE"/>
              </w:rPr>
            </w:pPr>
            <w:r w:rsidRPr="006F46A5">
              <w:rPr>
                <w:sz w:val="20"/>
                <w:szCs w:val="20"/>
                <w:lang w:val="et-EE"/>
              </w:rPr>
              <w:t>ENRF</w:t>
            </w:r>
          </w:p>
        </w:tc>
        <w:tc>
          <w:tcPr>
            <w:tcW w:w="752" w:type="pct"/>
            <w:shd w:val="clear" w:color="auto" w:fill="auto"/>
          </w:tcPr>
          <w:p w:rsidR="00CD13E8" w:rsidRPr="006F46A5" w:rsidRDefault="00CD13E8" w:rsidP="0059011D">
            <w:pPr>
              <w:pStyle w:val="Text2"/>
              <w:ind w:left="0"/>
              <w:rPr>
                <w:sz w:val="20"/>
                <w:szCs w:val="20"/>
                <w:lang w:val="et-EE"/>
              </w:rPr>
            </w:pPr>
            <w:r w:rsidRPr="006F46A5">
              <w:rPr>
                <w:sz w:val="20"/>
                <w:szCs w:val="20"/>
                <w:lang w:val="et-EE"/>
              </w:rPr>
              <w:t>NA</w:t>
            </w:r>
          </w:p>
        </w:tc>
        <w:tc>
          <w:tcPr>
            <w:tcW w:w="601" w:type="pct"/>
            <w:shd w:val="clear" w:color="auto" w:fill="auto"/>
          </w:tcPr>
          <w:p w:rsidR="00CD13E8" w:rsidRPr="006F46A5" w:rsidRDefault="00CD13E8" w:rsidP="0059011D">
            <w:pPr>
              <w:spacing w:after="12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lang w:val="et-EE"/>
              </w:rPr>
              <w:t> </w:t>
            </w:r>
          </w:p>
        </w:tc>
        <w:tc>
          <w:tcPr>
            <w:tcW w:w="652" w:type="pct"/>
            <w:shd w:val="clear" w:color="auto" w:fill="auto"/>
          </w:tcPr>
          <w:p w:rsidR="00CD13E8" w:rsidRPr="006F46A5" w:rsidRDefault="00CD13E8" w:rsidP="0059011D">
            <w:pPr>
              <w:spacing w:after="12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lang w:val="et-EE"/>
              </w:rPr>
              <w:t> </w:t>
            </w:r>
          </w:p>
        </w:tc>
        <w:tc>
          <w:tcPr>
            <w:tcW w:w="551" w:type="pct"/>
            <w:shd w:val="clear" w:color="auto" w:fill="auto"/>
          </w:tcPr>
          <w:p w:rsidR="00CD13E8" w:rsidRPr="006F46A5" w:rsidRDefault="00CD13E8" w:rsidP="0059011D">
            <w:pPr>
              <w:spacing w:after="12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lang w:val="et-EE"/>
              </w:rPr>
              <w:t> </w:t>
            </w:r>
          </w:p>
        </w:tc>
        <w:tc>
          <w:tcPr>
            <w:tcW w:w="701" w:type="pct"/>
            <w:shd w:val="clear" w:color="auto" w:fill="auto"/>
          </w:tcPr>
          <w:p w:rsidR="00CD13E8" w:rsidRPr="006F46A5" w:rsidRDefault="00CD13E8" w:rsidP="0059011D">
            <w:pPr>
              <w:spacing w:after="12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lang w:val="et-EE"/>
              </w:rPr>
              <w:t> </w:t>
            </w:r>
          </w:p>
        </w:tc>
        <w:tc>
          <w:tcPr>
            <w:tcW w:w="652" w:type="pct"/>
            <w:shd w:val="clear" w:color="auto" w:fill="auto"/>
          </w:tcPr>
          <w:p w:rsidR="00CD13E8" w:rsidRPr="006F46A5" w:rsidRDefault="00CD13E8" w:rsidP="0059011D">
            <w:pPr>
              <w:spacing w:after="12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lang w:val="et-EE"/>
              </w:rPr>
              <w:t> </w:t>
            </w:r>
          </w:p>
        </w:tc>
        <w:tc>
          <w:tcPr>
            <w:tcW w:w="652" w:type="pct"/>
            <w:shd w:val="clear" w:color="auto" w:fill="auto"/>
          </w:tcPr>
          <w:p w:rsidR="00CD13E8" w:rsidRPr="006F46A5" w:rsidRDefault="00CD13E8" w:rsidP="0059011D">
            <w:pPr>
              <w:spacing w:line="240" w:lineRule="auto"/>
              <w:jc w:val="center"/>
              <w:rPr>
                <w:rFonts w:ascii="Times New Roman" w:hAnsi="Times New Roman" w:cs="Times New Roman"/>
                <w:color w:val="000000"/>
                <w:sz w:val="20"/>
                <w:szCs w:val="20"/>
              </w:rPr>
            </w:pPr>
          </w:p>
        </w:tc>
      </w:tr>
      <w:tr w:rsidR="009C643D" w:rsidRPr="006F46A5" w:rsidTr="008F7C58">
        <w:tc>
          <w:tcPr>
            <w:tcW w:w="439" w:type="pct"/>
            <w:shd w:val="clear" w:color="auto" w:fill="C6D9F1" w:themeFill="text2" w:themeFillTint="33"/>
          </w:tcPr>
          <w:p w:rsidR="00CD13E8" w:rsidRPr="006F46A5" w:rsidRDefault="00CD13E8" w:rsidP="0059011D">
            <w:pPr>
              <w:pStyle w:val="Text2"/>
              <w:ind w:left="0"/>
              <w:rPr>
                <w:b/>
                <w:sz w:val="20"/>
                <w:szCs w:val="20"/>
                <w:lang w:val="et-EE"/>
              </w:rPr>
            </w:pPr>
            <w:r w:rsidRPr="006F46A5">
              <w:rPr>
                <w:b/>
                <w:sz w:val="20"/>
                <w:szCs w:val="20"/>
                <w:lang w:val="et-EE"/>
              </w:rPr>
              <w:t>CELKEM (Všechny fondy)</w:t>
            </w:r>
          </w:p>
        </w:tc>
        <w:tc>
          <w:tcPr>
            <w:tcW w:w="752" w:type="pct"/>
            <w:shd w:val="clear" w:color="auto" w:fill="auto"/>
          </w:tcPr>
          <w:p w:rsidR="00CD13E8" w:rsidRPr="006F46A5" w:rsidRDefault="00CD13E8" w:rsidP="0059011D">
            <w:pPr>
              <w:pStyle w:val="Text2"/>
              <w:rPr>
                <w:b/>
                <w:sz w:val="20"/>
                <w:szCs w:val="20"/>
                <w:lang w:val="et-EE"/>
              </w:rPr>
            </w:pPr>
            <w:r w:rsidRPr="006F46A5">
              <w:rPr>
                <w:b/>
                <w:sz w:val="20"/>
                <w:szCs w:val="20"/>
                <w:lang w:val="et-EE"/>
              </w:rPr>
              <w:t> </w:t>
            </w:r>
          </w:p>
        </w:tc>
        <w:tc>
          <w:tcPr>
            <w:tcW w:w="601" w:type="pct"/>
            <w:shd w:val="clear" w:color="auto" w:fill="auto"/>
          </w:tcPr>
          <w:p w:rsidR="00CD13E8" w:rsidRPr="006F46A5" w:rsidRDefault="00CD13E8" w:rsidP="0059011D">
            <w:pPr>
              <w:spacing w:after="120" w:line="240" w:lineRule="auto"/>
              <w:jc w:val="right"/>
              <w:rPr>
                <w:rFonts w:ascii="Times New Roman" w:hAnsi="Times New Roman" w:cs="Times New Roman"/>
                <w:b/>
                <w:color w:val="000000"/>
                <w:sz w:val="20"/>
                <w:szCs w:val="20"/>
                <w:lang w:val="et-EE"/>
              </w:rPr>
            </w:pPr>
            <w:r w:rsidRPr="006F46A5">
              <w:rPr>
                <w:rFonts w:ascii="Times New Roman" w:hAnsi="Times New Roman" w:cs="Times New Roman"/>
                <w:b/>
                <w:color w:val="000000"/>
                <w:sz w:val="20"/>
                <w:szCs w:val="20"/>
                <w:lang w:val="et-EE"/>
              </w:rPr>
              <w:t>21 630 170 151</w:t>
            </w:r>
          </w:p>
        </w:tc>
        <w:tc>
          <w:tcPr>
            <w:tcW w:w="652" w:type="pct"/>
            <w:shd w:val="clear" w:color="auto" w:fill="auto"/>
          </w:tcPr>
          <w:p w:rsidR="00CD13E8" w:rsidRPr="006F46A5" w:rsidRDefault="00CD13E8" w:rsidP="0059011D">
            <w:pPr>
              <w:spacing w:after="120" w:line="240" w:lineRule="auto"/>
              <w:jc w:val="right"/>
              <w:rPr>
                <w:rFonts w:ascii="Times New Roman" w:hAnsi="Times New Roman" w:cs="Times New Roman"/>
                <w:b/>
                <w:color w:val="000000"/>
                <w:sz w:val="20"/>
                <w:szCs w:val="20"/>
                <w:lang w:val="et-EE"/>
              </w:rPr>
            </w:pPr>
            <w:r w:rsidRPr="006F46A5">
              <w:rPr>
                <w:rFonts w:ascii="Times New Roman" w:hAnsi="Times New Roman" w:cs="Times New Roman"/>
                <w:b/>
                <w:color w:val="000000"/>
                <w:sz w:val="20"/>
                <w:szCs w:val="20"/>
                <w:lang w:val="et-EE"/>
              </w:rPr>
              <w:t>14 349 000</w:t>
            </w:r>
          </w:p>
        </w:tc>
        <w:tc>
          <w:tcPr>
            <w:tcW w:w="551" w:type="pct"/>
            <w:shd w:val="clear" w:color="auto" w:fill="auto"/>
          </w:tcPr>
          <w:p w:rsidR="00CD13E8" w:rsidRPr="006F46A5" w:rsidRDefault="00CD13E8" w:rsidP="0059011D">
            <w:pPr>
              <w:spacing w:after="120" w:line="240" w:lineRule="auto"/>
              <w:jc w:val="right"/>
              <w:rPr>
                <w:rFonts w:ascii="Times New Roman" w:hAnsi="Times New Roman" w:cs="Times New Roman"/>
                <w:b/>
                <w:color w:val="000000"/>
                <w:sz w:val="20"/>
                <w:szCs w:val="20"/>
                <w:lang w:val="et-EE"/>
              </w:rPr>
            </w:pPr>
            <w:r w:rsidRPr="006F46A5">
              <w:rPr>
                <w:rFonts w:ascii="Times New Roman" w:hAnsi="Times New Roman" w:cs="Times New Roman"/>
                <w:b/>
                <w:color w:val="000000"/>
                <w:sz w:val="20"/>
                <w:szCs w:val="20"/>
                <w:lang w:val="et-EE"/>
              </w:rPr>
              <w:t> </w:t>
            </w:r>
          </w:p>
        </w:tc>
        <w:tc>
          <w:tcPr>
            <w:tcW w:w="701" w:type="pct"/>
            <w:shd w:val="clear" w:color="auto" w:fill="auto"/>
          </w:tcPr>
          <w:p w:rsidR="00CD13E8" w:rsidRPr="006F46A5" w:rsidRDefault="00CD13E8" w:rsidP="0059011D">
            <w:pPr>
              <w:spacing w:after="120" w:line="240" w:lineRule="auto"/>
              <w:jc w:val="right"/>
              <w:rPr>
                <w:rFonts w:ascii="Times New Roman" w:hAnsi="Times New Roman" w:cs="Times New Roman"/>
                <w:b/>
                <w:color w:val="000000"/>
                <w:sz w:val="20"/>
                <w:szCs w:val="20"/>
                <w:lang w:val="et-EE"/>
              </w:rPr>
            </w:pPr>
            <w:r w:rsidRPr="006F46A5">
              <w:rPr>
                <w:rFonts w:ascii="Times New Roman" w:hAnsi="Times New Roman" w:cs="Times New Roman"/>
                <w:b/>
                <w:color w:val="000000"/>
                <w:sz w:val="20"/>
                <w:szCs w:val="20"/>
                <w:lang w:val="et-EE"/>
              </w:rPr>
              <w:t>21 615 821 151</w:t>
            </w:r>
          </w:p>
        </w:tc>
        <w:tc>
          <w:tcPr>
            <w:tcW w:w="652" w:type="pct"/>
            <w:shd w:val="clear" w:color="auto" w:fill="auto"/>
          </w:tcPr>
          <w:p w:rsidR="00CD13E8" w:rsidRPr="006F46A5" w:rsidRDefault="00CD13E8" w:rsidP="0059011D">
            <w:pPr>
              <w:spacing w:after="120" w:line="240" w:lineRule="auto"/>
              <w:jc w:val="right"/>
              <w:rPr>
                <w:rFonts w:ascii="Times New Roman" w:hAnsi="Times New Roman" w:cs="Times New Roman"/>
                <w:b/>
                <w:color w:val="000000"/>
                <w:sz w:val="20"/>
                <w:szCs w:val="20"/>
                <w:lang w:val="et-EE"/>
              </w:rPr>
            </w:pPr>
            <w:r w:rsidRPr="006F46A5">
              <w:rPr>
                <w:rFonts w:ascii="Times New Roman" w:hAnsi="Times New Roman" w:cs="Times New Roman"/>
                <w:b/>
                <w:color w:val="000000"/>
                <w:sz w:val="20"/>
                <w:szCs w:val="20"/>
                <w:lang w:val="et-EE"/>
              </w:rPr>
              <w:t>1 296 949 269</w:t>
            </w:r>
          </w:p>
        </w:tc>
        <w:tc>
          <w:tcPr>
            <w:tcW w:w="652" w:type="pct"/>
            <w:shd w:val="clear" w:color="auto" w:fill="auto"/>
          </w:tcPr>
          <w:p w:rsidR="00CD13E8" w:rsidRPr="006F46A5" w:rsidRDefault="00CD13E8" w:rsidP="0059011D">
            <w:pPr>
              <w:spacing w:after="120" w:line="240" w:lineRule="auto"/>
              <w:jc w:val="center"/>
              <w:rPr>
                <w:rFonts w:ascii="Times New Roman" w:hAnsi="Times New Roman" w:cs="Times New Roman"/>
                <w:b/>
                <w:color w:val="000000"/>
                <w:sz w:val="20"/>
                <w:szCs w:val="20"/>
                <w:lang w:val="et-EE"/>
              </w:rPr>
            </w:pPr>
            <w:r w:rsidRPr="006F46A5">
              <w:rPr>
                <w:rFonts w:ascii="Times New Roman" w:hAnsi="Times New Roman" w:cs="Times New Roman"/>
                <w:b/>
                <w:color w:val="000000"/>
                <w:sz w:val="20"/>
                <w:szCs w:val="20"/>
                <w:lang w:val="et-EE"/>
              </w:rPr>
              <w:t>6,0%</w:t>
            </w:r>
          </w:p>
        </w:tc>
      </w:tr>
    </w:tbl>
    <w:p w:rsidR="003963D4" w:rsidRPr="000B521F" w:rsidRDefault="003963D4" w:rsidP="0059011D">
      <w:pPr>
        <w:pStyle w:val="Nadpis1"/>
        <w:numPr>
          <w:ilvl w:val="0"/>
          <w:numId w:val="0"/>
        </w:numPr>
        <w:spacing w:before="0" w:after="240"/>
        <w:ind w:left="432" w:hanging="432"/>
        <w:rPr>
          <w:rFonts w:ascii="Times New Roman" w:hAnsi="Times New Roman" w:cs="Times New Roman"/>
        </w:rPr>
      </w:pPr>
      <w:bookmarkStart w:id="79" w:name="_Toc350333634"/>
    </w:p>
    <w:p w:rsidR="00507842" w:rsidRPr="000B521F" w:rsidRDefault="003963D4" w:rsidP="0059011D">
      <w:pPr>
        <w:pStyle w:val="Nadpis1"/>
        <w:spacing w:before="0" w:after="240"/>
        <w:rPr>
          <w:rFonts w:ascii="Times New Roman" w:hAnsi="Times New Roman" w:cs="Times New Roman"/>
        </w:rPr>
      </w:pPr>
      <w:r w:rsidRPr="000B521F">
        <w:rPr>
          <w:rFonts w:ascii="Times New Roman" w:hAnsi="Times New Roman" w:cs="Times New Roman"/>
        </w:rPr>
        <w:br w:type="page"/>
      </w:r>
      <w:bookmarkStart w:id="80" w:name="_Toc374702892"/>
      <w:r w:rsidR="00507842" w:rsidRPr="000B521F">
        <w:rPr>
          <w:rFonts w:ascii="Times New Roman" w:hAnsi="Times New Roman" w:cs="Times New Roman"/>
        </w:rPr>
        <w:lastRenderedPageBreak/>
        <w:t>Opatření k zajištění efektivní implementace podle čl. 14 (1,B) obecného nařízení</w:t>
      </w:r>
      <w:bookmarkEnd w:id="79"/>
      <w:bookmarkEnd w:id="80"/>
    </w:p>
    <w:p w:rsidR="00507842" w:rsidRPr="000B521F" w:rsidRDefault="00507842" w:rsidP="0059011D">
      <w:pPr>
        <w:pStyle w:val="Nadpis2"/>
      </w:pPr>
      <w:bookmarkStart w:id="81" w:name="_Toc350333635"/>
      <w:bookmarkStart w:id="82" w:name="_Toc374702893"/>
      <w:r w:rsidRPr="000B521F">
        <w:t>Institucionální rámec pro zajištění koordinace mezi fondy a ostatnímu Unijními a národními nástroji financování a s EIB</w:t>
      </w:r>
      <w:bookmarkEnd w:id="81"/>
      <w:bookmarkEnd w:id="82"/>
    </w:p>
    <w:p w:rsidR="00EC24B4" w:rsidRPr="000B521F" w:rsidRDefault="00EC24B4" w:rsidP="0059011D">
      <w:pPr>
        <w:pStyle w:val="Nadpis3"/>
        <w:spacing w:after="120"/>
        <w:rPr>
          <w:rFonts w:ascii="Times New Roman" w:hAnsi="Times New Roman" w:cs="Times New Roman"/>
        </w:rPr>
      </w:pPr>
      <w:bookmarkStart w:id="83" w:name="_Toc374702894"/>
      <w:r w:rsidRPr="000B521F">
        <w:rPr>
          <w:rFonts w:ascii="Times New Roman" w:hAnsi="Times New Roman" w:cs="Times New Roman"/>
        </w:rPr>
        <w:t>Popis opatření k zajištění koordinace mezi ESIF a ostatními unijními a národními zdroji</w:t>
      </w:r>
      <w:bookmarkEnd w:id="83"/>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Ve srov</w:t>
      </w:r>
      <w:r w:rsidR="00831CC0">
        <w:rPr>
          <w:rFonts w:ascii="Times New Roman" w:hAnsi="Times New Roman" w:cs="Times New Roman"/>
          <w:sz w:val="24"/>
          <w:szCs w:val="24"/>
        </w:rPr>
        <w:t>nání s programovým obdobím 2007</w:t>
      </w:r>
      <w:r w:rsidR="00831CC0">
        <w:rPr>
          <w:rFonts w:ascii="Times New Roman" w:hAnsi="Times New Roman" w:cs="Times New Roman"/>
          <w:color w:val="000000"/>
          <w:sz w:val="24"/>
          <w:szCs w:val="24"/>
        </w:rPr>
        <w:t>–</w:t>
      </w:r>
      <w:r w:rsidRPr="000B521F">
        <w:rPr>
          <w:rFonts w:ascii="Times New Roman" w:hAnsi="Times New Roman" w:cs="Times New Roman"/>
          <w:sz w:val="24"/>
          <w:szCs w:val="24"/>
        </w:rPr>
        <w:t>2013 vyvstává zvýšená potřeba řešení synergií a komplementarit mezi programy, fondy a dalšími nástroji. Nová architektura ESI fondů včetně ENRF a EZFRV fondů bude vyžadovat užší propojování intervencí a tím i důkladnou koordinaci, a to při respektování pravidel vycházejících jak z obecného nařízení, tak z jednotlivých nařízení. Nastavení koordinace má za cíl směřovat k eliminaci nežádoucích překryvů mezi programy a prioritami, a tím dosahování komplementarit, kdy dochází k vhodnému doplňování intervencí. Koncentrace podpor uvnitř programů a mezi programy vyžaduje soustředění se na klíčové problémy a intervence, které mohou zajistit významné přínosy i při omezeném počtu programů a priorit, a to při zacílení finanční alokace prostředků na hlavní synergické oblasti.</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Proto je na úrovni Dohody o partnerství a jednotlivých programů koordinace mezi fondy, programy a dalšími unijními nástroji vnímána jako klíčový prvek programování i realizace.</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Jde zejména o zajištění vzájemného spolupůsobení, doplňkovosti, zamezení duplicit a využití synergických vazeb zabudovaných v jednotlivých programech a usměrňování úsilí na všech úrovních tak, aby byly dosaženy co nejlepší výsledky na úrovni Dohody o partnerství a programů ESI fondů, což přispěje i k  naplňování cílů strategie Evropa 2020. </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Zajištění koordinace mezi fondy, programy a dalšími nástroji je prováděno těmito kroky:</w:t>
      </w:r>
    </w:p>
    <w:p w:rsidR="008206A4" w:rsidRPr="000B521F" w:rsidRDefault="00B221B5" w:rsidP="0059011D">
      <w:pPr>
        <w:pStyle w:val="Odstavecseseznamem"/>
        <w:numPr>
          <w:ilvl w:val="0"/>
          <w:numId w:val="52"/>
        </w:num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věcným vymezením synergických a komplementárních vazeb (věcná rovina),</w:t>
      </w:r>
    </w:p>
    <w:p w:rsidR="008206A4" w:rsidRPr="000B521F" w:rsidRDefault="00B221B5" w:rsidP="0059011D">
      <w:pPr>
        <w:pStyle w:val="Odstavecseseznamem"/>
        <w:numPr>
          <w:ilvl w:val="0"/>
          <w:numId w:val="52"/>
        </w:num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sledováním a vyhodnocováním synergických a komplementárních vazeb (rovina implementační),</w:t>
      </w:r>
    </w:p>
    <w:p w:rsidR="008206A4" w:rsidRPr="000B521F" w:rsidRDefault="00B221B5" w:rsidP="0059011D">
      <w:pPr>
        <w:pStyle w:val="Odstavecseseznamem"/>
        <w:numPr>
          <w:ilvl w:val="0"/>
          <w:numId w:val="52"/>
        </w:numPr>
        <w:spacing w:after="120" w:line="240" w:lineRule="auto"/>
        <w:ind w:left="714" w:hanging="357"/>
        <w:jc w:val="both"/>
        <w:rPr>
          <w:rFonts w:ascii="Times New Roman" w:hAnsi="Times New Roman" w:cs="Times New Roman"/>
          <w:sz w:val="24"/>
          <w:szCs w:val="24"/>
        </w:rPr>
      </w:pPr>
      <w:r w:rsidRPr="000B521F">
        <w:rPr>
          <w:rFonts w:ascii="Times New Roman" w:hAnsi="Times New Roman" w:cs="Times New Roman"/>
          <w:sz w:val="24"/>
          <w:szCs w:val="24"/>
        </w:rPr>
        <w:t>nastavením mechanismů zajišťujících efektivní provádění těchto intervencí (institucionální rovina).</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Kromě toho je nutné průběžně zamezit duplicitám, které mohou i při větší specifikaci realizovaných intervencí v rámci implementace programů vznikat.  Smyslem je nalezení optimálního rozložení podpory zacíleného na komplexní a gesčně vyvážené řešení napříč řídícími orgán a dalšími subjekty. Nastavení a zabudování vzájemných komplementárních a synergických vazeb do jednotlivých programů s úzkou provanou na Dohodu o partnerství je konstruováno s cílem najít optimální naplňování tematických cílů a tím i cílů strategie Evropa 2020.</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Níže uvedené schéma popisuje intervenční logiku nastavování a realizace synergií a komplementarit nejen z pohledu časové posloupnosti, ale především i z pohledu použitých nástrojů a nastavení konceptu pro fázi implementace. Překryvy mezi programy byly postupným vyjednáváním a upřesňováním eliminovány a ve finálních návrzích programů se v dané struktuře programů neobjevují. Pro fázi implementace tak budou podstatné zejména komplementarity a synergické intervence. Klíčové pro budoucí realizaci je nastavení systému řízení synergií v rámci programů a Dohody o partnerství. Programové dokumenty a Dohoda o partnerství jsou základním stavebním kamenem pro zakotvení / naprogramování synergií. Aby tyto synergie byly jednoznačně formulovány a nastaveny pro fázi implementace, je </w:t>
      </w:r>
      <w:r w:rsidRPr="000B521F">
        <w:rPr>
          <w:rFonts w:ascii="Times New Roman" w:hAnsi="Times New Roman" w:cs="Times New Roman"/>
          <w:sz w:val="24"/>
          <w:szCs w:val="24"/>
        </w:rPr>
        <w:lastRenderedPageBreak/>
        <w:t>nezbytné nastavit i procesy a implementační schéma. Flexibilní interakce probíhá na úrovni definování projektových záměrů a aktivit pro realizaci v rámci programů. Klíčovým prvkem pro definování synergických intervencí bude plánování výzev a jejich popis, včetně paralelně existujících mechanismů koordinace, které budou tyto vstupy nastavovat a synchronizovat. Vedle toho jsou užity i další nástroje koordinace a to podle charakteru řešené synergie (více viz část k nástrojům mechanismů koordinace).</w:t>
      </w:r>
    </w:p>
    <w:p w:rsidR="00B221B5" w:rsidRPr="000B521F" w:rsidRDefault="00B221B5" w:rsidP="0059011D">
      <w:pPr>
        <w:pStyle w:val="Styl2"/>
        <w:spacing w:before="0" w:after="120" w:line="240" w:lineRule="auto"/>
        <w:rPr>
          <w:rFonts w:ascii="Times New Roman" w:hAnsi="Times New Roman"/>
          <w:sz w:val="24"/>
          <w:szCs w:val="24"/>
          <w:highlight w:val="cyan"/>
          <w:u w:color="000000"/>
        </w:rPr>
      </w:pPr>
      <w:r w:rsidRPr="000B521F">
        <w:rPr>
          <w:rFonts w:ascii="Times New Roman" w:hAnsi="Times New Roman"/>
          <w:sz w:val="24"/>
          <w:szCs w:val="24"/>
        </w:rPr>
        <w:object w:dxaOrig="16345" w:dyaOrig="99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276.75pt" o:ole="">
            <v:imagedata r:id="rId11" o:title=""/>
          </v:shape>
          <o:OLEObject Type="Embed" ProgID="Visio.Drawing.11" ShapeID="_x0000_i1025" DrawAspect="Content" ObjectID="_1448862795" r:id="rId12"/>
        </w:object>
      </w:r>
    </w:p>
    <w:p w:rsidR="00B221B5" w:rsidRPr="000B521F" w:rsidRDefault="00B221B5" w:rsidP="0059011D">
      <w:pPr>
        <w:pStyle w:val="Standardntext"/>
        <w:spacing w:before="240" w:after="120"/>
        <w:rPr>
          <w:rFonts w:ascii="Times New Roman" w:hAnsi="Times New Roman" w:cs="Times New Roman"/>
          <w:b/>
        </w:rPr>
      </w:pPr>
      <w:r w:rsidRPr="000B521F">
        <w:rPr>
          <w:rFonts w:ascii="Times New Roman" w:hAnsi="Times New Roman" w:cs="Times New Roman"/>
          <w:b/>
        </w:rPr>
        <w:t>2.1.2 Identifikace oblastí intervencí, které budou vzájemně koordinovány</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Vzájemné komplementární a synergické vazby, které by multiplikovaně přispěly k naplňování tematických cílů ESIF a cílů strategie Evropa 2020, je možné identifikovat:</w:t>
      </w:r>
    </w:p>
    <w:p w:rsidR="008206A4" w:rsidRPr="000B521F" w:rsidRDefault="00B221B5" w:rsidP="0059011D">
      <w:pPr>
        <w:pStyle w:val="Odstavecseseznamem"/>
        <w:numPr>
          <w:ilvl w:val="0"/>
          <w:numId w:val="52"/>
        </w:num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mezi programy (fondy) ESIF navzájem (příp. uvnitř programů),</w:t>
      </w:r>
    </w:p>
    <w:p w:rsidR="008206A4" w:rsidRPr="000B521F" w:rsidRDefault="00B221B5" w:rsidP="0059011D">
      <w:pPr>
        <w:pStyle w:val="Odstavecseseznamem"/>
        <w:numPr>
          <w:ilvl w:val="0"/>
          <w:numId w:val="52"/>
        </w:num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mezi programy ESIF a Unijními programy/nástroji, </w:t>
      </w:r>
    </w:p>
    <w:p w:rsidR="008206A4" w:rsidRPr="000B521F" w:rsidRDefault="00B221B5" w:rsidP="0059011D">
      <w:pPr>
        <w:pStyle w:val="Odstavecseseznamem"/>
        <w:numPr>
          <w:ilvl w:val="0"/>
          <w:numId w:val="52"/>
        </w:num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mezi programy ESIF a národními programy,</w:t>
      </w:r>
    </w:p>
    <w:p w:rsidR="008206A4" w:rsidRPr="000B521F" w:rsidRDefault="00B221B5" w:rsidP="0059011D">
      <w:pPr>
        <w:pStyle w:val="Odstavecseseznamem"/>
        <w:numPr>
          <w:ilvl w:val="0"/>
          <w:numId w:val="52"/>
        </w:num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mezi programy ESIF a EIB.</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Identifikované vazby jsou definovány v několika úrovních podle účelu, pro který jsou sledovány. Vazby na úrovni tematického cíle jsou identifikovány zejména pro potřeby naplňování těchto tematických cílů a jejich monitorování. Vazby na úrovni prioritních os, investičních priorit nebo specifických cílů slouží ke konkrétnímu nastavení komplementárních a synergických vazeb, které se vzájemně doplňují nebo posilují ve svých účincích a dopadech. Nejnižší úrovní jsou vazby mezi aktivitami nebo konkrétními projekty, kde se realizují konkrétní synergie ve fázi implementace.</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Pro účely koordinace aktivit na všech úrovních k naplňování tematických cílů ESIF a Strategie 2020 byly komplementarity (doplňkovost) a synergie definovány takto:</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b/>
          <w:sz w:val="24"/>
          <w:szCs w:val="24"/>
        </w:rPr>
        <w:t>Komplementarita (komplementární vazba)</w:t>
      </w:r>
      <w:r w:rsidRPr="000B521F">
        <w:rPr>
          <w:rFonts w:ascii="Times New Roman" w:hAnsi="Times New Roman" w:cs="Times New Roman"/>
          <w:sz w:val="24"/>
          <w:szCs w:val="24"/>
        </w:rPr>
        <w:t xml:space="preserve"> představuje vztah/propojení mezi zaměřením jednotlivých úrovní programů ESIF (prioritní osa, investiční priorita, specifický cíl, aktivita) a obdobnými úrovněmi jednotlivých programů a politik EU, národních programů ČR a dalších zdrojů, které se váží k naplnění daných tematických cílů. Jedná se o věcnou komplementaritu </w:t>
      </w:r>
      <w:r w:rsidRPr="000B521F">
        <w:rPr>
          <w:rFonts w:ascii="Times New Roman" w:hAnsi="Times New Roman" w:cs="Times New Roman"/>
          <w:sz w:val="24"/>
          <w:szCs w:val="24"/>
        </w:rPr>
        <w:lastRenderedPageBreak/>
        <w:t xml:space="preserve">definovanou při přípravě programů ESIF s ohledem na obsah a zaměření programů a návazně v implementační úrovni o komplementaritu na úrovni konkrétních aktivit, cílových skupin žadatelů a příjemců, apod. </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b/>
          <w:sz w:val="24"/>
          <w:szCs w:val="24"/>
        </w:rPr>
        <w:t>Synergie (synergická vazba)</w:t>
      </w:r>
      <w:r w:rsidRPr="000B521F">
        <w:rPr>
          <w:rFonts w:ascii="Times New Roman" w:hAnsi="Times New Roman" w:cs="Times New Roman"/>
          <w:sz w:val="24"/>
          <w:szCs w:val="24"/>
        </w:rPr>
        <w:t xml:space="preserve"> představuje vztah mezi aktivitami soustředěnými v jednotlivých úrovních programů (prioritní osa, investiční priorita, specifický cíl, v implementační fázi na úrovni projektu), které jsou vůči sobě v přímé funkční interakci a navzájem se posilují ve svých účincích a dopadech. Synergické vazby mohou vznikat uvnitř programů ESIF, mezi programy ESIF, mezi programy ESIF a EU politikami a mezi programy ESIF a národními programy. Následně je možné definovat synergický vztah mezi projekty vážícími se k prioritním osám, investičním prioritám nebo specifickým cílům různých programů. Synergická vazba je věcná vazba mezi dvěma a více projekty předloženými do dvou či více programů stejným nebo dvěma žadateli, jejichž současné, resp. bezprostředně návazné působení má potenciál přinést vyšší efekt ve srovnání se součtem efektů každého z projektů realizovaného odděleně.</w:t>
      </w:r>
    </w:p>
    <w:p w:rsidR="00B221B5" w:rsidRPr="000B521F" w:rsidRDefault="00B221B5" w:rsidP="0059011D">
      <w:pPr>
        <w:spacing w:after="120" w:line="240" w:lineRule="auto"/>
        <w:jc w:val="both"/>
        <w:rPr>
          <w:rFonts w:ascii="Times New Roman" w:hAnsi="Times New Roman" w:cs="Times New Roman"/>
          <w:b/>
          <w:sz w:val="24"/>
          <w:szCs w:val="24"/>
          <w:u w:val="single"/>
        </w:rPr>
      </w:pPr>
      <w:r w:rsidRPr="000B521F">
        <w:rPr>
          <w:rFonts w:ascii="Times New Roman" w:hAnsi="Times New Roman" w:cs="Times New Roman"/>
          <w:b/>
          <w:sz w:val="24"/>
          <w:szCs w:val="24"/>
          <w:u w:val="single"/>
        </w:rPr>
        <w:t>Vazby mezi programy ESIF navzájem</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Mezi programy ESIF navzájem jsou na základě definic identifikovány synergické/komplementární vazby:</w:t>
      </w:r>
    </w:p>
    <w:p w:rsidR="008206A4" w:rsidRPr="000B521F" w:rsidRDefault="00B221B5" w:rsidP="0059011D">
      <w:pPr>
        <w:pStyle w:val="Odstavecseseznamem"/>
        <w:numPr>
          <w:ilvl w:val="0"/>
          <w:numId w:val="52"/>
        </w:numPr>
        <w:spacing w:after="120" w:line="240" w:lineRule="auto"/>
        <w:jc w:val="both"/>
        <w:rPr>
          <w:rFonts w:ascii="Times New Roman" w:hAnsi="Times New Roman" w:cs="Times New Roman"/>
          <w:sz w:val="24"/>
          <w:szCs w:val="24"/>
        </w:rPr>
      </w:pPr>
      <w:r w:rsidRPr="000B521F">
        <w:rPr>
          <w:rFonts w:ascii="Times New Roman" w:hAnsi="Times New Roman" w:cs="Times New Roman"/>
          <w:b/>
          <w:sz w:val="24"/>
          <w:szCs w:val="24"/>
        </w:rPr>
        <w:t>uvnitř programu ESIF:</w:t>
      </w:r>
      <w:r w:rsidRPr="000B521F">
        <w:rPr>
          <w:rFonts w:ascii="Times New Roman" w:hAnsi="Times New Roman" w:cs="Times New Roman"/>
          <w:sz w:val="24"/>
          <w:szCs w:val="24"/>
        </w:rPr>
        <w:t xml:space="preserve"> v rámci jednoho programu ESIF existují synergické/komplementární vazby, které jsou realizovány řídícími orgány programů (nastavování výzev, hodnocení, apod.), </w:t>
      </w:r>
    </w:p>
    <w:p w:rsidR="008206A4" w:rsidRPr="000B521F" w:rsidRDefault="00B221B5" w:rsidP="0059011D">
      <w:pPr>
        <w:pStyle w:val="Odstavecseseznamem"/>
        <w:numPr>
          <w:ilvl w:val="0"/>
          <w:numId w:val="52"/>
        </w:numPr>
        <w:spacing w:after="120" w:line="240" w:lineRule="auto"/>
        <w:jc w:val="both"/>
        <w:rPr>
          <w:rFonts w:ascii="Times New Roman" w:hAnsi="Times New Roman" w:cs="Times New Roman"/>
          <w:sz w:val="24"/>
          <w:szCs w:val="24"/>
        </w:rPr>
      </w:pPr>
      <w:r w:rsidRPr="000B521F">
        <w:rPr>
          <w:rFonts w:ascii="Times New Roman" w:hAnsi="Times New Roman" w:cs="Times New Roman"/>
          <w:b/>
          <w:sz w:val="24"/>
          <w:szCs w:val="24"/>
        </w:rPr>
        <w:t>mezi programy ESIF:</w:t>
      </w:r>
      <w:r w:rsidRPr="000B521F">
        <w:rPr>
          <w:rFonts w:ascii="Times New Roman" w:hAnsi="Times New Roman" w:cs="Times New Roman"/>
          <w:sz w:val="24"/>
          <w:szCs w:val="24"/>
        </w:rPr>
        <w:t xml:space="preserve"> v rámci dvou a více programů ESIF existují synergické/komplementární vazby, které naplňují jeden či více tematických cílů; koordinace mezi programy probíhá podle nastavených nástrojů koordinace,</w:t>
      </w:r>
    </w:p>
    <w:p w:rsidR="008206A4" w:rsidRPr="000B521F" w:rsidRDefault="00B221B5" w:rsidP="0059011D">
      <w:pPr>
        <w:pStyle w:val="Odstavecseseznamem"/>
        <w:numPr>
          <w:ilvl w:val="0"/>
          <w:numId w:val="52"/>
        </w:numPr>
        <w:spacing w:after="120" w:line="240" w:lineRule="auto"/>
        <w:jc w:val="both"/>
        <w:rPr>
          <w:rFonts w:ascii="Times New Roman" w:hAnsi="Times New Roman" w:cs="Times New Roman"/>
          <w:sz w:val="24"/>
          <w:szCs w:val="24"/>
        </w:rPr>
      </w:pPr>
      <w:r w:rsidRPr="000B521F">
        <w:rPr>
          <w:rFonts w:ascii="Times New Roman" w:hAnsi="Times New Roman" w:cs="Times New Roman"/>
          <w:b/>
          <w:sz w:val="24"/>
          <w:szCs w:val="24"/>
        </w:rPr>
        <w:t>mezi fondy ESIF:</w:t>
      </w:r>
      <w:r w:rsidRPr="000B521F">
        <w:rPr>
          <w:rFonts w:ascii="Times New Roman" w:hAnsi="Times New Roman" w:cs="Times New Roman"/>
          <w:sz w:val="24"/>
          <w:szCs w:val="24"/>
        </w:rPr>
        <w:t xml:space="preserve"> v rámci jednoho a více programů ESIF existují synergické/komplementární vazby vyplývající z odlišného zaměření aktivit podporovaných z jednotlivých fondů; koordinace mezi programy probíhá podle nastavených nástrojů koordinace,</w:t>
      </w:r>
    </w:p>
    <w:p w:rsidR="008206A4" w:rsidRPr="000B521F" w:rsidRDefault="00B221B5" w:rsidP="0059011D">
      <w:pPr>
        <w:pStyle w:val="Odstavecseseznamem"/>
        <w:numPr>
          <w:ilvl w:val="0"/>
          <w:numId w:val="52"/>
        </w:numPr>
        <w:spacing w:after="120" w:line="240" w:lineRule="auto"/>
        <w:ind w:left="714" w:hanging="357"/>
        <w:jc w:val="both"/>
        <w:rPr>
          <w:rFonts w:ascii="Times New Roman" w:hAnsi="Times New Roman" w:cs="Times New Roman"/>
          <w:sz w:val="24"/>
          <w:szCs w:val="24"/>
        </w:rPr>
      </w:pPr>
      <w:r w:rsidRPr="000B521F">
        <w:rPr>
          <w:rFonts w:ascii="Times New Roman" w:hAnsi="Times New Roman" w:cs="Times New Roman"/>
          <w:b/>
          <w:sz w:val="24"/>
          <w:szCs w:val="24"/>
        </w:rPr>
        <w:t>mezi programy cíle „Investice pro růst a pracovní místa“ a programy cíle „Evropské územní spolupráce“</w:t>
      </w:r>
      <w:r w:rsidRPr="000B521F">
        <w:rPr>
          <w:rFonts w:ascii="Times New Roman" w:hAnsi="Times New Roman" w:cs="Times New Roman"/>
          <w:sz w:val="24"/>
          <w:szCs w:val="24"/>
        </w:rPr>
        <w:t>: v rámci dvou a více programů ESIF existují synergické/komplementární vazby vyplývající z realizace obou cílů kohezní politiky; koordinace mezi programy probíhá podle nastavených nástrojů koordinace (vazby je popsány v kapitole 3.1.4).</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Tematické cíle jsou zpravidla naplňovány několika programy ESIF, v rámci kterých bude docházet ke komplementárním a synergickým vazbám. Tyto vazby jsou koordinovány podle nastavených a pro daný segment zvolených nástrojů. Kromě toho, že bude nezbytné mezi dotčenými ŘO zamezit vzniku duplicit při nastavování realizovaných intervencí, bude docházet při vzájemné koordinaci k dosahování přidané hodnoty v rámci tematického cíle.</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Klíčové jsou intervence, které se navzájem posilují ve svých účincích a dopadech a které je možné identifikovat v rámci jednoho TC. Jde například o naplňování TC 1 v oblasti inovačních aktivit podniků, uplatnění výsledků výzkumu a vývoje v podobě inovací. Dalším příkladem je naplňování TC 3 v oblasti podpory podnikání, zejména MSP a to i pro zemědělské podniky a podniky v odvětví akvakultury. Dále jde např. o naplňování TC 4 v oblasti snižování energetické náročnosti prostřednictvím 4 programů podle sektorového členění. </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Kromě synergických a komplementárních vazeb mezi programy v rámci jednotlivých tematických cílů jsou definovány rovněž úzké vazby mezi programy různých tematických cílů. Funkční intervence, které podmiňují naplňování cílů Dohody o partnerství i strategie </w:t>
      </w:r>
      <w:r w:rsidRPr="000B521F">
        <w:rPr>
          <w:rFonts w:ascii="Times New Roman" w:hAnsi="Times New Roman" w:cs="Times New Roman"/>
          <w:sz w:val="24"/>
          <w:szCs w:val="24"/>
        </w:rPr>
        <w:lastRenderedPageBreak/>
        <w:t>Evropa 2020, směřují ke dvěma hlavním synergickým cílům – konkurenceschopnosti a inkluzívní společnosti</w:t>
      </w:r>
      <w:r w:rsidR="0019474F">
        <w:rPr>
          <w:rFonts w:ascii="Times New Roman" w:hAnsi="Times New Roman" w:cs="Times New Roman"/>
          <w:sz w:val="24"/>
          <w:szCs w:val="24"/>
        </w:rPr>
        <w:t>, a to při respektování ochrany životního prostředí a úzké vazby na rozvoj venkova</w:t>
      </w:r>
      <w:r w:rsidR="0019474F" w:rsidRPr="0014016D">
        <w:rPr>
          <w:rFonts w:ascii="Times New Roman" w:hAnsi="Times New Roman" w:cs="Times New Roman"/>
          <w:sz w:val="24"/>
          <w:szCs w:val="24"/>
        </w:rPr>
        <w:t>.</w:t>
      </w:r>
      <w:r w:rsidRPr="000B521F">
        <w:rPr>
          <w:rFonts w:ascii="Times New Roman" w:hAnsi="Times New Roman" w:cs="Times New Roman"/>
          <w:sz w:val="24"/>
          <w:szCs w:val="24"/>
        </w:rPr>
        <w:t>. Tyto synergické cíle přímo vycházejí ze strategických cílů Dohody o partnerství (viz kap. 1.1). K dosažení těchto cílů jsou realizovány klíčové synergie resp. synergické řetězce, které při vzájemné a bezprostřední realizaci přinášejí v krátkodobém (okamžité dopady) a dlouhodobém (zpožděné dopady) horizontu vyšší účinky, než kdyby byly realizovány odděleně. Je identifikováno pět hlavních identifikovaných řetězců, v tom tři pro dosažení synergického cíle Konkurenceschopnosti a dva pro dosažení synergického cíle Sociální začleňování. Dílčí synergické intervence probíhají uvnitř řetězců, v mnoha případech jde také o vzájemnou funkční či nutnou závislost resp. podmíněnost (věcnou, časovou, místní atd.) mezi některými synergiemi v rámci fáze realizace. Synergické intervence jsou následně pomocí vzájemné koordinace realizovány v jednotlivých programech a výsledky z implementace budou promítány do naplňování TC.</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 </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object w:dxaOrig="16289" w:dyaOrig="6784">
          <v:shape id="_x0000_i1026" type="#_x0000_t75" style="width:458.25pt;height:187.5pt" o:ole="">
            <v:imagedata r:id="rId13" o:title=""/>
          </v:shape>
          <o:OLEObject Type="Embed" ProgID="Visio.Drawing.11" ShapeID="_x0000_i1026" DrawAspect="Content" ObjectID="_1448862796" r:id="rId14"/>
        </w:object>
      </w:r>
    </w:p>
    <w:p w:rsidR="0019474F" w:rsidRPr="0014016D" w:rsidRDefault="0019474F" w:rsidP="0019474F">
      <w:pPr>
        <w:spacing w:after="120" w:line="240" w:lineRule="auto"/>
        <w:jc w:val="both"/>
        <w:rPr>
          <w:rFonts w:ascii="Times New Roman" w:hAnsi="Times New Roman" w:cs="Times New Roman"/>
          <w:sz w:val="24"/>
          <w:szCs w:val="24"/>
        </w:rPr>
      </w:pPr>
      <w:r w:rsidRPr="0014016D">
        <w:rPr>
          <w:rFonts w:ascii="Times New Roman" w:hAnsi="Times New Roman" w:cs="Times New Roman"/>
          <w:sz w:val="24"/>
          <w:szCs w:val="24"/>
        </w:rPr>
        <w:t>V rámci synergického cíle Konkurenceschopnost lze identifikovat tři klíčové synergie vedoucí k rozvoji podnikání. U synergie podnikání (TC 3) Výzkum, vývoj a inovace (TC 1) a Vzdělávání (TC 10), půjde o posilování výzkumné a inovační infrastruktury a podpory podnikových investic do inovací, s úzkým napojením na kvalitu vzdělávání. Jedná se o vazby na bázi znalostního a inovačního řetězce mezi výzkumnými a vývojovými kapacitami a podniky, s propojením na iniciující podporu výzkumných aktivit za aktivní účasti podnikové sféry ale také vzdělávacích kapacit. Kromě tohoto úžeji zaměřeného synergického řetězce je nutné sledovat a hodnotit širší vzájemnou synergii mezi podnikáním (TC 3) zaměstnaností (TC 8) a vzděláváním (TC 10). V neposlední řadě existuje významná synergie vznikající úzkou provazbou podnikání (TC 3), službami veřejné správy pro podnikání (TC 11) a dostupnou infrastrukturou, ať už dopravní (TC 7) či technickou</w:t>
      </w:r>
      <w:r>
        <w:rPr>
          <w:rFonts w:ascii="Times New Roman" w:hAnsi="Times New Roman" w:cs="Times New Roman"/>
          <w:sz w:val="24"/>
          <w:szCs w:val="24"/>
        </w:rPr>
        <w:t xml:space="preserve"> vč. životního prostředí, energetiky apod.</w:t>
      </w:r>
      <w:r w:rsidRPr="0014016D">
        <w:rPr>
          <w:rFonts w:ascii="Times New Roman" w:hAnsi="Times New Roman" w:cs="Times New Roman"/>
          <w:sz w:val="24"/>
          <w:szCs w:val="24"/>
        </w:rPr>
        <w:t xml:space="preserve"> (TC 2, TC 4 a TC 6).</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V rámci synergického cíle Sociální začleňování identifikujeme 2 klíčové synergie. V jednom případě jde podporu sociálního začleňování (TC 9) rozvojem příslušné infrastruktury (TC 2, TC 7) a příslušnými službami veřejné správy (TC 11). Ve druhém případě je nutné sledovat vzájemné synergické vazby mezi sociálním začleňováním (TC 9) a vzděláváním (TC 10), zaměstnaností (TC 8) a příslušným podnikáním (TC 3).</w:t>
      </w:r>
    </w:p>
    <w:p w:rsidR="00B221B5" w:rsidRPr="000B521F" w:rsidRDefault="00B221B5" w:rsidP="0059011D">
      <w:pPr>
        <w:spacing w:after="120" w:line="240" w:lineRule="auto"/>
        <w:jc w:val="both"/>
        <w:rPr>
          <w:rFonts w:ascii="Times New Roman" w:hAnsi="Times New Roman" w:cs="Times New Roman"/>
          <w:b/>
          <w:sz w:val="24"/>
          <w:szCs w:val="24"/>
          <w:u w:val="single"/>
        </w:rPr>
      </w:pPr>
      <w:r w:rsidRPr="000B521F">
        <w:rPr>
          <w:rFonts w:ascii="Times New Roman" w:hAnsi="Times New Roman" w:cs="Times New Roman"/>
          <w:b/>
          <w:sz w:val="24"/>
          <w:szCs w:val="24"/>
          <w:u w:val="single"/>
        </w:rPr>
        <w:t>Vazby mezi programy ESIF a Unijními programy/nástroji</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lastRenderedPageBreak/>
        <w:t xml:space="preserve">Důležité synergie je možné identifikovat a následně řídit nejen na úrovni programů ESIF, ale rovněž mezi programy ESIF a Unijními programy. Následující přehled uvádí vazby mezi programy ESIF a Unijními programy a nástroji. </w:t>
      </w:r>
    </w:p>
    <w:p w:rsidR="00B221B5" w:rsidRPr="000B521F" w:rsidRDefault="00B221B5" w:rsidP="0059011D">
      <w:pPr>
        <w:spacing w:after="120" w:line="240" w:lineRule="auto"/>
        <w:jc w:val="both"/>
        <w:rPr>
          <w:rFonts w:ascii="Times New Roman" w:hAnsi="Times New Roman" w:cs="Times New Roman"/>
          <w:sz w:val="24"/>
          <w:szCs w:val="24"/>
        </w:rPr>
      </w:pPr>
    </w:p>
    <w:p w:rsidR="00B221B5" w:rsidRPr="000B521F" w:rsidRDefault="00B221B5" w:rsidP="0059011D">
      <w:pPr>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 xml:space="preserve">Horizon 2020 </w:t>
      </w:r>
      <w:r w:rsidR="00323BAE">
        <w:rPr>
          <w:rFonts w:ascii="Times New Roman" w:hAnsi="Times New Roman" w:cs="Times New Roman"/>
          <w:b/>
          <w:sz w:val="24"/>
          <w:szCs w:val="24"/>
        </w:rPr>
        <w:t>–</w:t>
      </w:r>
      <w:r w:rsidRPr="000B521F">
        <w:rPr>
          <w:rFonts w:ascii="Times New Roman" w:hAnsi="Times New Roman" w:cs="Times New Roman"/>
          <w:b/>
          <w:sz w:val="24"/>
          <w:szCs w:val="24"/>
        </w:rPr>
        <w:t xml:space="preserve"> rámcový program pro výzkum a inovace v Evropské unii</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Synergie vůči programu Horizon 2020 jsou identifikovány v rámci tematických cílů 1, 2 a 3 (OP VVV, OP PIK, OP PPR).</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V případě konkrétních intervencí jde o realizaci aktivit jak směřujících k posílení absorpční kapacity pro projekty Horizon 2020, tak aktivit směřujících k využití, šíření a uplatnění výsledků projektů realizovaných s podporou Horizon 2020. Z hlediska konkrétních intervencí se v rámci OP VVV předpokládá podpora zejména aktivit na posílení kapacit pro zapojení českých subjektů do projektů v prioritě 1 Horizon 2020 (vynikající věda), a to především v aktivitách na posílení zapojení českých subjektů do projektů nadnárodních výzkumných infrastruktur, dále aktivity na podporu absorpční kapacity v účasti v Horizon 2020 (podpora přípravy mezinárodních grantů a pracovníků grantové podpory), podpůrné granty (tzv. top-up grants), zejména pro akce European Research Council, Marie Skłodowska-Curie a pro projekty ERA Chairs. Podpora je cílena rovněž na podporu absorpční kapacity v účasti v Horizon 2020 (podpora přípravy mezinárodních grantů), dále na systémové nadnárodní aktivity jako např. příprava účasti a účast českých subjektů v projektech EIT, joint programming, joint technology initiatives, apod.</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Vazbu OP PIK na rámcový program pro výzkum a inovace Horizon 2020 (zejména na priority 1 a 2) lze spatřovat zejména v prioritní ose 1 a 2, kde se předpokládá realizace aktivit směřujících k ochraně práv z duševního vlastnictví, zvyšování informovanosti podniků o opatřeních a projektech na podporu ochrany průmyslového vlastnictví, podpora zavádění inovací výrobků a služeb a jejich uvedení na trh, rozvoj služeb podpůrné infrastruktury a realizace podnikatelských záměrů nových a rozvinutých MSP. OP PIK vytváří materiální i personální podmínky pro zapojení českých subjektů do programu Horizon 2020, zvyšuje úspěšnost českých subjektů i týmů, neboť účast v národních programech zlepšuje jejich odbornou i organizační úroveň. Dílčí vazba je rovněž v oblasti energeticky účinného a nízkouhlíkového hospodářství v rámci prioritní osy 3 OP PIK ve vztahu k prioritě 3 Horizon 2020 Společenské výzvy. OP PIK rovněž zajišťuje kvalitní poradenské služby a informace pro potenciální účastníky Horizon 2020.</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Z hlediska mechanismů a struktur pro koordinaci je předpokládáno zapojení vybraných českých delegátů programových výborů Horizon 2020 v monitorovacím výboru OP VVV a OP PIK tak, aby mohla být zajištěna těsná koordinace a přenos informací mezi oběma podpůrnými nástroji. Otázky koordinace struktur a aktivit určených na podporu účasti žadatelů a příjemců budou řešeny v závislosti na tom, jak se vyvinou jednání ohledně organizačního a finančního zajištění podpůrné sítě Horizon 2020 prostřednictvím Národního kontaktního bodu (tzv. NCP).</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Prioritou programu relevantní ve vztahu k OP Praha Pól růstu je především „Vedoucí postavení v průmyslu“ zaměřené mj. na podporu MSP. Využití programu ze strany subjektů se sídlem na území hl. m. Prahy je nutné vnímat jako významnou komplementaritu k podpoře z prioritní osy 1 OP Praha. Další relevantní prioritou je priorita „Společenské výzvy“ zaměřená na některé oblasti (doprava, energetika, demografické změny) významné pro městské prostředí Prahy.</w:t>
      </w:r>
    </w:p>
    <w:p w:rsidR="00B221B5" w:rsidRPr="000B521F" w:rsidRDefault="00B221B5" w:rsidP="0059011D">
      <w:pPr>
        <w:spacing w:after="120" w:line="240" w:lineRule="auto"/>
        <w:jc w:val="both"/>
        <w:rPr>
          <w:rFonts w:ascii="Times New Roman" w:hAnsi="Times New Roman" w:cs="Times New Roman"/>
          <w:sz w:val="24"/>
          <w:szCs w:val="24"/>
        </w:rPr>
      </w:pPr>
    </w:p>
    <w:p w:rsidR="00B221B5" w:rsidRPr="000B521F" w:rsidRDefault="00B221B5" w:rsidP="0059011D">
      <w:pPr>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lastRenderedPageBreak/>
        <w:t>LIFE+ (Program pro životní prostředí a ochranu klimatu)</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Doplňkovost vůči programu Life+ je identifikována v rámci tematických cílů 4, 5 a 6 (OP ŽP, IROP, PRV, OP PPR)</w:t>
      </w:r>
      <w:r w:rsidR="00323BAE">
        <w:rPr>
          <w:rFonts w:ascii="Times New Roman" w:hAnsi="Times New Roman" w:cs="Times New Roman"/>
          <w:sz w:val="24"/>
          <w:szCs w:val="24"/>
        </w:rPr>
        <w:t>.</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Vzhledem k tomu, že oba programy jsou koordinovány Ministerstvem životního prostředí (v rámci jedné sekce resortu), předpokládá se, že bude koordinace zajištěna v rámci organizační a administrativní struktury MŽP. Koordinace bude probíhat z hlediska slaďování harmonogramu výzev obou programů a identifikace konkrétních tematických průniků a komplementarit s cílem poskytovat informace a poradenství žadatelům ohledně možností komplementárního využití obou programů při implementaci akčních rámců pro NATURA 2000 dle strategie Unie v oblasti biologické rozmanitosti do roku 2020, se zvláštním důrazem na účinné řízení a upevňování sítě Natura 2000 zřízené směrnicí 92/43/EHS, dále i povodňových plánů dle Vodní rámcové směrnice a dalších relevantních právních předpisů, odpadových plánů dle rámcové směrnice o odpadech č. 2008/98, plánů a programů kvality ovzduší dle Směrnice EP a Rady 2008/50/ES a implementace mitigačních a adaptačních strategií v oblasti změny klimatu. Za tímto účelem budou nastaveny interní mechanismy koordinace a vzájemné spolupráce.</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Přesné postupy pro předkládání a hodnocení integrovaných projektů jsou součástí nastavení víceletého programového pracovního období programu LIFE, který je připravován Evropskou komisí ve spolupráci s členskými státy. Na základě schválení tohoto dokumentu jsou dopracovány jednotlivé postupy i na národní úrovni.</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Vazba mezi programem LIFE+ a IROP je volná, přičemž LIFE se zaměřuje na rozvoj institucionální základny, vzdělávání a sdílení informací v oblasti změny klimatu a ochrany životního prostředí a IROP podporuje řešení a řízení rizik s ohledem na změny klimatu a snižování energetické náročnosti v sektoru bydlení věnuje přímo investičním aktivitám.</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Jedním z obecných cílů programu LIFE je přispívat k přechodu k nízkouhlíkovému hospodářství odolnému vůči změnám klimatu a účinně využívajícímu zdroje, k ochraně a zlepšování kvality životního prostředí. Podobně tematický cíl 4 OP PPR je zaměřen na podporu přechodu na nízkouhlíkové hospodářství ve všech odvětvích. Vzájemná doplňkovost programu LIFE (hlavně prioritní oblasti Zmírňování změny klimatu) s OP PPR se týká především PO 2 Udržitelná mobilita a energetické úspory, specifického cíle 2.1 „Energetické úspory v městských objektech dosažené také s využitím vhodných obnovitelných zdrojů energie, energeticky efektivních zařízení a inteligentních systémů řízení“. Jedná se zejména o aktivity, které přispívají k demonstraci inovativních systémů ke snižování emisí skleníkových plynů vhodných k tomu, aby byly napodobovány, přenášeny nebo začleňovány. V OP PPR to jsou např. pilotní projekty přeměny energeticky náročných veřejných budov (ve vlastnictví hl m. Prahy) na budovy s téměř nulovou spotřebou energie (příp. na budovy v pasivním energetickém standardu) s integrovanými inteligentními systémy. Prioritní osa 2 OP PPR je zaměřena pouze na veřejné objekty a zařízení ve vlastnictví hl. m. Prahy nebo jeho organizací umístěných na území hl. m. Prahy. Program LIFE se v programovém období 2014</w:t>
      </w:r>
      <w:r w:rsidR="00831CC0">
        <w:rPr>
          <w:rFonts w:ascii="Times New Roman" w:hAnsi="Times New Roman" w:cs="Times New Roman"/>
          <w:color w:val="000000"/>
          <w:sz w:val="24"/>
          <w:szCs w:val="24"/>
        </w:rPr>
        <w:t>–</w:t>
      </w:r>
      <w:r w:rsidRPr="000B521F">
        <w:rPr>
          <w:rFonts w:ascii="Times New Roman" w:hAnsi="Times New Roman" w:cs="Times New Roman"/>
          <w:sz w:val="24"/>
          <w:szCs w:val="24"/>
        </w:rPr>
        <w:t>2020 více zaměří na inovace orientované na veřejný sektor a na hledání řešení, která lze nejčastěji nejlépe realizovat v rámci partnerství veřejného a soukromého sektoru. Cílovým územím je celá ČR. Program LIFE je doplňkovým finančním nástrojem a platí pro něj, že projekty, které jsou financovatelné z některého z programů členské země, nemohou být financovány z programu LIFE. Žádosti se předkládají na národní kontaktní místo, kterým je MŽP, jsou však posuzovány na evropské úrovni, kde probíhá také výběr projektů.</w:t>
      </w:r>
    </w:p>
    <w:p w:rsidR="00B221B5" w:rsidRPr="000B521F" w:rsidRDefault="00B221B5" w:rsidP="0059011D">
      <w:pPr>
        <w:spacing w:after="120" w:line="240" w:lineRule="auto"/>
        <w:jc w:val="both"/>
        <w:rPr>
          <w:rFonts w:ascii="Times New Roman" w:hAnsi="Times New Roman" w:cs="Times New Roman"/>
          <w:sz w:val="24"/>
          <w:szCs w:val="24"/>
        </w:rPr>
      </w:pPr>
    </w:p>
    <w:p w:rsidR="00B221B5" w:rsidRPr="000B521F" w:rsidRDefault="00B221B5" w:rsidP="0059011D">
      <w:pPr>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lastRenderedPageBreak/>
        <w:t>COSME (Program pro konkurenceschopnost podniků s důrazem na malé a střední podniky)</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Doplňkovost vůči programu COSME je identifikována v rámci tematických cílů 1 a 3 (OP PIK, OP PPR).</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Pokud jde o Program pro konkurenceschopnost podniků s důrazem na malé a střední podniky 2014</w:t>
      </w:r>
      <w:r w:rsidR="00831CC0">
        <w:rPr>
          <w:rFonts w:ascii="Times New Roman" w:hAnsi="Times New Roman" w:cs="Times New Roman"/>
          <w:color w:val="000000"/>
          <w:sz w:val="24"/>
          <w:szCs w:val="24"/>
        </w:rPr>
        <w:t>–</w:t>
      </w:r>
      <w:r w:rsidRPr="000B521F">
        <w:rPr>
          <w:rFonts w:ascii="Times New Roman" w:hAnsi="Times New Roman" w:cs="Times New Roman"/>
          <w:sz w:val="24"/>
          <w:szCs w:val="24"/>
        </w:rPr>
        <w:t>2020 (COSME), zde lze vysledovat rovněž vazbu na prioritní osy 1 a 2 OP PIK. Z hlediska detailní vazby uvnitř prioritních os, doplňkovost OP PIK na COSME lze spatřovat v intervencích k zlepšení přístupu firem na trhy Unie a celosvětově a zlepšení přístupu k financím pro malé a střední podniky ve formě vlastního kapitálu a dluhů. Z hlediska podporovaných aktivit v rámci OP PIK, které mají vazbu na výše uvedené intervence COSME, jde především o realizaci podnikatelských záměrů nových a rozvinutých MSP, rozvoj internalizace MSP a rovněž podporu MSP v oblasti ochrany duševního vlastnictví.</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Program COSME je zaměřen mj. na stimulaci podnikání a zlepšení přístupu podniků k financím. V tomto smyslu jsou podpůrné aktivity prioritní ose 1 OP Praha koncipovány s vědomím doplňkovosti vůči programu COSME.</w:t>
      </w:r>
    </w:p>
    <w:p w:rsidR="00B221B5" w:rsidRPr="000B521F" w:rsidRDefault="00B221B5" w:rsidP="0059011D">
      <w:pPr>
        <w:spacing w:after="120" w:line="240" w:lineRule="auto"/>
        <w:jc w:val="both"/>
        <w:rPr>
          <w:rFonts w:ascii="Times New Roman" w:hAnsi="Times New Roman" w:cs="Times New Roman"/>
          <w:sz w:val="24"/>
          <w:szCs w:val="24"/>
        </w:rPr>
      </w:pPr>
    </w:p>
    <w:p w:rsidR="00B221B5" w:rsidRPr="000B521F" w:rsidRDefault="00B221B5" w:rsidP="0059011D">
      <w:pPr>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CEF (Nástroje pro propojení Evropy)</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Doplňkovost vůči programu CEF je identifikována v rámci tematických cílů 4 a 7 (OP PIK, OP D, IROP).</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V rámci CEF je podpora zacílena na intervence do významných přeshraničních spojení na síti TEN-T v oblasti výstavby a modernizace železničních tratí – jde o vzájemnou doplňkovost s OP Doprava. Pro oblast silniční infrastruktury sítě TEN-T i mimo síť TEN-T je v rámci OP Doprava předpokládána podpora investic do sítí celostátního významu. Všechny investice do dopravní infrastruktury celostátního významu má v gesci Ministerstvo dopravy a to bez ohledu na to, z jakého zdroje budou financovány. Hlavním mechanismem koordinace bude dodržování plánu výstavby stanoveného v rámci dokumentu Dopravních sektorových strategií 2014</w:t>
      </w:r>
      <w:r w:rsidR="00831CC0">
        <w:rPr>
          <w:rFonts w:ascii="Times New Roman" w:hAnsi="Times New Roman" w:cs="Times New Roman"/>
          <w:color w:val="000000"/>
          <w:sz w:val="24"/>
          <w:szCs w:val="24"/>
        </w:rPr>
        <w:t>–</w:t>
      </w:r>
      <w:r w:rsidRPr="000B521F">
        <w:rPr>
          <w:rFonts w:ascii="Times New Roman" w:hAnsi="Times New Roman" w:cs="Times New Roman"/>
          <w:sz w:val="24"/>
          <w:szCs w:val="24"/>
        </w:rPr>
        <w:t>2020 (2. fáze). Schvalování všech projektů bude probíhat na Ministerstvu dopravy (v rámci Centrální komise), které bude za koordinaci odpovědné.</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Pokud bude umožněna podpora na modernizace a rozvoj přenosových sítí (vysoké napětí) z EFRR nebo FS, bude tato podpora využita na doplnění finančních prostředků z CEFu. Zde je však dále nutné zdůraznit, že z CEFu lze žádat jen na projekty, které byly zařazeny na seznam Projektů společného zájmu (PCI). V případě ČR se jedná o několik dílčích projektů (vedení a rozvodny), které v konečném důsledku tvoří jedno dlouhé vedení velmi vysokého napětí. Potřeby samotné ČR jsou vzhledem k přenosové soustavě daleko širší. Vazba CEFu na ERDF a CF je tedy nejen komplementární, tj. možnost podpory i těch projektů, které jsou v zájmu bezpečnosti dodávek pouze pro ČR bez významných evropských dopadů, ale i substituční, a sice možnost finanční podpory projektů, které sice na seznamu PCI jsou, ale na čerpání z nástroje CEF se nemusí dostat. </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Projekty financované z IROP budou navazovat na páteřní projekty ICT financované z CEF na úrovni EU. Jedná se především o aktivity na podporu propojení a interoperability vnitrostátních veřejných elektronických služeb i přístup k těmto sítím, jakož i ochrana občanů a kritické infrastruktury před kybernetickými útoky a obdobnými událostmi. Mezi programy existuje tedy doplňkovost a vzájemná koordinace vychází především ze společné strategie rozvoje eGovernment v ČR. Druhým aspektem z hlediska vzájemné koordinace je role Hlavního architekta eGovernmentu v rámci ministerstva vnitra, který se vyjadřuje ke všem projektům ICT v oblasti eGovernmentu.</w:t>
      </w:r>
      <w:r w:rsidRPr="000B521F" w:rsidDel="00973D5A">
        <w:rPr>
          <w:rFonts w:ascii="Times New Roman" w:hAnsi="Times New Roman" w:cs="Times New Roman"/>
          <w:sz w:val="24"/>
          <w:szCs w:val="24"/>
        </w:rPr>
        <w:t xml:space="preserve"> </w:t>
      </w:r>
    </w:p>
    <w:p w:rsidR="00B221B5" w:rsidRPr="000B521F" w:rsidRDefault="00B221B5" w:rsidP="0059011D">
      <w:pPr>
        <w:spacing w:after="120" w:line="240" w:lineRule="auto"/>
        <w:jc w:val="both"/>
        <w:rPr>
          <w:rFonts w:ascii="Times New Roman" w:hAnsi="Times New Roman" w:cs="Times New Roman"/>
          <w:sz w:val="24"/>
          <w:szCs w:val="24"/>
        </w:rPr>
      </w:pPr>
    </w:p>
    <w:p w:rsidR="00B221B5" w:rsidRPr="000B521F" w:rsidRDefault="00B221B5" w:rsidP="0059011D">
      <w:pPr>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Erasmus pro všechny</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Doplňkovost vůči programu Erasmus pro všechny je identifikována v rámci tematického cíle 10 (OP VVV).</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Vzájemná doplňkovost s OP VVV se týká zejména PO 2 Rozvoj vysokých škol a lidských zdrojů pro výzkum a vývoj</w:t>
      </w:r>
      <w:r w:rsidR="005D4EEF" w:rsidRPr="000B521F">
        <w:rPr>
          <w:rFonts w:ascii="Times New Roman" w:hAnsi="Times New Roman" w:cs="Times New Roman"/>
          <w:sz w:val="24"/>
          <w:szCs w:val="24"/>
        </w:rPr>
        <w:t xml:space="preserve"> a PO 3 Rovný přístup ke kvalitnímu předškolnímu, primárnímu a sekundárnímu vzdělávání</w:t>
      </w:r>
      <w:r w:rsidRPr="000B521F">
        <w:rPr>
          <w:rFonts w:ascii="Times New Roman" w:hAnsi="Times New Roman" w:cs="Times New Roman"/>
          <w:sz w:val="24"/>
          <w:szCs w:val="24"/>
        </w:rPr>
        <w:t xml:space="preserve"> Jde zejména o aktivity směřující ke studijní mobilitě a mobilitě pracovníků škol, podpoře podnikavosti, podpoře zvyšování rovnosti ve vzdělání, posilování inovativních partnerství mezi vzdělávacími institucemi a podnikatelským sektorem, vytváření provázanosti mezi pracovním trhem a vzděláváním, aktivity pro zvýšení efektivity vzdělávání, aktivity na podporu reformy, která cílí na dosažení cílů strategie Evropa 2020. Konkrétně se jedná o studijní mobilitu jedinců, mobilitní aktivity v rámci Joint Master Degrees, strategická partnerství, partnerství mezi vzdělávacími institucemi a tzv. světem práce.</w:t>
      </w:r>
    </w:p>
    <w:p w:rsidR="00B221B5" w:rsidRPr="000B521F" w:rsidRDefault="00B221B5" w:rsidP="0059011D">
      <w:pPr>
        <w:spacing w:after="120" w:line="240" w:lineRule="auto"/>
        <w:jc w:val="both"/>
        <w:rPr>
          <w:rFonts w:ascii="Times New Roman" w:hAnsi="Times New Roman" w:cs="Times New Roman"/>
          <w:sz w:val="24"/>
          <w:szCs w:val="24"/>
        </w:rPr>
      </w:pPr>
    </w:p>
    <w:p w:rsidR="00B221B5" w:rsidRPr="000B521F" w:rsidRDefault="00B221B5" w:rsidP="0059011D">
      <w:pPr>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YEI (Iniciativa na podporu zaměstnanosti mládeže)</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Doplňkovost vůči programu je identifikována v rámci tematického cíle 8 (OP Z).</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Iniciativa na podporu zaměstnanosti mládeže je v souladu s čl. 15 iii nařízení o ESF integrována do programování ESF. Prostředky, které ČR obdrží v rámci Iniciativy na podporu zaměstnanosti mládeže, proto budou zahrnuty do OP Zaměstnanost, konkrétně do investiční priority 1.5, která je speciálně vyčleněna na implementaci YEI v ČR. Současně existuje silná vazba intervencí YEI na zbývající investiční priority v prioritní ose 1 OP Z Podpora zaměstnanosti a adaptability pracovní síly, zejména pak na investiční prioritu 1.1. Tím, že Iniciativa na podporu zaměstnanosti mládeže je realizována v rámci OP Zaměstnanost při zapojení stejných subjektů, které implementují obdobné intervence ESF, je plně zabezpečeno využití doplňkovosti s intervencemi ESF na podporu zaměstnanosti mladých osob v regionech ČR nezpůsobilých pro podporu z YEI (všechny kromě NUTS II Severozápad), nebo využití doplňkovosti s intervencemi ESF na podporu zaměstnanosti jiných než mladých osob v regionu NUTS II Severozápad.</w:t>
      </w:r>
    </w:p>
    <w:p w:rsidR="00B221B5" w:rsidRPr="000B521F" w:rsidRDefault="00B221B5" w:rsidP="0059011D">
      <w:pPr>
        <w:spacing w:after="120" w:line="240" w:lineRule="auto"/>
        <w:jc w:val="both"/>
        <w:rPr>
          <w:rFonts w:ascii="Times New Roman" w:hAnsi="Times New Roman" w:cs="Times New Roman"/>
          <w:sz w:val="24"/>
          <w:szCs w:val="24"/>
        </w:rPr>
      </w:pPr>
    </w:p>
    <w:p w:rsidR="00B221B5" w:rsidRPr="000B521F" w:rsidRDefault="00806900" w:rsidP="0059011D">
      <w:pPr>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EaSI</w:t>
      </w:r>
      <w:r w:rsidR="00B221B5" w:rsidRPr="000B521F">
        <w:rPr>
          <w:rFonts w:ascii="Times New Roman" w:hAnsi="Times New Roman" w:cs="Times New Roman"/>
          <w:b/>
          <w:sz w:val="24"/>
          <w:szCs w:val="24"/>
        </w:rPr>
        <w:t xml:space="preserve"> (Program Evropské unie pro sociální změny a inovace)</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Doplňkovost vůči programu je identifikována v rámci tematických cílů 3, 8, 9 a 11 (OP Z, OP PIK, IROP) a TC 2 (OP PIK).</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Program pro sociální změnu a inovace je přímo řízen Evropskou komisí a skládá se ze tří os: program PROGRESS, síť EURES a mikrofinancování. Výzvy na předkládání projektů do jednotlivých os vyhlašuje přímo EK a členské státy dle svých potřeb předkládají projekty v rámci vyhlášených témat. Subjektem zodpovědným za realizaci </w:t>
      </w:r>
      <w:r w:rsidR="00806900" w:rsidRPr="000B521F">
        <w:rPr>
          <w:rFonts w:ascii="Times New Roman" w:hAnsi="Times New Roman" w:cs="Times New Roman"/>
          <w:sz w:val="24"/>
          <w:szCs w:val="24"/>
        </w:rPr>
        <w:t>EaSI</w:t>
      </w:r>
      <w:r w:rsidRPr="000B521F">
        <w:rPr>
          <w:rFonts w:ascii="Times New Roman" w:hAnsi="Times New Roman" w:cs="Times New Roman"/>
          <w:sz w:val="24"/>
          <w:szCs w:val="24"/>
        </w:rPr>
        <w:t xml:space="preserve"> v ČR je MPSV. Za účelem plného využití doplňkovosti intervencí </w:t>
      </w:r>
      <w:r w:rsidR="00806900" w:rsidRPr="000B521F">
        <w:rPr>
          <w:rFonts w:ascii="Times New Roman" w:hAnsi="Times New Roman" w:cs="Times New Roman"/>
          <w:sz w:val="24"/>
          <w:szCs w:val="24"/>
        </w:rPr>
        <w:t>EaSI</w:t>
      </w:r>
      <w:r w:rsidRPr="000B521F">
        <w:rPr>
          <w:rFonts w:ascii="Times New Roman" w:hAnsi="Times New Roman" w:cs="Times New Roman"/>
          <w:sz w:val="24"/>
          <w:szCs w:val="24"/>
        </w:rPr>
        <w:t xml:space="preserve"> a ESF (OP Z) je dbáno na to, aby zástupci MPSV zodpovědní za realizaci </w:t>
      </w:r>
      <w:r w:rsidR="00806900" w:rsidRPr="000B521F">
        <w:rPr>
          <w:rFonts w:ascii="Times New Roman" w:hAnsi="Times New Roman" w:cs="Times New Roman"/>
          <w:sz w:val="24"/>
          <w:szCs w:val="24"/>
        </w:rPr>
        <w:t>EaSI</w:t>
      </w:r>
      <w:r w:rsidRPr="000B521F">
        <w:rPr>
          <w:rFonts w:ascii="Times New Roman" w:hAnsi="Times New Roman" w:cs="Times New Roman"/>
          <w:sz w:val="24"/>
          <w:szCs w:val="24"/>
        </w:rPr>
        <w:t xml:space="preserve"> v ČR byli zastoupeni v pracovních skupinách připravujících výzvy v rámci OP Z, a to v těch oblastech, které mají potenciálně obdobné zaměření (tvorba politik, sociální inovace, služby zaměstnanosti a sociální ekonomika). Účelem je soustředit prostředky ESF na podporu těch oblastí a témat, která nebudou podporována z </w:t>
      </w:r>
      <w:r w:rsidR="00806900" w:rsidRPr="000B521F">
        <w:rPr>
          <w:rFonts w:ascii="Times New Roman" w:hAnsi="Times New Roman" w:cs="Times New Roman"/>
          <w:sz w:val="24"/>
          <w:szCs w:val="24"/>
        </w:rPr>
        <w:t>EaSI</w:t>
      </w:r>
      <w:r w:rsidRPr="000B521F">
        <w:rPr>
          <w:rFonts w:ascii="Times New Roman" w:hAnsi="Times New Roman" w:cs="Times New Roman"/>
          <w:sz w:val="24"/>
          <w:szCs w:val="24"/>
        </w:rPr>
        <w:t xml:space="preserve">. Program PROGRESS má přispět k vypracování, provádění, sledování a hodnocení politiky v oblasti zaměstnanosti, sociálních podmínek, sociální ochrany a začleňování a právních předpisů v těchto oblastech a podporovat tvorbu politik a provádění </w:t>
      </w:r>
      <w:r w:rsidRPr="000B521F">
        <w:rPr>
          <w:rFonts w:ascii="Times New Roman" w:hAnsi="Times New Roman" w:cs="Times New Roman"/>
          <w:sz w:val="24"/>
          <w:szCs w:val="24"/>
        </w:rPr>
        <w:lastRenderedPageBreak/>
        <w:t xml:space="preserve">inovací podložených fakty ve spolupráci se sociálními partnery, organizacemi občanské společnosti a dalšími zúčastněnými stranami. Program PROGRESS má tedy potenciál přispět ke zvýšení efektivity intervencí OP Zaměstnanost, a to v úzké součinnosti s prioritní osou 3 OP Z Sociální inovace a mezinárodní spolupráce. Vazba na síť EURES, jejímž účelem je rozvoj výměny a šíření informací a dalších forem spolupráce na podporu geografické mobility pracovníků, je významná v prioritní ose 1 OP Z, konkrétně v rámci investiční priority, ve které je zahrnuta mj. aktivita na rozvoj sítě EURES. Důvodem je záměr zahrnout výdaje na síť EURES, které nebudou způsobilé pro financování v rámci </w:t>
      </w:r>
      <w:r w:rsidR="00806900" w:rsidRPr="000B521F">
        <w:rPr>
          <w:rFonts w:ascii="Times New Roman" w:hAnsi="Times New Roman" w:cs="Times New Roman"/>
          <w:sz w:val="24"/>
          <w:szCs w:val="24"/>
        </w:rPr>
        <w:t>EaSI</w:t>
      </w:r>
      <w:r w:rsidRPr="000B521F">
        <w:rPr>
          <w:rFonts w:ascii="Times New Roman" w:hAnsi="Times New Roman" w:cs="Times New Roman"/>
          <w:sz w:val="24"/>
          <w:szCs w:val="24"/>
        </w:rPr>
        <w:t>, do relevantních investičních priorit OP Z. Osa týkající se mikrofinancování, která usnadňuje přístup k finančním prostředkům pro podnikatele, zejména ty, kteří jsou nejvíce vzdáleni od trhu práce, a pro sociální podniky, má nejsilnější vazbu na prioritní osu 2 OP Z Sociální začleňování a boj s chudobou, konkrétně investiční prioritu, která obsahuje rovněž oblast podpory sociálního podnikání. Je zajištěno, že subjekty, které obdrží podporu z osy na mikrofinancování, mají přístup rovněž k podpoře z ESF poskytované formou vzdělávání a poradenství tak, aby se zvýšila pravděpodobnost úspěchu takto podporovaných subjektů.</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Komponenta evropského nástroje mikrofinancování Progress je komplementární i k programu IROP zaměřeného na rozvoj sociálního podnikání. S ohledem na rozdílné formy realizace, kdy IROP má tento cíl nastaven jako dotační, Progress jako úvěrový, se nejedná o duplicitu mezi programy. Vzájemná koordinace a východiska jsou dána strategií pro sociální podnikání, jejíž gestorem je MPSV.</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Vazbu na síť EURES lze spatřovat rovněž v oblasti zvyšování přístupu k mikrofinancování, kdy OP PIK bude podporovat realizaci podnikatelských záměrů začínajících a rozvojových firem, včetně mikropodniků.</w:t>
      </w:r>
    </w:p>
    <w:p w:rsidR="00B221B5" w:rsidRPr="000B521F" w:rsidRDefault="00B221B5" w:rsidP="0059011D">
      <w:pPr>
        <w:spacing w:after="120" w:line="240" w:lineRule="auto"/>
        <w:jc w:val="both"/>
        <w:rPr>
          <w:rFonts w:ascii="Times New Roman" w:hAnsi="Times New Roman" w:cs="Times New Roman"/>
          <w:sz w:val="24"/>
          <w:szCs w:val="24"/>
        </w:rPr>
      </w:pPr>
    </w:p>
    <w:p w:rsidR="00B221B5" w:rsidRPr="000B521F" w:rsidRDefault="00B221B5" w:rsidP="0059011D">
      <w:pPr>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FEAMD (Fond evropské pomoci nejvíce deprivovaným osobám)</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Doplňkovost vůči programu je identifikována v rámci tematických cílů 9 (OP Z).</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Pro využití Fondu evropské pomoci nejvíce deprivovaným osobám je ze strany MPSV připraven samostatný operační program. Vzhledem k celkové alokaci FEAMD pro ČR (20,7 mil. EUR na programové období 2014</w:t>
      </w:r>
      <w:r w:rsidR="00831CC0">
        <w:rPr>
          <w:rFonts w:ascii="Times New Roman" w:hAnsi="Times New Roman" w:cs="Times New Roman"/>
          <w:color w:val="000000"/>
          <w:sz w:val="24"/>
          <w:szCs w:val="24"/>
        </w:rPr>
        <w:t>–</w:t>
      </w:r>
      <w:r w:rsidRPr="000B521F">
        <w:rPr>
          <w:rFonts w:ascii="Times New Roman" w:hAnsi="Times New Roman" w:cs="Times New Roman"/>
          <w:sz w:val="24"/>
          <w:szCs w:val="24"/>
        </w:rPr>
        <w:t xml:space="preserve">2020) jsou z tohoto operačního programu financovány pouze aktivity zaměřené na poskytování potravin a základních potřeb pro nejvíce deprivované osoby, které nejsou financovatelné z ESF. Doprovodná opatření (aktivity směřující k sociálnímu začleňování) pro nejvíce deprivované osoby </w:t>
      </w:r>
      <w:r w:rsidR="00B61B47" w:rsidRPr="000B521F">
        <w:rPr>
          <w:rFonts w:ascii="Times New Roman" w:hAnsi="Times New Roman" w:cs="Times New Roman"/>
          <w:sz w:val="24"/>
          <w:szCs w:val="24"/>
        </w:rPr>
        <w:t>mohou být</w:t>
      </w:r>
      <w:r w:rsidRPr="000B521F">
        <w:rPr>
          <w:rFonts w:ascii="Times New Roman" w:hAnsi="Times New Roman" w:cs="Times New Roman"/>
          <w:sz w:val="24"/>
          <w:szCs w:val="24"/>
        </w:rPr>
        <w:t xml:space="preserve"> financován</w:t>
      </w:r>
      <w:r w:rsidR="00B61B47" w:rsidRPr="000B521F">
        <w:rPr>
          <w:rFonts w:ascii="Times New Roman" w:hAnsi="Times New Roman" w:cs="Times New Roman"/>
          <w:sz w:val="24"/>
          <w:szCs w:val="24"/>
        </w:rPr>
        <w:t>a</w:t>
      </w:r>
      <w:r w:rsidRPr="000B521F">
        <w:rPr>
          <w:rFonts w:ascii="Times New Roman" w:hAnsi="Times New Roman" w:cs="Times New Roman"/>
          <w:sz w:val="24"/>
          <w:szCs w:val="24"/>
        </w:rPr>
        <w:t xml:space="preserve"> z ESF z OP Zaměstnanost, konkrétně v rámci prioritní osy 2 Sociální začleňování a boj s chudobou. Koordinace aktivit z obou operačních programů je zajištěna úzkou spoluprací obou řídicích orgánů a zastoupením v příslušných monitorovacích výborech. Koordinace je usnadněna tím, že oba řídicí orgány jak pro OP Z tak pro FEAMD jsou součástí jedné sekce MPSV.</w:t>
      </w:r>
    </w:p>
    <w:p w:rsidR="00B221B5" w:rsidRPr="000B521F" w:rsidRDefault="00B221B5" w:rsidP="0059011D">
      <w:pPr>
        <w:spacing w:after="120" w:line="240" w:lineRule="auto"/>
        <w:jc w:val="both"/>
        <w:rPr>
          <w:rFonts w:ascii="Times New Roman" w:hAnsi="Times New Roman" w:cs="Times New Roman"/>
          <w:sz w:val="24"/>
          <w:szCs w:val="24"/>
        </w:rPr>
      </w:pPr>
    </w:p>
    <w:p w:rsidR="00B221B5" w:rsidRPr="000B521F" w:rsidRDefault="00B221B5" w:rsidP="0059011D">
      <w:pPr>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AMF (Azylový a migrační fond)</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Doplňkovost vůči programu je identifikována v rámci tematického cíle 9 (OP Z, OP PPR).</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Obecným cílem Azylového a migračního fondu je přispívat k účinnému řízení migračních toků v rámci Unie jakožto součásti prostoru svobody, bezpečnosti a práva v souladu se společnou azylovou politikou, politikou týkající se doplňkové a dočasné ochrany a společnou přistěhovaleckou politikou. Na tento účel získá ČR na období 2014</w:t>
      </w:r>
      <w:r w:rsidR="00831CC0">
        <w:rPr>
          <w:rFonts w:ascii="Times New Roman" w:hAnsi="Times New Roman" w:cs="Times New Roman"/>
          <w:color w:val="000000"/>
          <w:sz w:val="24"/>
          <w:szCs w:val="24"/>
        </w:rPr>
        <w:t>–</w:t>
      </w:r>
      <w:r w:rsidRPr="000B521F">
        <w:rPr>
          <w:rFonts w:ascii="Times New Roman" w:hAnsi="Times New Roman" w:cs="Times New Roman"/>
          <w:sz w:val="24"/>
          <w:szCs w:val="24"/>
        </w:rPr>
        <w:t xml:space="preserve">2020 cca 26,4 mil. EUR. Subjektem zodpovědným za realizaci Azylového a migračního fondu v ČR je Ministerstvo vnitra. Vazbu Azylového a migračního fondu a OP Z lze spatřovat především v prioritní ose 2 OPZ Sociální začleňování a boj s chudobou, jejíž cílovou skupinu představují mj. také </w:t>
      </w:r>
      <w:r w:rsidRPr="000B521F">
        <w:rPr>
          <w:rFonts w:ascii="Times New Roman" w:hAnsi="Times New Roman" w:cs="Times New Roman"/>
          <w:sz w:val="24"/>
          <w:szCs w:val="24"/>
        </w:rPr>
        <w:lastRenderedPageBreak/>
        <w:t>migranti. Za účelem plného využití doplňkovosti intervencí Azylového a migračního fondu a ESF (OPZ) je dbáno na to, aby zástupci MV ČR zodpovědní za realizaci Azylového a migračního fondu byli zastoupeni v pracovních skupinách připravujících výzvy v rámci prioritní osy 2 OPZ, a to v těch oblastech, které mají potenciálně obdobné zaměření. Účelem je soustředit prostředky ESF na podporu těch aktivit a cílových skupin, které nejsou podporovány z Azylového a migračního fondu.</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V souvislosti s OP Praha – pól růstu lze vazbu pozorovat v prioritní ose 3 Podpora sociálního začleňování a boj proti chudobě (tematický cíl 9), v jejíž tematické rovině je kladen důraz na rozvoj sociálních služeb pro začleňování a zvyšování sociální soudržnosti a na podporu sociálního podnikání jako sociálně inovativního přístupu k zaměstnávání obtížně zaměstnatelných osob, lidí dlouhodobě nezaměstnaných a skupin osob vyloučených, ohrožených a marginalizovaných, tedy i migrantů, respektive cizinců. Účelem je soustředit prostředky ESF a EFRR na podporu těch aktivit a cílových skupin, které nejsou podporovány z Azylového a migračního fondu.</w:t>
      </w:r>
    </w:p>
    <w:p w:rsidR="00B221B5" w:rsidRPr="000B521F" w:rsidRDefault="00B221B5" w:rsidP="0059011D">
      <w:pPr>
        <w:spacing w:after="120" w:line="240" w:lineRule="auto"/>
        <w:jc w:val="both"/>
        <w:rPr>
          <w:rFonts w:ascii="Times New Roman" w:hAnsi="Times New Roman" w:cs="Times New Roman"/>
          <w:sz w:val="24"/>
          <w:szCs w:val="24"/>
        </w:rPr>
      </w:pPr>
    </w:p>
    <w:p w:rsidR="00B221B5" w:rsidRPr="000B521F" w:rsidRDefault="00B221B5" w:rsidP="0059011D">
      <w:pPr>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ISF (Fond pro vnitřní bezpečnost)</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Doplňkovost vůči programu je identifikována v rámci tematického cíle 11 (OP Z).</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Fond pro vnitřní bezpečnost poskytuje finanční pomoc na policejní spolupráci, předcházení trestné činnosti a boj proti závažné přeshraniční trestné činnosti a organizované trestné činnosti a rovněž na krizové řízeni a ochranu důležité infrastruktury EU. Přispěje k tomu posílením operativní spolupráce v oblasti vymáhání práva, a to například tím, že bude finančně podporovat společné operace orgánů činných v trestním řízení, sdružování zdrojů, výměnu informaci a osvědčených postupů nebo odbornou přípravu policistů. Vzhledem zaměření fondu je jeho vazba na programy ESIF velmi slabá. Spatřovat ji lze okrajově v prioritní ose 4 OP Z Efektivní veřejná správa, a to konkrétně v projektech, které budou zacíleny na Policii ČR. V tom případě je koordinace aktivit zajištěna prostřednictvím zapojení pracovníků MV ČR, které je jednak věcným garantem prioritní osy 4 OP Z Efektivní veřejná správa, ale rovněž subjektem zodpovědným za realizaci Fondu pro vnitřní bezpečnost v ČR.</w:t>
      </w:r>
    </w:p>
    <w:p w:rsidR="00B221B5" w:rsidRPr="000B521F" w:rsidRDefault="00B221B5" w:rsidP="0059011D">
      <w:pPr>
        <w:spacing w:after="120" w:line="240" w:lineRule="auto"/>
        <w:jc w:val="both"/>
        <w:rPr>
          <w:rFonts w:ascii="Times New Roman" w:hAnsi="Times New Roman" w:cs="Times New Roman"/>
          <w:sz w:val="24"/>
          <w:szCs w:val="24"/>
        </w:rPr>
      </w:pPr>
    </w:p>
    <w:p w:rsidR="00B221B5" w:rsidRPr="000B521F" w:rsidRDefault="00B221B5" w:rsidP="0059011D">
      <w:pPr>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 xml:space="preserve">Identifikace komplementarit a synergií mezi </w:t>
      </w:r>
      <w:r w:rsidR="00041452">
        <w:rPr>
          <w:rFonts w:ascii="Times New Roman" w:hAnsi="Times New Roman" w:cs="Times New Roman"/>
          <w:b/>
          <w:sz w:val="24"/>
          <w:szCs w:val="24"/>
        </w:rPr>
        <w:t>I</w:t>
      </w:r>
      <w:r w:rsidRPr="000B521F">
        <w:rPr>
          <w:rFonts w:ascii="Times New Roman" w:hAnsi="Times New Roman" w:cs="Times New Roman"/>
          <w:b/>
          <w:sz w:val="24"/>
          <w:szCs w:val="24"/>
        </w:rPr>
        <w:t xml:space="preserve">. a </w:t>
      </w:r>
      <w:r w:rsidR="00041452">
        <w:rPr>
          <w:rFonts w:ascii="Times New Roman" w:hAnsi="Times New Roman" w:cs="Times New Roman"/>
          <w:b/>
          <w:sz w:val="24"/>
          <w:szCs w:val="24"/>
        </w:rPr>
        <w:t>II</w:t>
      </w:r>
      <w:r w:rsidRPr="000B521F">
        <w:rPr>
          <w:rFonts w:ascii="Times New Roman" w:hAnsi="Times New Roman" w:cs="Times New Roman"/>
          <w:b/>
          <w:sz w:val="24"/>
          <w:szCs w:val="24"/>
        </w:rPr>
        <w:t>. pilířem SZP</w:t>
      </w:r>
    </w:p>
    <w:p w:rsidR="00041452" w:rsidRDefault="00041452" w:rsidP="00041452">
      <w:pPr>
        <w:pStyle w:val="DAVA"/>
        <w:spacing w:before="0"/>
        <w:rPr>
          <w:rFonts w:ascii="Times New Roman" w:hAnsi="Times New Roman"/>
        </w:rPr>
      </w:pPr>
      <w:r w:rsidRPr="0014016D">
        <w:rPr>
          <w:rFonts w:ascii="Times New Roman" w:hAnsi="Times New Roman"/>
          <w:szCs w:val="24"/>
        </w:rPr>
        <w:t xml:space="preserve">Podpory I. pilíř SZP jsou cílené na zajištění stability příjmů zemědělců a zajištění konkurenceschopnosti zemědělství. Komplementaritu s II. pilířem, lze vnímat v definovaných oblastech LFA či investičních opatřeních. Tyto jsou rozšířeny i na navazující zpracovatelský průmysl a lesní hospodářství. </w:t>
      </w:r>
      <w:r>
        <w:rPr>
          <w:rFonts w:ascii="Times New Roman" w:hAnsi="Times New Roman"/>
          <w:szCs w:val="24"/>
        </w:rPr>
        <w:t xml:space="preserve">Konkrétní vymezení pro investiční podpory bude na bázi způsobilých výdajů či definice žadatele v programovém dokumentu. </w:t>
      </w:r>
      <w:r w:rsidRPr="0014016D">
        <w:rPr>
          <w:rFonts w:ascii="Times New Roman" w:hAnsi="Times New Roman"/>
          <w:szCs w:val="24"/>
        </w:rPr>
        <w:t>Oba pilíře se rovněž doplňují v oblasti mimoprodukčních funkcí a udržitelného rozvoje. Přímé platby budou podporovat udržitelnou produkci na zemědělské půdě díky tzv. „ozelenění“. Nad rámec ozelenění obsahuje II. pilíř opatření AEKO a Ekologické zemědělství</w:t>
      </w:r>
      <w:r w:rsidRPr="00CB283E">
        <w:rPr>
          <w:rFonts w:ascii="Times New Roman" w:hAnsi="Times New Roman"/>
        </w:rPr>
        <w:t xml:space="preserve">, </w:t>
      </w:r>
      <w:r>
        <w:rPr>
          <w:rFonts w:ascii="Times New Roman" w:hAnsi="Times New Roman"/>
        </w:rPr>
        <w:t>kde o</w:t>
      </w:r>
      <w:r w:rsidRPr="00CB283E">
        <w:rPr>
          <w:rFonts w:ascii="Times New Roman" w:hAnsi="Times New Roman"/>
        </w:rPr>
        <w:t xml:space="preserve">becně zajišťuje podporu synergického efektu podmínka </w:t>
      </w:r>
      <w:r>
        <w:rPr>
          <w:rFonts w:ascii="Times New Roman" w:hAnsi="Times New Roman"/>
        </w:rPr>
        <w:t>nastavení</w:t>
      </w:r>
      <w:r w:rsidRPr="00CB283E">
        <w:rPr>
          <w:rFonts w:ascii="Times New Roman" w:hAnsi="Times New Roman"/>
        </w:rPr>
        <w:t xml:space="preserve"> podpor v rámci II. pilíře nad základní environmentální předpoklady přímých plateb</w:t>
      </w:r>
      <w:r w:rsidRPr="0014016D">
        <w:rPr>
          <w:rFonts w:ascii="Times New Roman" w:hAnsi="Times New Roman"/>
          <w:szCs w:val="24"/>
        </w:rPr>
        <w:t xml:space="preserve">. </w:t>
      </w:r>
      <w:r>
        <w:rPr>
          <w:rFonts w:ascii="Times New Roman" w:hAnsi="Times New Roman"/>
          <w:szCs w:val="24"/>
        </w:rPr>
        <w:t xml:space="preserve">Právě ty upravují zemědělské postupy tak, aby cenné lokality byly obhospodařovány způsoby zohledňující potřeby stanovišť, příp. aby došlo k realizaci vhodnýchagrotechnických postupů předcházejících erozi půdy zejména v erozně ohrožených oblastech. </w:t>
      </w:r>
      <w:r w:rsidRPr="00CB283E">
        <w:rPr>
          <w:rFonts w:ascii="Times New Roman" w:hAnsi="Times New Roman"/>
        </w:rPr>
        <w:t xml:space="preserve">Správně nastavená pravidla ozelenění a </w:t>
      </w:r>
      <w:r>
        <w:rPr>
          <w:rFonts w:ascii="Times New Roman" w:hAnsi="Times New Roman"/>
        </w:rPr>
        <w:t>AEKO mohou</w:t>
      </w:r>
      <w:r w:rsidRPr="00CB283E">
        <w:rPr>
          <w:rFonts w:ascii="Times New Roman" w:hAnsi="Times New Roman"/>
        </w:rPr>
        <w:t xml:space="preserve"> motivovat zemědělce k větší účasti na opatřeních příznivých pro životní prostředí a poskytování tak většího rozsahu veřejných statků</w:t>
      </w:r>
      <w:r>
        <w:rPr>
          <w:rFonts w:ascii="Times New Roman" w:hAnsi="Times New Roman"/>
        </w:rPr>
        <w:t xml:space="preserve">. Kompenzaci za náklady vynaložené na tento způsob údržby nejsou zemědělcům poskytovány skrze podpory v rámci I. pilíře a náklady na poskytování veřejných statků je třeba zajistit skrze II. pilíř SZP. </w:t>
      </w:r>
      <w:r w:rsidRPr="0014016D">
        <w:rPr>
          <w:rFonts w:ascii="Times New Roman" w:hAnsi="Times New Roman"/>
          <w:szCs w:val="24"/>
        </w:rPr>
        <w:t xml:space="preserve">Nedílnou součástí synergie je vázaná </w:t>
      </w:r>
      <w:r w:rsidRPr="0014016D">
        <w:rPr>
          <w:rFonts w:ascii="Times New Roman" w:hAnsi="Times New Roman"/>
          <w:szCs w:val="24"/>
        </w:rPr>
        <w:lastRenderedPageBreak/>
        <w:t>podpora živočišné výroby. Doplňkovost prostorovou lze vnímat zejména podporou mimo zemědělskou půdu, což z pohledu II. pilíře představují lesnické podpory zaměřující se na environmentálně udržitelné hospodaření na pozemcích určených k plnění funkcí lesa, a to zejména v citlivých či přírodně cenných oblastech. Jedním ze základních styčných bodů mezi oběma pilíři je i rozvoj vzdělávání a poradenství zaměřený na plnění norem EU</w:t>
      </w:r>
      <w:r w:rsidRPr="00ED359D">
        <w:rPr>
          <w:rFonts w:ascii="Times New Roman" w:hAnsi="Times New Roman"/>
          <w:szCs w:val="24"/>
        </w:rPr>
        <w:t>, včetně podmínek cross-compliance (C-C), jejichž plnění se bude vztahovat na všechny subjekty pobírající přímé platby.</w:t>
      </w:r>
      <w:r>
        <w:rPr>
          <w:rFonts w:ascii="Times New Roman" w:hAnsi="Times New Roman"/>
          <w:szCs w:val="24"/>
        </w:rPr>
        <w:t xml:space="preserve"> </w:t>
      </w:r>
      <w:r w:rsidRPr="00ED359D">
        <w:rPr>
          <w:rFonts w:ascii="Times New Roman" w:hAnsi="Times New Roman"/>
          <w:szCs w:val="24"/>
        </w:rPr>
        <w:t>Informovanost</w:t>
      </w:r>
      <w:r>
        <w:rPr>
          <w:rFonts w:ascii="Times New Roman" w:hAnsi="Times New Roman"/>
          <w:szCs w:val="24"/>
        </w:rPr>
        <w:t xml:space="preserve"> </w:t>
      </w:r>
      <w:r w:rsidRPr="00ED359D">
        <w:rPr>
          <w:rFonts w:ascii="Times New Roman" w:hAnsi="Times New Roman"/>
          <w:szCs w:val="24"/>
        </w:rPr>
        <w:t>zemědělců</w:t>
      </w:r>
      <w:r>
        <w:rPr>
          <w:rFonts w:ascii="Times New Roman" w:hAnsi="Times New Roman"/>
          <w:szCs w:val="24"/>
        </w:rPr>
        <w:t xml:space="preserve"> </w:t>
      </w:r>
      <w:r w:rsidRPr="00ED359D">
        <w:rPr>
          <w:rFonts w:ascii="Times New Roman" w:hAnsi="Times New Roman"/>
          <w:szCs w:val="24"/>
        </w:rPr>
        <w:t>o účelu a podmínkách C-C a titulů AEKO by měla být zajištěna prostřednictvím opatření</w:t>
      </w:r>
      <w:r>
        <w:rPr>
          <w:rFonts w:ascii="Times New Roman" w:hAnsi="Times New Roman"/>
          <w:szCs w:val="24"/>
        </w:rPr>
        <w:t xml:space="preserve"> </w:t>
      </w:r>
      <w:r w:rsidRPr="00ED359D">
        <w:rPr>
          <w:rFonts w:ascii="Times New Roman" w:hAnsi="Times New Roman"/>
          <w:szCs w:val="24"/>
        </w:rPr>
        <w:t>k přenosu znalostí z II. pilíře.</w:t>
      </w:r>
      <w:r w:rsidRPr="00CB283E">
        <w:rPr>
          <w:rFonts w:ascii="Times New Roman" w:hAnsi="Times New Roman"/>
        </w:rPr>
        <w:t xml:space="preserve"> </w:t>
      </w:r>
    </w:p>
    <w:p w:rsidR="00041452" w:rsidRDefault="00041452" w:rsidP="00041452">
      <w:pPr>
        <w:pStyle w:val="DAVA"/>
        <w:spacing w:before="0"/>
        <w:rPr>
          <w:rFonts w:ascii="Times New Roman" w:hAnsi="Times New Roman"/>
        </w:rPr>
      </w:pPr>
    </w:p>
    <w:p w:rsidR="00B221B5" w:rsidRPr="000B521F" w:rsidRDefault="00B221B5" w:rsidP="0059011D">
      <w:pPr>
        <w:pStyle w:val="Tabulka"/>
        <w:spacing w:before="120" w:after="60"/>
        <w:rPr>
          <w:szCs w:val="20"/>
        </w:rPr>
      </w:pPr>
      <w:r w:rsidRPr="000B521F">
        <w:rPr>
          <w:szCs w:val="20"/>
        </w:rPr>
        <w:t>Tabulka</w:t>
      </w:r>
      <w:r w:rsidR="005E45D7" w:rsidRPr="000B521F">
        <w:rPr>
          <w:szCs w:val="20"/>
        </w:rPr>
        <w:t xml:space="preserve"> 2-1</w:t>
      </w:r>
      <w:r w:rsidR="00831CC0">
        <w:rPr>
          <w:szCs w:val="20"/>
        </w:rPr>
        <w:t>:</w:t>
      </w:r>
      <w:r w:rsidR="005E45D7" w:rsidRPr="000B521F">
        <w:rPr>
          <w:szCs w:val="20"/>
        </w:rPr>
        <w:t xml:space="preserve"> V</w:t>
      </w:r>
      <w:r w:rsidRPr="000B521F">
        <w:rPr>
          <w:szCs w:val="20"/>
        </w:rPr>
        <w:t>azb</w:t>
      </w:r>
      <w:r w:rsidR="005E45D7" w:rsidRPr="000B521F">
        <w:rPr>
          <w:szCs w:val="20"/>
        </w:rPr>
        <w:t>y</w:t>
      </w:r>
      <w:r w:rsidRPr="000B521F">
        <w:rPr>
          <w:szCs w:val="20"/>
        </w:rPr>
        <w:t xml:space="preserve"> programů ESIF a Unijních programů a nástrojů</w:t>
      </w:r>
    </w:p>
    <w:tbl>
      <w:tblPr>
        <w:tblW w:w="9061"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7" w:type="dxa"/>
          <w:right w:w="17" w:type="dxa"/>
        </w:tblCellMar>
        <w:tblLook w:val="04A0" w:firstRow="1" w:lastRow="0" w:firstColumn="1" w:lastColumn="0" w:noHBand="0" w:noVBand="1"/>
      </w:tblPr>
      <w:tblGrid>
        <w:gridCol w:w="845"/>
        <w:gridCol w:w="845"/>
        <w:gridCol w:w="851"/>
        <w:gridCol w:w="850"/>
        <w:gridCol w:w="851"/>
        <w:gridCol w:w="850"/>
        <w:gridCol w:w="709"/>
        <w:gridCol w:w="851"/>
        <w:gridCol w:w="850"/>
        <w:gridCol w:w="709"/>
        <w:gridCol w:w="850"/>
      </w:tblGrid>
      <w:tr w:rsidR="0015622A" w:rsidRPr="006F46A5" w:rsidTr="008F7C58">
        <w:trPr>
          <w:trHeight w:val="396"/>
        </w:trPr>
        <w:tc>
          <w:tcPr>
            <w:tcW w:w="845" w:type="dxa"/>
            <w:shd w:val="clear" w:color="auto" w:fill="8DB3E2" w:themeFill="text2" w:themeFillTint="66"/>
            <w:vAlign w:val="center"/>
          </w:tcPr>
          <w:p w:rsidR="00B221B5" w:rsidRPr="006F46A5" w:rsidRDefault="00B221B5" w:rsidP="0059011D">
            <w:pPr>
              <w:spacing w:line="240" w:lineRule="auto"/>
              <w:jc w:val="center"/>
              <w:rPr>
                <w:rFonts w:ascii="Times New Roman" w:hAnsi="Times New Roman" w:cs="Times New Roman"/>
                <w:sz w:val="20"/>
                <w:szCs w:val="20"/>
              </w:rPr>
            </w:pPr>
          </w:p>
        </w:tc>
        <w:tc>
          <w:tcPr>
            <w:tcW w:w="845" w:type="dxa"/>
            <w:shd w:val="clear" w:color="auto" w:fill="8DB3E2" w:themeFill="text2" w:themeFillTint="66"/>
            <w:vAlign w:val="center"/>
          </w:tcPr>
          <w:p w:rsidR="00B221B5" w:rsidRPr="006F46A5" w:rsidRDefault="00B221B5" w:rsidP="0059011D">
            <w:pPr>
              <w:spacing w:after="120" w:line="240" w:lineRule="auto"/>
              <w:jc w:val="center"/>
              <w:rPr>
                <w:rFonts w:ascii="Times New Roman" w:hAnsi="Times New Roman" w:cs="Times New Roman"/>
                <w:b/>
                <w:sz w:val="20"/>
                <w:szCs w:val="20"/>
              </w:rPr>
            </w:pPr>
            <w:r w:rsidRPr="006F46A5">
              <w:rPr>
                <w:rFonts w:ascii="Times New Roman" w:hAnsi="Times New Roman" w:cs="Times New Roman"/>
                <w:b/>
                <w:sz w:val="20"/>
                <w:szCs w:val="20"/>
              </w:rPr>
              <w:t>Horizon</w:t>
            </w:r>
          </w:p>
        </w:tc>
        <w:tc>
          <w:tcPr>
            <w:tcW w:w="851" w:type="dxa"/>
            <w:tcBorders>
              <w:right w:val="single" w:sz="4" w:space="0" w:color="auto"/>
            </w:tcBorders>
            <w:shd w:val="clear" w:color="auto" w:fill="8DB3E2" w:themeFill="text2" w:themeFillTint="66"/>
            <w:vAlign w:val="center"/>
          </w:tcPr>
          <w:p w:rsidR="00B221B5" w:rsidRPr="006F46A5" w:rsidRDefault="00B221B5" w:rsidP="0059011D">
            <w:pPr>
              <w:spacing w:after="120" w:line="240" w:lineRule="auto"/>
              <w:jc w:val="center"/>
              <w:rPr>
                <w:rFonts w:ascii="Times New Roman" w:hAnsi="Times New Roman" w:cs="Times New Roman"/>
                <w:b/>
                <w:sz w:val="20"/>
                <w:szCs w:val="20"/>
              </w:rPr>
            </w:pPr>
            <w:r w:rsidRPr="006F46A5">
              <w:rPr>
                <w:rFonts w:ascii="Times New Roman" w:hAnsi="Times New Roman" w:cs="Times New Roman"/>
                <w:b/>
                <w:sz w:val="20"/>
                <w:szCs w:val="20"/>
              </w:rPr>
              <w:t>CEF</w:t>
            </w:r>
          </w:p>
        </w:tc>
        <w:tc>
          <w:tcPr>
            <w:tcW w:w="850" w:type="dxa"/>
            <w:tcBorders>
              <w:left w:val="single" w:sz="4" w:space="0" w:color="auto"/>
            </w:tcBorders>
            <w:shd w:val="clear" w:color="auto" w:fill="8DB3E2" w:themeFill="text2" w:themeFillTint="66"/>
            <w:vAlign w:val="center"/>
          </w:tcPr>
          <w:p w:rsidR="00B221B5" w:rsidRPr="006F46A5" w:rsidRDefault="00B221B5" w:rsidP="0059011D">
            <w:pPr>
              <w:spacing w:after="120" w:line="240" w:lineRule="auto"/>
              <w:jc w:val="center"/>
              <w:rPr>
                <w:rFonts w:ascii="Times New Roman" w:hAnsi="Times New Roman" w:cs="Times New Roman"/>
                <w:b/>
                <w:sz w:val="20"/>
                <w:szCs w:val="20"/>
              </w:rPr>
            </w:pPr>
            <w:r w:rsidRPr="006F46A5">
              <w:rPr>
                <w:rFonts w:ascii="Times New Roman" w:hAnsi="Times New Roman" w:cs="Times New Roman"/>
                <w:b/>
                <w:sz w:val="20"/>
                <w:szCs w:val="20"/>
              </w:rPr>
              <w:t>Erasmus</w:t>
            </w:r>
          </w:p>
        </w:tc>
        <w:tc>
          <w:tcPr>
            <w:tcW w:w="851" w:type="dxa"/>
            <w:tcBorders>
              <w:right w:val="single" w:sz="4" w:space="0" w:color="auto"/>
            </w:tcBorders>
            <w:shd w:val="clear" w:color="auto" w:fill="8DB3E2" w:themeFill="text2" w:themeFillTint="66"/>
            <w:vAlign w:val="center"/>
          </w:tcPr>
          <w:p w:rsidR="00B221B5" w:rsidRPr="006F46A5" w:rsidRDefault="00B221B5" w:rsidP="0059011D">
            <w:pPr>
              <w:spacing w:after="120" w:line="240" w:lineRule="auto"/>
              <w:jc w:val="center"/>
              <w:rPr>
                <w:rFonts w:ascii="Times New Roman" w:hAnsi="Times New Roman" w:cs="Times New Roman"/>
                <w:b/>
                <w:sz w:val="20"/>
                <w:szCs w:val="20"/>
              </w:rPr>
            </w:pPr>
            <w:r w:rsidRPr="006F46A5">
              <w:rPr>
                <w:rFonts w:ascii="Times New Roman" w:hAnsi="Times New Roman" w:cs="Times New Roman"/>
                <w:b/>
                <w:sz w:val="20"/>
                <w:szCs w:val="20"/>
              </w:rPr>
              <w:t>COSME</w:t>
            </w:r>
          </w:p>
        </w:tc>
        <w:tc>
          <w:tcPr>
            <w:tcW w:w="850" w:type="dxa"/>
            <w:tcBorders>
              <w:left w:val="single" w:sz="4" w:space="0" w:color="auto"/>
            </w:tcBorders>
            <w:shd w:val="clear" w:color="auto" w:fill="8DB3E2" w:themeFill="text2" w:themeFillTint="66"/>
            <w:vAlign w:val="center"/>
          </w:tcPr>
          <w:p w:rsidR="00B221B5" w:rsidRPr="006F46A5" w:rsidRDefault="00B221B5" w:rsidP="0059011D">
            <w:pPr>
              <w:spacing w:after="120" w:line="240" w:lineRule="auto"/>
              <w:jc w:val="center"/>
              <w:rPr>
                <w:rFonts w:ascii="Times New Roman" w:hAnsi="Times New Roman" w:cs="Times New Roman"/>
                <w:b/>
                <w:sz w:val="20"/>
                <w:szCs w:val="20"/>
              </w:rPr>
            </w:pPr>
            <w:r w:rsidRPr="006F46A5">
              <w:rPr>
                <w:rFonts w:ascii="Times New Roman" w:hAnsi="Times New Roman" w:cs="Times New Roman"/>
                <w:b/>
                <w:sz w:val="20"/>
                <w:szCs w:val="20"/>
              </w:rPr>
              <w:t>LIFE+</w:t>
            </w:r>
          </w:p>
        </w:tc>
        <w:tc>
          <w:tcPr>
            <w:tcW w:w="709" w:type="dxa"/>
            <w:tcBorders>
              <w:right w:val="single" w:sz="4" w:space="0" w:color="auto"/>
            </w:tcBorders>
            <w:shd w:val="clear" w:color="auto" w:fill="8DB3E2" w:themeFill="text2" w:themeFillTint="66"/>
            <w:vAlign w:val="center"/>
          </w:tcPr>
          <w:p w:rsidR="00B221B5" w:rsidRPr="006F46A5" w:rsidRDefault="00B221B5" w:rsidP="0059011D">
            <w:pPr>
              <w:spacing w:after="120" w:line="240" w:lineRule="auto"/>
              <w:jc w:val="center"/>
              <w:rPr>
                <w:rFonts w:ascii="Times New Roman" w:hAnsi="Times New Roman" w:cs="Times New Roman"/>
                <w:b/>
                <w:sz w:val="20"/>
                <w:szCs w:val="20"/>
              </w:rPr>
            </w:pPr>
            <w:r w:rsidRPr="006F46A5">
              <w:rPr>
                <w:rFonts w:ascii="Times New Roman" w:hAnsi="Times New Roman" w:cs="Times New Roman"/>
                <w:b/>
                <w:sz w:val="20"/>
                <w:szCs w:val="20"/>
              </w:rPr>
              <w:t>YEI</w:t>
            </w:r>
          </w:p>
        </w:tc>
        <w:tc>
          <w:tcPr>
            <w:tcW w:w="851" w:type="dxa"/>
            <w:shd w:val="clear" w:color="auto" w:fill="8DB3E2" w:themeFill="text2" w:themeFillTint="66"/>
            <w:vAlign w:val="center"/>
          </w:tcPr>
          <w:p w:rsidR="00B221B5" w:rsidRPr="006F46A5" w:rsidRDefault="00B221B5" w:rsidP="0059011D">
            <w:pPr>
              <w:spacing w:after="120" w:line="240" w:lineRule="auto"/>
              <w:jc w:val="center"/>
              <w:rPr>
                <w:rFonts w:ascii="Times New Roman" w:hAnsi="Times New Roman" w:cs="Times New Roman"/>
                <w:b/>
                <w:sz w:val="20"/>
                <w:szCs w:val="20"/>
              </w:rPr>
            </w:pPr>
            <w:r w:rsidRPr="006F46A5">
              <w:rPr>
                <w:rFonts w:ascii="Times New Roman" w:hAnsi="Times New Roman" w:cs="Times New Roman"/>
                <w:b/>
                <w:sz w:val="20"/>
                <w:szCs w:val="20"/>
              </w:rPr>
              <w:t>FEAMD</w:t>
            </w:r>
          </w:p>
        </w:tc>
        <w:tc>
          <w:tcPr>
            <w:tcW w:w="850" w:type="dxa"/>
            <w:shd w:val="clear" w:color="auto" w:fill="8DB3E2" w:themeFill="text2" w:themeFillTint="66"/>
            <w:vAlign w:val="center"/>
          </w:tcPr>
          <w:p w:rsidR="00B221B5" w:rsidRPr="006F46A5" w:rsidRDefault="00806900" w:rsidP="0059011D">
            <w:pPr>
              <w:spacing w:after="120" w:line="240" w:lineRule="auto"/>
              <w:jc w:val="center"/>
              <w:rPr>
                <w:rFonts w:ascii="Times New Roman" w:hAnsi="Times New Roman" w:cs="Times New Roman"/>
                <w:b/>
                <w:sz w:val="20"/>
                <w:szCs w:val="20"/>
              </w:rPr>
            </w:pPr>
            <w:r w:rsidRPr="006F46A5">
              <w:rPr>
                <w:rFonts w:ascii="Times New Roman" w:hAnsi="Times New Roman" w:cs="Times New Roman"/>
                <w:b/>
                <w:sz w:val="20"/>
                <w:szCs w:val="20"/>
              </w:rPr>
              <w:t>EaSI</w:t>
            </w:r>
          </w:p>
        </w:tc>
        <w:tc>
          <w:tcPr>
            <w:tcW w:w="709" w:type="dxa"/>
            <w:shd w:val="clear" w:color="auto" w:fill="8DB3E2" w:themeFill="text2" w:themeFillTint="66"/>
            <w:vAlign w:val="center"/>
          </w:tcPr>
          <w:p w:rsidR="00B221B5" w:rsidRPr="006F46A5" w:rsidRDefault="00B221B5" w:rsidP="0059011D">
            <w:pPr>
              <w:spacing w:after="120" w:line="240" w:lineRule="auto"/>
              <w:jc w:val="center"/>
              <w:rPr>
                <w:rFonts w:ascii="Times New Roman" w:hAnsi="Times New Roman" w:cs="Times New Roman"/>
                <w:b/>
                <w:sz w:val="20"/>
                <w:szCs w:val="20"/>
              </w:rPr>
            </w:pPr>
            <w:r w:rsidRPr="006F46A5">
              <w:rPr>
                <w:rFonts w:ascii="Times New Roman" w:hAnsi="Times New Roman" w:cs="Times New Roman"/>
                <w:b/>
                <w:sz w:val="20"/>
                <w:szCs w:val="20"/>
              </w:rPr>
              <w:t>AMF</w:t>
            </w:r>
          </w:p>
        </w:tc>
        <w:tc>
          <w:tcPr>
            <w:tcW w:w="850" w:type="dxa"/>
            <w:shd w:val="clear" w:color="auto" w:fill="8DB3E2" w:themeFill="text2" w:themeFillTint="66"/>
            <w:vAlign w:val="center"/>
          </w:tcPr>
          <w:p w:rsidR="00B221B5" w:rsidRPr="006F46A5" w:rsidRDefault="00B221B5" w:rsidP="0059011D">
            <w:pPr>
              <w:spacing w:after="120" w:line="240" w:lineRule="auto"/>
              <w:jc w:val="center"/>
              <w:rPr>
                <w:rFonts w:ascii="Times New Roman" w:hAnsi="Times New Roman" w:cs="Times New Roman"/>
                <w:b/>
                <w:sz w:val="20"/>
                <w:szCs w:val="20"/>
              </w:rPr>
            </w:pPr>
            <w:r w:rsidRPr="006F46A5">
              <w:rPr>
                <w:rFonts w:ascii="Times New Roman" w:hAnsi="Times New Roman" w:cs="Times New Roman"/>
                <w:b/>
                <w:sz w:val="20"/>
                <w:szCs w:val="20"/>
              </w:rPr>
              <w:t>ISF</w:t>
            </w:r>
          </w:p>
        </w:tc>
      </w:tr>
      <w:tr w:rsidR="0015622A" w:rsidRPr="006F46A5" w:rsidTr="008F7C58">
        <w:trPr>
          <w:trHeight w:val="510"/>
        </w:trPr>
        <w:tc>
          <w:tcPr>
            <w:tcW w:w="845" w:type="dxa"/>
            <w:shd w:val="clear" w:color="auto" w:fill="C6D9F1" w:themeFill="text2" w:themeFillTint="33"/>
            <w:vAlign w:val="center"/>
          </w:tcPr>
          <w:p w:rsidR="00B221B5" w:rsidRPr="006F46A5" w:rsidRDefault="00B221B5" w:rsidP="0059011D">
            <w:pPr>
              <w:spacing w:after="120" w:line="240" w:lineRule="auto"/>
              <w:rPr>
                <w:rFonts w:ascii="Times New Roman" w:hAnsi="Times New Roman" w:cs="Times New Roman"/>
                <w:b/>
                <w:sz w:val="20"/>
                <w:szCs w:val="20"/>
              </w:rPr>
            </w:pPr>
            <w:r w:rsidRPr="006F46A5">
              <w:rPr>
                <w:rFonts w:ascii="Times New Roman" w:hAnsi="Times New Roman" w:cs="Times New Roman"/>
                <w:b/>
                <w:sz w:val="20"/>
                <w:szCs w:val="20"/>
              </w:rPr>
              <w:t>OP Z</w:t>
            </w:r>
          </w:p>
        </w:tc>
        <w:tc>
          <w:tcPr>
            <w:tcW w:w="845" w:type="dxa"/>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c>
          <w:tcPr>
            <w:tcW w:w="851" w:type="dxa"/>
            <w:tcBorders>
              <w:right w:val="single" w:sz="4" w:space="0" w:color="auto"/>
            </w:tcBorders>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c>
          <w:tcPr>
            <w:tcW w:w="850" w:type="dxa"/>
            <w:tcBorders>
              <w:left w:val="single" w:sz="4" w:space="0" w:color="auto"/>
            </w:tcBorders>
            <w:shd w:val="clear" w:color="auto" w:fill="auto"/>
            <w:vAlign w:val="center"/>
          </w:tcPr>
          <w:p w:rsidR="00B221B5" w:rsidRPr="00041452" w:rsidRDefault="00B221B5" w:rsidP="0059011D">
            <w:pPr>
              <w:spacing w:after="120" w:line="240" w:lineRule="auto"/>
              <w:rPr>
                <w:rFonts w:ascii="Times New Roman" w:hAnsi="Times New Roman" w:cs="Times New Roman"/>
                <w:sz w:val="16"/>
                <w:szCs w:val="16"/>
              </w:rPr>
            </w:pPr>
            <w:r w:rsidRPr="00041452">
              <w:rPr>
                <w:rFonts w:ascii="Times New Roman" w:hAnsi="Times New Roman" w:cs="Times New Roman"/>
                <w:sz w:val="16"/>
                <w:szCs w:val="16"/>
              </w:rPr>
              <w:t xml:space="preserve"> </w:t>
            </w:r>
          </w:p>
        </w:tc>
        <w:tc>
          <w:tcPr>
            <w:tcW w:w="851" w:type="dxa"/>
            <w:tcBorders>
              <w:right w:val="single" w:sz="4" w:space="0" w:color="auto"/>
            </w:tcBorders>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c>
          <w:tcPr>
            <w:tcW w:w="850" w:type="dxa"/>
            <w:tcBorders>
              <w:left w:val="single" w:sz="4" w:space="0" w:color="auto"/>
            </w:tcBorders>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c>
          <w:tcPr>
            <w:tcW w:w="709" w:type="dxa"/>
            <w:tcBorders>
              <w:right w:val="single" w:sz="4" w:space="0" w:color="auto"/>
            </w:tcBorders>
            <w:shd w:val="clear" w:color="auto" w:fill="auto"/>
            <w:vAlign w:val="center"/>
          </w:tcPr>
          <w:p w:rsidR="00B221B5" w:rsidRPr="00041452" w:rsidRDefault="00B221B5" w:rsidP="0059011D">
            <w:pPr>
              <w:spacing w:after="120" w:line="240" w:lineRule="auto"/>
              <w:rPr>
                <w:rFonts w:ascii="Times New Roman" w:hAnsi="Times New Roman" w:cs="Times New Roman"/>
                <w:sz w:val="16"/>
                <w:szCs w:val="16"/>
              </w:rPr>
            </w:pPr>
            <w:r w:rsidRPr="00041452">
              <w:rPr>
                <w:rFonts w:ascii="Times New Roman" w:hAnsi="Times New Roman" w:cs="Times New Roman"/>
                <w:sz w:val="16"/>
                <w:szCs w:val="16"/>
              </w:rPr>
              <w:t>PO 1, TC 8</w:t>
            </w:r>
          </w:p>
        </w:tc>
        <w:tc>
          <w:tcPr>
            <w:tcW w:w="851" w:type="dxa"/>
            <w:shd w:val="clear" w:color="auto" w:fill="auto"/>
            <w:vAlign w:val="center"/>
          </w:tcPr>
          <w:p w:rsidR="00B221B5" w:rsidRPr="00041452" w:rsidRDefault="00B221B5" w:rsidP="0059011D">
            <w:pPr>
              <w:spacing w:after="120" w:line="240" w:lineRule="auto"/>
              <w:rPr>
                <w:rFonts w:ascii="Times New Roman" w:hAnsi="Times New Roman" w:cs="Times New Roman"/>
                <w:sz w:val="16"/>
                <w:szCs w:val="16"/>
              </w:rPr>
            </w:pPr>
            <w:r w:rsidRPr="00041452">
              <w:rPr>
                <w:rFonts w:ascii="Times New Roman" w:hAnsi="Times New Roman" w:cs="Times New Roman"/>
                <w:sz w:val="16"/>
                <w:szCs w:val="16"/>
              </w:rPr>
              <w:t>PO 2, TC 9</w:t>
            </w:r>
          </w:p>
        </w:tc>
        <w:tc>
          <w:tcPr>
            <w:tcW w:w="850" w:type="dxa"/>
            <w:shd w:val="clear" w:color="auto" w:fill="auto"/>
            <w:vAlign w:val="center"/>
          </w:tcPr>
          <w:p w:rsidR="00B221B5" w:rsidRPr="00041452" w:rsidRDefault="00B221B5" w:rsidP="0059011D">
            <w:pPr>
              <w:spacing w:after="120" w:line="240" w:lineRule="auto"/>
              <w:rPr>
                <w:rFonts w:ascii="Times New Roman" w:hAnsi="Times New Roman" w:cs="Times New Roman"/>
                <w:sz w:val="16"/>
                <w:szCs w:val="16"/>
              </w:rPr>
            </w:pPr>
            <w:r w:rsidRPr="00041452">
              <w:rPr>
                <w:rFonts w:ascii="Times New Roman" w:hAnsi="Times New Roman" w:cs="Times New Roman"/>
                <w:sz w:val="16"/>
                <w:szCs w:val="16"/>
              </w:rPr>
              <w:t>PO 1 TC 8</w:t>
            </w:r>
          </w:p>
          <w:p w:rsidR="00B221B5" w:rsidRPr="00041452" w:rsidRDefault="00B221B5" w:rsidP="0059011D">
            <w:pPr>
              <w:spacing w:after="120" w:line="240" w:lineRule="auto"/>
              <w:rPr>
                <w:rFonts w:ascii="Times New Roman" w:hAnsi="Times New Roman" w:cs="Times New Roman"/>
                <w:sz w:val="16"/>
                <w:szCs w:val="16"/>
              </w:rPr>
            </w:pPr>
            <w:r w:rsidRPr="00041452">
              <w:rPr>
                <w:rFonts w:ascii="Times New Roman" w:hAnsi="Times New Roman" w:cs="Times New Roman"/>
                <w:sz w:val="16"/>
                <w:szCs w:val="16"/>
              </w:rPr>
              <w:t>PO 2 TC 9</w:t>
            </w:r>
          </w:p>
          <w:p w:rsidR="00B221B5" w:rsidRPr="00041452" w:rsidRDefault="00B221B5" w:rsidP="0059011D">
            <w:pPr>
              <w:spacing w:after="120" w:line="240" w:lineRule="auto"/>
              <w:rPr>
                <w:rFonts w:ascii="Times New Roman" w:hAnsi="Times New Roman" w:cs="Times New Roman"/>
                <w:sz w:val="16"/>
                <w:szCs w:val="16"/>
              </w:rPr>
            </w:pPr>
            <w:r w:rsidRPr="00041452">
              <w:rPr>
                <w:rFonts w:ascii="Times New Roman" w:hAnsi="Times New Roman" w:cs="Times New Roman"/>
                <w:sz w:val="16"/>
                <w:szCs w:val="16"/>
              </w:rPr>
              <w:t>PO 3, TC 11</w:t>
            </w:r>
          </w:p>
        </w:tc>
        <w:tc>
          <w:tcPr>
            <w:tcW w:w="709" w:type="dxa"/>
            <w:shd w:val="clear" w:color="auto" w:fill="auto"/>
            <w:vAlign w:val="center"/>
          </w:tcPr>
          <w:p w:rsidR="00B221B5" w:rsidRPr="00041452" w:rsidRDefault="00B221B5" w:rsidP="0059011D">
            <w:pPr>
              <w:spacing w:after="120" w:line="240" w:lineRule="auto"/>
              <w:rPr>
                <w:rFonts w:ascii="Times New Roman" w:hAnsi="Times New Roman" w:cs="Times New Roman"/>
                <w:sz w:val="16"/>
                <w:szCs w:val="16"/>
              </w:rPr>
            </w:pPr>
            <w:r w:rsidRPr="00041452">
              <w:rPr>
                <w:rFonts w:ascii="Times New Roman" w:hAnsi="Times New Roman" w:cs="Times New Roman"/>
                <w:sz w:val="16"/>
                <w:szCs w:val="16"/>
              </w:rPr>
              <w:t>PO 2, TC 9</w:t>
            </w:r>
          </w:p>
        </w:tc>
        <w:tc>
          <w:tcPr>
            <w:tcW w:w="850" w:type="dxa"/>
            <w:shd w:val="clear" w:color="auto" w:fill="auto"/>
            <w:vAlign w:val="center"/>
          </w:tcPr>
          <w:p w:rsidR="00B221B5" w:rsidRPr="00041452" w:rsidRDefault="00B221B5" w:rsidP="0059011D">
            <w:pPr>
              <w:spacing w:after="120" w:line="240" w:lineRule="auto"/>
              <w:rPr>
                <w:rFonts w:ascii="Times New Roman" w:hAnsi="Times New Roman" w:cs="Times New Roman"/>
                <w:sz w:val="16"/>
                <w:szCs w:val="16"/>
              </w:rPr>
            </w:pPr>
            <w:r w:rsidRPr="00041452">
              <w:rPr>
                <w:rFonts w:ascii="Times New Roman" w:hAnsi="Times New Roman" w:cs="Times New Roman"/>
                <w:sz w:val="16"/>
                <w:szCs w:val="16"/>
              </w:rPr>
              <w:t>PO 4, TC 11</w:t>
            </w:r>
          </w:p>
        </w:tc>
      </w:tr>
      <w:tr w:rsidR="0015622A" w:rsidRPr="006F46A5" w:rsidTr="008F7C58">
        <w:trPr>
          <w:trHeight w:val="510"/>
        </w:trPr>
        <w:tc>
          <w:tcPr>
            <w:tcW w:w="845" w:type="dxa"/>
            <w:shd w:val="clear" w:color="auto" w:fill="C6D9F1" w:themeFill="text2" w:themeFillTint="33"/>
            <w:vAlign w:val="center"/>
          </w:tcPr>
          <w:p w:rsidR="00B221B5" w:rsidRPr="006F46A5" w:rsidRDefault="00B221B5" w:rsidP="0059011D">
            <w:pPr>
              <w:spacing w:after="120" w:line="240" w:lineRule="auto"/>
              <w:rPr>
                <w:rFonts w:ascii="Times New Roman" w:hAnsi="Times New Roman" w:cs="Times New Roman"/>
                <w:b/>
                <w:sz w:val="20"/>
                <w:szCs w:val="20"/>
              </w:rPr>
            </w:pPr>
            <w:r w:rsidRPr="006F46A5">
              <w:rPr>
                <w:rFonts w:ascii="Times New Roman" w:hAnsi="Times New Roman" w:cs="Times New Roman"/>
                <w:b/>
                <w:sz w:val="20"/>
                <w:szCs w:val="20"/>
              </w:rPr>
              <w:t>OP VVV</w:t>
            </w:r>
          </w:p>
        </w:tc>
        <w:tc>
          <w:tcPr>
            <w:tcW w:w="845" w:type="dxa"/>
            <w:shd w:val="clear" w:color="auto" w:fill="auto"/>
            <w:vAlign w:val="center"/>
          </w:tcPr>
          <w:p w:rsidR="00B221B5" w:rsidRPr="00041452" w:rsidRDefault="00B221B5" w:rsidP="0059011D">
            <w:pPr>
              <w:spacing w:after="120" w:line="240" w:lineRule="auto"/>
              <w:rPr>
                <w:rFonts w:ascii="Times New Roman" w:hAnsi="Times New Roman" w:cs="Times New Roman"/>
                <w:sz w:val="16"/>
                <w:szCs w:val="16"/>
              </w:rPr>
            </w:pPr>
            <w:r w:rsidRPr="00041452">
              <w:rPr>
                <w:rFonts w:ascii="Times New Roman" w:hAnsi="Times New Roman" w:cs="Times New Roman"/>
                <w:sz w:val="16"/>
                <w:szCs w:val="16"/>
              </w:rPr>
              <w:t>PO 1, TC 1</w:t>
            </w:r>
          </w:p>
        </w:tc>
        <w:tc>
          <w:tcPr>
            <w:tcW w:w="851" w:type="dxa"/>
            <w:tcBorders>
              <w:right w:val="single" w:sz="4" w:space="0" w:color="auto"/>
            </w:tcBorders>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c>
          <w:tcPr>
            <w:tcW w:w="850" w:type="dxa"/>
            <w:tcBorders>
              <w:left w:val="single" w:sz="4" w:space="0" w:color="auto"/>
            </w:tcBorders>
            <w:shd w:val="clear" w:color="auto" w:fill="auto"/>
            <w:vAlign w:val="center"/>
          </w:tcPr>
          <w:p w:rsidR="00B221B5" w:rsidRPr="00041452" w:rsidRDefault="00B221B5" w:rsidP="0059011D">
            <w:pPr>
              <w:spacing w:after="120" w:line="240" w:lineRule="auto"/>
              <w:rPr>
                <w:rFonts w:ascii="Times New Roman" w:hAnsi="Times New Roman" w:cs="Times New Roman"/>
                <w:sz w:val="16"/>
                <w:szCs w:val="16"/>
              </w:rPr>
            </w:pPr>
            <w:r w:rsidRPr="00041452">
              <w:rPr>
                <w:rFonts w:ascii="Times New Roman" w:hAnsi="Times New Roman" w:cs="Times New Roman"/>
                <w:sz w:val="16"/>
                <w:szCs w:val="16"/>
              </w:rPr>
              <w:t xml:space="preserve">PO 2, TC 10 </w:t>
            </w:r>
          </w:p>
        </w:tc>
        <w:tc>
          <w:tcPr>
            <w:tcW w:w="851" w:type="dxa"/>
            <w:tcBorders>
              <w:right w:val="single" w:sz="4" w:space="0" w:color="auto"/>
            </w:tcBorders>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c>
          <w:tcPr>
            <w:tcW w:w="850" w:type="dxa"/>
            <w:tcBorders>
              <w:left w:val="single" w:sz="4" w:space="0" w:color="auto"/>
            </w:tcBorders>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c>
          <w:tcPr>
            <w:tcW w:w="709" w:type="dxa"/>
            <w:tcBorders>
              <w:right w:val="single" w:sz="4" w:space="0" w:color="auto"/>
            </w:tcBorders>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c>
          <w:tcPr>
            <w:tcW w:w="851" w:type="dxa"/>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c>
          <w:tcPr>
            <w:tcW w:w="850" w:type="dxa"/>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c>
          <w:tcPr>
            <w:tcW w:w="709" w:type="dxa"/>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c>
          <w:tcPr>
            <w:tcW w:w="850" w:type="dxa"/>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r>
      <w:tr w:rsidR="0015622A" w:rsidRPr="006F46A5" w:rsidTr="008F7C58">
        <w:trPr>
          <w:trHeight w:val="510"/>
        </w:trPr>
        <w:tc>
          <w:tcPr>
            <w:tcW w:w="845" w:type="dxa"/>
            <w:shd w:val="clear" w:color="auto" w:fill="C6D9F1" w:themeFill="text2" w:themeFillTint="33"/>
            <w:vAlign w:val="center"/>
          </w:tcPr>
          <w:p w:rsidR="00B221B5" w:rsidRPr="006F46A5" w:rsidRDefault="00B221B5" w:rsidP="0059011D">
            <w:pPr>
              <w:spacing w:after="120" w:line="240" w:lineRule="auto"/>
              <w:rPr>
                <w:rFonts w:ascii="Times New Roman" w:hAnsi="Times New Roman" w:cs="Times New Roman"/>
                <w:b/>
                <w:sz w:val="20"/>
                <w:szCs w:val="20"/>
              </w:rPr>
            </w:pPr>
            <w:r w:rsidRPr="006F46A5">
              <w:rPr>
                <w:rFonts w:ascii="Times New Roman" w:hAnsi="Times New Roman" w:cs="Times New Roman"/>
                <w:b/>
                <w:sz w:val="20"/>
                <w:szCs w:val="20"/>
              </w:rPr>
              <w:t>OP PIK</w:t>
            </w:r>
          </w:p>
        </w:tc>
        <w:tc>
          <w:tcPr>
            <w:tcW w:w="845" w:type="dxa"/>
            <w:shd w:val="clear" w:color="auto" w:fill="auto"/>
            <w:vAlign w:val="center"/>
          </w:tcPr>
          <w:p w:rsidR="00B221B5" w:rsidRPr="00041452" w:rsidRDefault="00B221B5" w:rsidP="0059011D">
            <w:pPr>
              <w:spacing w:after="120" w:line="240" w:lineRule="auto"/>
              <w:rPr>
                <w:rFonts w:ascii="Times New Roman" w:hAnsi="Times New Roman" w:cs="Times New Roman"/>
                <w:sz w:val="16"/>
                <w:szCs w:val="16"/>
              </w:rPr>
            </w:pPr>
            <w:r w:rsidRPr="00041452">
              <w:rPr>
                <w:rFonts w:ascii="Times New Roman" w:hAnsi="Times New Roman" w:cs="Times New Roman"/>
                <w:sz w:val="16"/>
                <w:szCs w:val="16"/>
              </w:rPr>
              <w:t>PO 1, TC 1</w:t>
            </w:r>
          </w:p>
          <w:p w:rsidR="00B221B5" w:rsidRPr="00041452" w:rsidRDefault="00B221B5" w:rsidP="0059011D">
            <w:pPr>
              <w:spacing w:after="120" w:line="240" w:lineRule="auto"/>
              <w:rPr>
                <w:rFonts w:ascii="Times New Roman" w:hAnsi="Times New Roman" w:cs="Times New Roman"/>
                <w:sz w:val="16"/>
                <w:szCs w:val="16"/>
              </w:rPr>
            </w:pPr>
            <w:r w:rsidRPr="00041452">
              <w:rPr>
                <w:rFonts w:ascii="Times New Roman" w:hAnsi="Times New Roman" w:cs="Times New Roman"/>
                <w:sz w:val="16"/>
                <w:szCs w:val="16"/>
              </w:rPr>
              <w:t>PO 2, TC 3</w:t>
            </w:r>
          </w:p>
          <w:p w:rsidR="00B221B5" w:rsidRPr="00041452" w:rsidRDefault="00B221B5" w:rsidP="0059011D">
            <w:pPr>
              <w:spacing w:after="120" w:line="240" w:lineRule="auto"/>
              <w:rPr>
                <w:rFonts w:ascii="Times New Roman" w:hAnsi="Times New Roman" w:cs="Times New Roman"/>
                <w:sz w:val="16"/>
                <w:szCs w:val="16"/>
              </w:rPr>
            </w:pPr>
            <w:r w:rsidRPr="00041452">
              <w:rPr>
                <w:rFonts w:ascii="Times New Roman" w:hAnsi="Times New Roman" w:cs="Times New Roman"/>
                <w:sz w:val="16"/>
                <w:szCs w:val="16"/>
              </w:rPr>
              <w:t>PO 3, TC 4</w:t>
            </w:r>
          </w:p>
        </w:tc>
        <w:tc>
          <w:tcPr>
            <w:tcW w:w="851" w:type="dxa"/>
            <w:tcBorders>
              <w:right w:val="single" w:sz="4" w:space="0" w:color="auto"/>
            </w:tcBorders>
            <w:shd w:val="clear" w:color="auto" w:fill="auto"/>
            <w:vAlign w:val="center"/>
          </w:tcPr>
          <w:p w:rsidR="00B221B5" w:rsidRPr="00041452" w:rsidRDefault="00B221B5" w:rsidP="0059011D">
            <w:pPr>
              <w:spacing w:after="120" w:line="240" w:lineRule="auto"/>
              <w:rPr>
                <w:rFonts w:ascii="Times New Roman" w:hAnsi="Times New Roman" w:cs="Times New Roman"/>
                <w:sz w:val="16"/>
                <w:szCs w:val="16"/>
              </w:rPr>
            </w:pPr>
            <w:r w:rsidRPr="00041452">
              <w:rPr>
                <w:rFonts w:ascii="Times New Roman" w:hAnsi="Times New Roman" w:cs="Times New Roman"/>
                <w:sz w:val="16"/>
                <w:szCs w:val="16"/>
              </w:rPr>
              <w:t>PO 3, TC 4</w:t>
            </w:r>
          </w:p>
        </w:tc>
        <w:tc>
          <w:tcPr>
            <w:tcW w:w="850" w:type="dxa"/>
            <w:tcBorders>
              <w:left w:val="single" w:sz="4" w:space="0" w:color="auto"/>
            </w:tcBorders>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c>
          <w:tcPr>
            <w:tcW w:w="851" w:type="dxa"/>
            <w:tcBorders>
              <w:right w:val="single" w:sz="4" w:space="0" w:color="auto"/>
            </w:tcBorders>
            <w:shd w:val="clear" w:color="auto" w:fill="auto"/>
            <w:vAlign w:val="center"/>
          </w:tcPr>
          <w:p w:rsidR="00B221B5" w:rsidRPr="00041452" w:rsidRDefault="00B221B5" w:rsidP="0059011D">
            <w:pPr>
              <w:spacing w:after="120" w:line="240" w:lineRule="auto"/>
              <w:rPr>
                <w:rFonts w:ascii="Times New Roman" w:hAnsi="Times New Roman" w:cs="Times New Roman"/>
                <w:sz w:val="16"/>
                <w:szCs w:val="16"/>
              </w:rPr>
            </w:pPr>
            <w:r w:rsidRPr="00041452">
              <w:rPr>
                <w:rFonts w:ascii="Times New Roman" w:hAnsi="Times New Roman" w:cs="Times New Roman"/>
                <w:sz w:val="16"/>
                <w:szCs w:val="16"/>
              </w:rPr>
              <w:t>PO 1, TC 1</w:t>
            </w:r>
          </w:p>
          <w:p w:rsidR="00B221B5" w:rsidRPr="00041452" w:rsidRDefault="00B221B5" w:rsidP="0059011D">
            <w:pPr>
              <w:spacing w:after="120" w:line="240" w:lineRule="auto"/>
              <w:rPr>
                <w:rFonts w:ascii="Times New Roman" w:hAnsi="Times New Roman" w:cs="Times New Roman"/>
                <w:sz w:val="16"/>
                <w:szCs w:val="16"/>
              </w:rPr>
            </w:pPr>
            <w:r w:rsidRPr="00041452">
              <w:rPr>
                <w:rFonts w:ascii="Times New Roman" w:hAnsi="Times New Roman" w:cs="Times New Roman"/>
                <w:sz w:val="16"/>
                <w:szCs w:val="16"/>
              </w:rPr>
              <w:t>PO 2, TC 3</w:t>
            </w:r>
          </w:p>
        </w:tc>
        <w:tc>
          <w:tcPr>
            <w:tcW w:w="850" w:type="dxa"/>
            <w:tcBorders>
              <w:left w:val="single" w:sz="4" w:space="0" w:color="auto"/>
            </w:tcBorders>
            <w:shd w:val="clear" w:color="auto" w:fill="auto"/>
            <w:vAlign w:val="center"/>
          </w:tcPr>
          <w:p w:rsidR="00B221B5" w:rsidRPr="00041452" w:rsidRDefault="00B221B5" w:rsidP="0059011D">
            <w:pPr>
              <w:spacing w:before="40" w:after="40" w:line="240" w:lineRule="auto"/>
              <w:rPr>
                <w:rFonts w:ascii="Times New Roman" w:hAnsi="Times New Roman" w:cs="Times New Roman"/>
                <w:strike/>
                <w:sz w:val="16"/>
                <w:szCs w:val="16"/>
              </w:rPr>
            </w:pPr>
          </w:p>
        </w:tc>
        <w:tc>
          <w:tcPr>
            <w:tcW w:w="709" w:type="dxa"/>
            <w:tcBorders>
              <w:right w:val="single" w:sz="4" w:space="0" w:color="auto"/>
            </w:tcBorders>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c>
          <w:tcPr>
            <w:tcW w:w="851" w:type="dxa"/>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c>
          <w:tcPr>
            <w:tcW w:w="850" w:type="dxa"/>
            <w:shd w:val="clear" w:color="auto" w:fill="auto"/>
            <w:vAlign w:val="center"/>
          </w:tcPr>
          <w:p w:rsidR="00B221B5" w:rsidRPr="00041452" w:rsidRDefault="00B221B5" w:rsidP="0059011D">
            <w:pPr>
              <w:spacing w:after="120" w:line="240" w:lineRule="auto"/>
              <w:rPr>
                <w:rFonts w:ascii="Times New Roman" w:hAnsi="Times New Roman" w:cs="Times New Roman"/>
                <w:sz w:val="16"/>
                <w:szCs w:val="16"/>
              </w:rPr>
            </w:pPr>
            <w:r w:rsidRPr="00041452">
              <w:rPr>
                <w:rFonts w:ascii="Times New Roman" w:hAnsi="Times New Roman" w:cs="Times New Roman"/>
                <w:sz w:val="16"/>
                <w:szCs w:val="16"/>
              </w:rPr>
              <w:t>PO 2, TC 3</w:t>
            </w:r>
          </w:p>
        </w:tc>
        <w:tc>
          <w:tcPr>
            <w:tcW w:w="709" w:type="dxa"/>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c>
          <w:tcPr>
            <w:tcW w:w="850" w:type="dxa"/>
            <w:shd w:val="clear" w:color="auto" w:fill="auto"/>
            <w:vAlign w:val="center"/>
          </w:tcPr>
          <w:p w:rsidR="00B221B5" w:rsidRPr="00041452" w:rsidRDefault="00B221B5" w:rsidP="0059011D">
            <w:pPr>
              <w:spacing w:before="40" w:after="40" w:line="240" w:lineRule="auto"/>
              <w:rPr>
                <w:rFonts w:ascii="Times New Roman" w:hAnsi="Times New Roman" w:cs="Times New Roman"/>
                <w:strike/>
                <w:sz w:val="16"/>
                <w:szCs w:val="16"/>
              </w:rPr>
            </w:pPr>
          </w:p>
        </w:tc>
      </w:tr>
      <w:tr w:rsidR="0015622A" w:rsidRPr="006F46A5" w:rsidTr="008F7C58">
        <w:trPr>
          <w:trHeight w:val="510"/>
        </w:trPr>
        <w:tc>
          <w:tcPr>
            <w:tcW w:w="845" w:type="dxa"/>
            <w:shd w:val="clear" w:color="auto" w:fill="C6D9F1" w:themeFill="text2" w:themeFillTint="33"/>
            <w:vAlign w:val="center"/>
          </w:tcPr>
          <w:p w:rsidR="00B221B5" w:rsidRPr="006F46A5" w:rsidRDefault="00B221B5" w:rsidP="0059011D">
            <w:pPr>
              <w:spacing w:after="120" w:line="240" w:lineRule="auto"/>
              <w:rPr>
                <w:rFonts w:ascii="Times New Roman" w:hAnsi="Times New Roman" w:cs="Times New Roman"/>
                <w:b/>
                <w:sz w:val="20"/>
                <w:szCs w:val="20"/>
              </w:rPr>
            </w:pPr>
            <w:r w:rsidRPr="006F46A5">
              <w:rPr>
                <w:rFonts w:ascii="Times New Roman" w:hAnsi="Times New Roman" w:cs="Times New Roman"/>
                <w:b/>
                <w:sz w:val="20"/>
                <w:szCs w:val="20"/>
              </w:rPr>
              <w:t>OP D</w:t>
            </w:r>
          </w:p>
        </w:tc>
        <w:tc>
          <w:tcPr>
            <w:tcW w:w="845" w:type="dxa"/>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c>
          <w:tcPr>
            <w:tcW w:w="851" w:type="dxa"/>
            <w:tcBorders>
              <w:right w:val="single" w:sz="4" w:space="0" w:color="auto"/>
            </w:tcBorders>
            <w:shd w:val="clear" w:color="auto" w:fill="auto"/>
            <w:vAlign w:val="center"/>
          </w:tcPr>
          <w:p w:rsidR="00B221B5" w:rsidRPr="00041452" w:rsidRDefault="00B221B5" w:rsidP="0059011D">
            <w:pPr>
              <w:spacing w:after="120" w:line="240" w:lineRule="auto"/>
              <w:rPr>
                <w:rFonts w:ascii="Times New Roman" w:hAnsi="Times New Roman" w:cs="Times New Roman"/>
                <w:sz w:val="16"/>
                <w:szCs w:val="16"/>
              </w:rPr>
            </w:pPr>
            <w:r w:rsidRPr="00041452">
              <w:rPr>
                <w:rFonts w:ascii="Times New Roman" w:hAnsi="Times New Roman" w:cs="Times New Roman"/>
                <w:sz w:val="16"/>
                <w:szCs w:val="16"/>
              </w:rPr>
              <w:t>PO 1, TC 7</w:t>
            </w:r>
          </w:p>
          <w:p w:rsidR="00B221B5" w:rsidRPr="00041452" w:rsidRDefault="00B221B5" w:rsidP="0059011D">
            <w:pPr>
              <w:spacing w:after="120" w:line="240" w:lineRule="auto"/>
              <w:rPr>
                <w:rFonts w:ascii="Times New Roman" w:hAnsi="Times New Roman" w:cs="Times New Roman"/>
                <w:sz w:val="16"/>
                <w:szCs w:val="16"/>
              </w:rPr>
            </w:pPr>
            <w:r w:rsidRPr="00041452">
              <w:rPr>
                <w:rFonts w:ascii="Times New Roman" w:hAnsi="Times New Roman" w:cs="Times New Roman"/>
                <w:sz w:val="16"/>
                <w:szCs w:val="16"/>
              </w:rPr>
              <w:t>PO 2, TC 7</w:t>
            </w:r>
          </w:p>
          <w:p w:rsidR="00B221B5" w:rsidRPr="00041452" w:rsidRDefault="00B221B5" w:rsidP="0059011D">
            <w:pPr>
              <w:spacing w:after="120" w:line="240" w:lineRule="auto"/>
              <w:rPr>
                <w:rFonts w:ascii="Times New Roman" w:hAnsi="Times New Roman" w:cs="Times New Roman"/>
                <w:sz w:val="16"/>
                <w:szCs w:val="16"/>
              </w:rPr>
            </w:pPr>
            <w:r w:rsidRPr="00041452">
              <w:rPr>
                <w:rFonts w:ascii="Times New Roman" w:hAnsi="Times New Roman" w:cs="Times New Roman"/>
                <w:sz w:val="16"/>
                <w:szCs w:val="16"/>
              </w:rPr>
              <w:t xml:space="preserve">PO 3 TC 7 </w:t>
            </w:r>
          </w:p>
        </w:tc>
        <w:tc>
          <w:tcPr>
            <w:tcW w:w="850" w:type="dxa"/>
            <w:tcBorders>
              <w:left w:val="single" w:sz="4" w:space="0" w:color="auto"/>
            </w:tcBorders>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c>
          <w:tcPr>
            <w:tcW w:w="851" w:type="dxa"/>
            <w:tcBorders>
              <w:right w:val="single" w:sz="4" w:space="0" w:color="auto"/>
            </w:tcBorders>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c>
          <w:tcPr>
            <w:tcW w:w="850" w:type="dxa"/>
            <w:tcBorders>
              <w:left w:val="single" w:sz="4" w:space="0" w:color="auto"/>
            </w:tcBorders>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c>
          <w:tcPr>
            <w:tcW w:w="709" w:type="dxa"/>
            <w:tcBorders>
              <w:right w:val="single" w:sz="4" w:space="0" w:color="auto"/>
            </w:tcBorders>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c>
          <w:tcPr>
            <w:tcW w:w="851" w:type="dxa"/>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c>
          <w:tcPr>
            <w:tcW w:w="850" w:type="dxa"/>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c>
          <w:tcPr>
            <w:tcW w:w="709" w:type="dxa"/>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c>
          <w:tcPr>
            <w:tcW w:w="850" w:type="dxa"/>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r>
      <w:tr w:rsidR="0015622A" w:rsidRPr="006F46A5" w:rsidTr="008F7C58">
        <w:trPr>
          <w:trHeight w:val="510"/>
        </w:trPr>
        <w:tc>
          <w:tcPr>
            <w:tcW w:w="845" w:type="dxa"/>
            <w:shd w:val="clear" w:color="auto" w:fill="C6D9F1" w:themeFill="text2" w:themeFillTint="33"/>
            <w:vAlign w:val="center"/>
          </w:tcPr>
          <w:p w:rsidR="00B221B5" w:rsidRPr="006F46A5" w:rsidRDefault="00B221B5" w:rsidP="0059011D">
            <w:pPr>
              <w:spacing w:after="120" w:line="240" w:lineRule="auto"/>
              <w:rPr>
                <w:rFonts w:ascii="Times New Roman" w:hAnsi="Times New Roman" w:cs="Times New Roman"/>
                <w:b/>
                <w:sz w:val="20"/>
                <w:szCs w:val="20"/>
              </w:rPr>
            </w:pPr>
            <w:r w:rsidRPr="006F46A5">
              <w:rPr>
                <w:rFonts w:ascii="Times New Roman" w:hAnsi="Times New Roman" w:cs="Times New Roman"/>
                <w:b/>
                <w:sz w:val="20"/>
                <w:szCs w:val="20"/>
              </w:rPr>
              <w:t>OP ŽP</w:t>
            </w:r>
          </w:p>
        </w:tc>
        <w:tc>
          <w:tcPr>
            <w:tcW w:w="845" w:type="dxa"/>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c>
          <w:tcPr>
            <w:tcW w:w="851" w:type="dxa"/>
            <w:tcBorders>
              <w:right w:val="single" w:sz="4" w:space="0" w:color="auto"/>
            </w:tcBorders>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c>
          <w:tcPr>
            <w:tcW w:w="850" w:type="dxa"/>
            <w:tcBorders>
              <w:left w:val="single" w:sz="4" w:space="0" w:color="auto"/>
            </w:tcBorders>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c>
          <w:tcPr>
            <w:tcW w:w="851" w:type="dxa"/>
            <w:tcBorders>
              <w:right w:val="single" w:sz="4" w:space="0" w:color="auto"/>
            </w:tcBorders>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c>
          <w:tcPr>
            <w:tcW w:w="850" w:type="dxa"/>
            <w:tcBorders>
              <w:left w:val="single" w:sz="4" w:space="0" w:color="auto"/>
            </w:tcBorders>
            <w:shd w:val="clear" w:color="auto" w:fill="auto"/>
            <w:vAlign w:val="center"/>
          </w:tcPr>
          <w:p w:rsidR="00B221B5" w:rsidRPr="00041452" w:rsidRDefault="00B221B5" w:rsidP="0059011D">
            <w:pPr>
              <w:spacing w:after="120" w:line="240" w:lineRule="auto"/>
              <w:rPr>
                <w:rFonts w:ascii="Times New Roman" w:hAnsi="Times New Roman" w:cs="Times New Roman"/>
                <w:sz w:val="16"/>
                <w:szCs w:val="16"/>
              </w:rPr>
            </w:pPr>
            <w:r w:rsidRPr="00041452">
              <w:rPr>
                <w:rFonts w:ascii="Times New Roman" w:hAnsi="Times New Roman" w:cs="Times New Roman"/>
                <w:sz w:val="16"/>
                <w:szCs w:val="16"/>
              </w:rPr>
              <w:t>PO 1, TC 6</w:t>
            </w:r>
          </w:p>
          <w:p w:rsidR="00B221B5" w:rsidRPr="00041452" w:rsidRDefault="00B221B5" w:rsidP="0059011D">
            <w:pPr>
              <w:spacing w:after="120" w:line="240" w:lineRule="auto"/>
              <w:rPr>
                <w:rFonts w:ascii="Times New Roman" w:hAnsi="Times New Roman" w:cs="Times New Roman"/>
                <w:sz w:val="16"/>
                <w:szCs w:val="16"/>
              </w:rPr>
            </w:pPr>
            <w:r w:rsidRPr="00041452">
              <w:rPr>
                <w:rFonts w:ascii="Times New Roman" w:hAnsi="Times New Roman" w:cs="Times New Roman"/>
                <w:sz w:val="16"/>
                <w:szCs w:val="16"/>
              </w:rPr>
              <w:t>PO 2, TC 6</w:t>
            </w:r>
          </w:p>
          <w:p w:rsidR="00B221B5" w:rsidRPr="00041452" w:rsidRDefault="00B221B5" w:rsidP="0059011D">
            <w:pPr>
              <w:spacing w:after="120" w:line="240" w:lineRule="auto"/>
              <w:rPr>
                <w:rFonts w:ascii="Times New Roman" w:hAnsi="Times New Roman" w:cs="Times New Roman"/>
                <w:sz w:val="16"/>
                <w:szCs w:val="16"/>
              </w:rPr>
            </w:pPr>
            <w:r w:rsidRPr="00041452">
              <w:rPr>
                <w:rFonts w:ascii="Times New Roman" w:hAnsi="Times New Roman" w:cs="Times New Roman"/>
                <w:sz w:val="16"/>
                <w:szCs w:val="16"/>
              </w:rPr>
              <w:t xml:space="preserve">PO 3, TC 6 </w:t>
            </w:r>
          </w:p>
          <w:p w:rsidR="00B221B5" w:rsidRPr="00041452" w:rsidRDefault="00B221B5" w:rsidP="0059011D">
            <w:pPr>
              <w:spacing w:after="120" w:line="240" w:lineRule="auto"/>
              <w:rPr>
                <w:rFonts w:ascii="Times New Roman" w:hAnsi="Times New Roman" w:cs="Times New Roman"/>
                <w:sz w:val="16"/>
                <w:szCs w:val="16"/>
              </w:rPr>
            </w:pPr>
            <w:r w:rsidRPr="00041452">
              <w:rPr>
                <w:rFonts w:ascii="Times New Roman" w:hAnsi="Times New Roman" w:cs="Times New Roman"/>
                <w:sz w:val="16"/>
                <w:szCs w:val="16"/>
              </w:rPr>
              <w:t>PO 4, TC 6</w:t>
            </w:r>
          </w:p>
          <w:p w:rsidR="00B221B5" w:rsidRPr="00041452" w:rsidRDefault="00B221B5" w:rsidP="0059011D">
            <w:pPr>
              <w:spacing w:after="120" w:line="240" w:lineRule="auto"/>
              <w:rPr>
                <w:rFonts w:ascii="Times New Roman" w:hAnsi="Times New Roman" w:cs="Times New Roman"/>
                <w:sz w:val="16"/>
                <w:szCs w:val="16"/>
              </w:rPr>
            </w:pPr>
            <w:r w:rsidRPr="00041452">
              <w:rPr>
                <w:rFonts w:ascii="Times New Roman" w:hAnsi="Times New Roman" w:cs="Times New Roman"/>
                <w:sz w:val="16"/>
                <w:szCs w:val="16"/>
              </w:rPr>
              <w:t>PO 5, TC 4</w:t>
            </w:r>
          </w:p>
        </w:tc>
        <w:tc>
          <w:tcPr>
            <w:tcW w:w="709" w:type="dxa"/>
            <w:tcBorders>
              <w:right w:val="single" w:sz="4" w:space="0" w:color="auto"/>
            </w:tcBorders>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c>
          <w:tcPr>
            <w:tcW w:w="851" w:type="dxa"/>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c>
          <w:tcPr>
            <w:tcW w:w="850" w:type="dxa"/>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c>
          <w:tcPr>
            <w:tcW w:w="709" w:type="dxa"/>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c>
          <w:tcPr>
            <w:tcW w:w="850" w:type="dxa"/>
            <w:shd w:val="clear" w:color="auto" w:fill="auto"/>
            <w:vAlign w:val="center"/>
          </w:tcPr>
          <w:p w:rsidR="00B221B5" w:rsidRPr="00041452" w:rsidRDefault="00B221B5" w:rsidP="0059011D">
            <w:pPr>
              <w:spacing w:before="40" w:after="40" w:line="240" w:lineRule="auto"/>
              <w:rPr>
                <w:rFonts w:ascii="Times New Roman" w:hAnsi="Times New Roman" w:cs="Times New Roman"/>
                <w:strike/>
                <w:sz w:val="16"/>
                <w:szCs w:val="16"/>
              </w:rPr>
            </w:pPr>
          </w:p>
        </w:tc>
      </w:tr>
      <w:tr w:rsidR="0015622A" w:rsidRPr="006F46A5" w:rsidTr="008F7C58">
        <w:trPr>
          <w:trHeight w:val="510"/>
        </w:trPr>
        <w:tc>
          <w:tcPr>
            <w:tcW w:w="845" w:type="dxa"/>
            <w:shd w:val="clear" w:color="auto" w:fill="C6D9F1" w:themeFill="text2" w:themeFillTint="33"/>
            <w:vAlign w:val="center"/>
          </w:tcPr>
          <w:p w:rsidR="00B221B5" w:rsidRPr="006F46A5" w:rsidRDefault="00B221B5" w:rsidP="0059011D">
            <w:pPr>
              <w:spacing w:after="120" w:line="240" w:lineRule="auto"/>
              <w:rPr>
                <w:rFonts w:ascii="Times New Roman" w:hAnsi="Times New Roman" w:cs="Times New Roman"/>
                <w:b/>
                <w:sz w:val="20"/>
                <w:szCs w:val="20"/>
              </w:rPr>
            </w:pPr>
            <w:r w:rsidRPr="006F46A5">
              <w:rPr>
                <w:rFonts w:ascii="Times New Roman" w:hAnsi="Times New Roman" w:cs="Times New Roman"/>
                <w:b/>
                <w:sz w:val="20"/>
                <w:szCs w:val="20"/>
              </w:rPr>
              <w:t>IROP</w:t>
            </w:r>
          </w:p>
        </w:tc>
        <w:tc>
          <w:tcPr>
            <w:tcW w:w="845" w:type="dxa"/>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c>
          <w:tcPr>
            <w:tcW w:w="851" w:type="dxa"/>
            <w:tcBorders>
              <w:right w:val="single" w:sz="4" w:space="0" w:color="auto"/>
            </w:tcBorders>
            <w:shd w:val="clear" w:color="auto" w:fill="auto"/>
            <w:vAlign w:val="center"/>
          </w:tcPr>
          <w:p w:rsidR="00B221B5" w:rsidRPr="00041452" w:rsidRDefault="00B221B5" w:rsidP="0059011D">
            <w:pPr>
              <w:spacing w:after="120" w:line="240" w:lineRule="auto"/>
              <w:rPr>
                <w:rFonts w:ascii="Times New Roman" w:hAnsi="Times New Roman" w:cs="Times New Roman"/>
                <w:sz w:val="16"/>
                <w:szCs w:val="16"/>
              </w:rPr>
            </w:pPr>
            <w:r w:rsidRPr="00041452">
              <w:rPr>
                <w:rFonts w:ascii="Times New Roman" w:hAnsi="Times New Roman" w:cs="Times New Roman"/>
                <w:sz w:val="16"/>
                <w:szCs w:val="16"/>
              </w:rPr>
              <w:t>PO 1, TC 7</w:t>
            </w:r>
          </w:p>
        </w:tc>
        <w:tc>
          <w:tcPr>
            <w:tcW w:w="850" w:type="dxa"/>
            <w:tcBorders>
              <w:left w:val="single" w:sz="4" w:space="0" w:color="auto"/>
            </w:tcBorders>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c>
          <w:tcPr>
            <w:tcW w:w="851" w:type="dxa"/>
            <w:tcBorders>
              <w:right w:val="single" w:sz="4" w:space="0" w:color="auto"/>
            </w:tcBorders>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c>
          <w:tcPr>
            <w:tcW w:w="850" w:type="dxa"/>
            <w:tcBorders>
              <w:left w:val="single" w:sz="4" w:space="0" w:color="auto"/>
            </w:tcBorders>
            <w:shd w:val="clear" w:color="auto" w:fill="auto"/>
            <w:vAlign w:val="center"/>
          </w:tcPr>
          <w:p w:rsidR="00B221B5" w:rsidRPr="00041452" w:rsidRDefault="00B221B5" w:rsidP="0059011D">
            <w:pPr>
              <w:spacing w:after="120" w:line="240" w:lineRule="auto"/>
              <w:rPr>
                <w:rFonts w:ascii="Times New Roman" w:hAnsi="Times New Roman" w:cs="Times New Roman"/>
                <w:sz w:val="16"/>
                <w:szCs w:val="16"/>
              </w:rPr>
            </w:pPr>
            <w:r w:rsidRPr="00041452">
              <w:rPr>
                <w:rFonts w:ascii="Times New Roman" w:hAnsi="Times New Roman" w:cs="Times New Roman"/>
                <w:sz w:val="16"/>
                <w:szCs w:val="16"/>
              </w:rPr>
              <w:t>PO 1, TC 4</w:t>
            </w:r>
          </w:p>
          <w:p w:rsidR="00B221B5" w:rsidRPr="00041452" w:rsidRDefault="00B221B5" w:rsidP="0059011D">
            <w:pPr>
              <w:spacing w:after="120" w:line="240" w:lineRule="auto"/>
              <w:rPr>
                <w:rFonts w:ascii="Times New Roman" w:hAnsi="Times New Roman" w:cs="Times New Roman"/>
                <w:sz w:val="16"/>
                <w:szCs w:val="16"/>
              </w:rPr>
            </w:pPr>
            <w:r w:rsidRPr="00041452">
              <w:rPr>
                <w:rFonts w:ascii="Times New Roman" w:hAnsi="Times New Roman" w:cs="Times New Roman"/>
                <w:sz w:val="16"/>
                <w:szCs w:val="16"/>
              </w:rPr>
              <w:t>PO 1, TC 5</w:t>
            </w:r>
          </w:p>
          <w:p w:rsidR="00B221B5" w:rsidRPr="00041452" w:rsidRDefault="00B221B5" w:rsidP="0059011D">
            <w:pPr>
              <w:spacing w:after="120" w:line="240" w:lineRule="auto"/>
              <w:rPr>
                <w:rFonts w:ascii="Times New Roman" w:hAnsi="Times New Roman" w:cs="Times New Roman"/>
                <w:sz w:val="16"/>
                <w:szCs w:val="16"/>
              </w:rPr>
            </w:pPr>
            <w:r w:rsidRPr="00041452">
              <w:rPr>
                <w:rFonts w:ascii="Times New Roman" w:hAnsi="Times New Roman" w:cs="Times New Roman"/>
                <w:sz w:val="16"/>
                <w:szCs w:val="16"/>
              </w:rPr>
              <w:t>PO 2, TC 4</w:t>
            </w:r>
          </w:p>
        </w:tc>
        <w:tc>
          <w:tcPr>
            <w:tcW w:w="709" w:type="dxa"/>
            <w:tcBorders>
              <w:right w:val="single" w:sz="4" w:space="0" w:color="auto"/>
            </w:tcBorders>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c>
          <w:tcPr>
            <w:tcW w:w="851" w:type="dxa"/>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c>
          <w:tcPr>
            <w:tcW w:w="850" w:type="dxa"/>
            <w:shd w:val="clear" w:color="auto" w:fill="auto"/>
            <w:vAlign w:val="center"/>
          </w:tcPr>
          <w:p w:rsidR="00B221B5" w:rsidRPr="00041452" w:rsidRDefault="00B221B5" w:rsidP="0059011D">
            <w:pPr>
              <w:spacing w:after="120" w:line="240" w:lineRule="auto"/>
              <w:rPr>
                <w:rFonts w:ascii="Times New Roman" w:hAnsi="Times New Roman" w:cs="Times New Roman"/>
                <w:sz w:val="16"/>
                <w:szCs w:val="16"/>
              </w:rPr>
            </w:pPr>
            <w:r w:rsidRPr="00041452">
              <w:rPr>
                <w:rFonts w:ascii="Times New Roman" w:hAnsi="Times New Roman" w:cs="Times New Roman"/>
                <w:sz w:val="16"/>
                <w:szCs w:val="16"/>
              </w:rPr>
              <w:t>PO 2, TC 9</w:t>
            </w:r>
          </w:p>
        </w:tc>
        <w:tc>
          <w:tcPr>
            <w:tcW w:w="709" w:type="dxa"/>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c>
          <w:tcPr>
            <w:tcW w:w="850" w:type="dxa"/>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r>
      <w:tr w:rsidR="0015622A" w:rsidRPr="006F46A5" w:rsidTr="008F7C58">
        <w:trPr>
          <w:trHeight w:val="510"/>
        </w:trPr>
        <w:tc>
          <w:tcPr>
            <w:tcW w:w="845" w:type="dxa"/>
            <w:shd w:val="clear" w:color="auto" w:fill="C6D9F1" w:themeFill="text2" w:themeFillTint="33"/>
            <w:vAlign w:val="center"/>
          </w:tcPr>
          <w:p w:rsidR="00B221B5" w:rsidRPr="006F46A5" w:rsidRDefault="00B221B5" w:rsidP="0059011D">
            <w:pPr>
              <w:spacing w:after="120" w:line="240" w:lineRule="auto"/>
              <w:rPr>
                <w:rFonts w:ascii="Times New Roman" w:hAnsi="Times New Roman" w:cs="Times New Roman"/>
                <w:b/>
                <w:sz w:val="20"/>
                <w:szCs w:val="20"/>
              </w:rPr>
            </w:pPr>
            <w:r w:rsidRPr="006F46A5">
              <w:rPr>
                <w:rFonts w:ascii="Times New Roman" w:hAnsi="Times New Roman" w:cs="Times New Roman"/>
                <w:b/>
                <w:sz w:val="20"/>
                <w:szCs w:val="20"/>
              </w:rPr>
              <w:t>PRV</w:t>
            </w:r>
          </w:p>
        </w:tc>
        <w:tc>
          <w:tcPr>
            <w:tcW w:w="845" w:type="dxa"/>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c>
          <w:tcPr>
            <w:tcW w:w="851" w:type="dxa"/>
            <w:tcBorders>
              <w:right w:val="single" w:sz="4" w:space="0" w:color="auto"/>
            </w:tcBorders>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c>
          <w:tcPr>
            <w:tcW w:w="850" w:type="dxa"/>
            <w:tcBorders>
              <w:left w:val="single" w:sz="4" w:space="0" w:color="auto"/>
            </w:tcBorders>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c>
          <w:tcPr>
            <w:tcW w:w="851" w:type="dxa"/>
            <w:tcBorders>
              <w:right w:val="single" w:sz="4" w:space="0" w:color="auto"/>
            </w:tcBorders>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c>
          <w:tcPr>
            <w:tcW w:w="850" w:type="dxa"/>
            <w:tcBorders>
              <w:left w:val="single" w:sz="4" w:space="0" w:color="auto"/>
            </w:tcBorders>
            <w:shd w:val="clear" w:color="auto" w:fill="auto"/>
            <w:vAlign w:val="center"/>
          </w:tcPr>
          <w:p w:rsidR="00B221B5" w:rsidRPr="00041452" w:rsidRDefault="00B221B5" w:rsidP="0059011D">
            <w:pPr>
              <w:spacing w:after="120" w:line="240" w:lineRule="auto"/>
              <w:rPr>
                <w:rFonts w:ascii="Times New Roman" w:hAnsi="Times New Roman" w:cs="Times New Roman"/>
                <w:sz w:val="16"/>
                <w:szCs w:val="16"/>
              </w:rPr>
            </w:pPr>
            <w:r w:rsidRPr="00041452">
              <w:rPr>
                <w:rFonts w:ascii="Times New Roman" w:hAnsi="Times New Roman" w:cs="Times New Roman"/>
                <w:sz w:val="16"/>
                <w:szCs w:val="16"/>
              </w:rPr>
              <w:t>PO 4, TC 6</w:t>
            </w:r>
          </w:p>
          <w:p w:rsidR="00B221B5" w:rsidRPr="00041452" w:rsidRDefault="00B221B5" w:rsidP="0059011D">
            <w:pPr>
              <w:spacing w:after="120" w:line="240" w:lineRule="auto"/>
              <w:rPr>
                <w:rFonts w:ascii="Times New Roman" w:hAnsi="Times New Roman" w:cs="Times New Roman"/>
                <w:sz w:val="16"/>
                <w:szCs w:val="16"/>
              </w:rPr>
            </w:pPr>
            <w:r w:rsidRPr="00041452">
              <w:rPr>
                <w:rFonts w:ascii="Times New Roman" w:hAnsi="Times New Roman" w:cs="Times New Roman"/>
                <w:sz w:val="16"/>
                <w:szCs w:val="16"/>
              </w:rPr>
              <w:t>PO 5, TC 6</w:t>
            </w:r>
          </w:p>
        </w:tc>
        <w:tc>
          <w:tcPr>
            <w:tcW w:w="709" w:type="dxa"/>
            <w:tcBorders>
              <w:right w:val="single" w:sz="4" w:space="0" w:color="auto"/>
            </w:tcBorders>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c>
          <w:tcPr>
            <w:tcW w:w="851" w:type="dxa"/>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c>
          <w:tcPr>
            <w:tcW w:w="850" w:type="dxa"/>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c>
          <w:tcPr>
            <w:tcW w:w="709" w:type="dxa"/>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c>
          <w:tcPr>
            <w:tcW w:w="850" w:type="dxa"/>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r>
      <w:tr w:rsidR="0015622A" w:rsidRPr="006F46A5" w:rsidTr="008F7C58">
        <w:trPr>
          <w:trHeight w:val="510"/>
        </w:trPr>
        <w:tc>
          <w:tcPr>
            <w:tcW w:w="845" w:type="dxa"/>
            <w:shd w:val="clear" w:color="auto" w:fill="C6D9F1" w:themeFill="text2" w:themeFillTint="33"/>
            <w:vAlign w:val="center"/>
          </w:tcPr>
          <w:p w:rsidR="00B221B5" w:rsidRPr="006F46A5" w:rsidRDefault="00B221B5" w:rsidP="0059011D">
            <w:pPr>
              <w:spacing w:after="120" w:line="240" w:lineRule="auto"/>
              <w:rPr>
                <w:rFonts w:ascii="Times New Roman" w:hAnsi="Times New Roman" w:cs="Times New Roman"/>
                <w:b/>
                <w:sz w:val="20"/>
                <w:szCs w:val="20"/>
              </w:rPr>
            </w:pPr>
            <w:r w:rsidRPr="006F46A5">
              <w:rPr>
                <w:rFonts w:ascii="Times New Roman" w:hAnsi="Times New Roman" w:cs="Times New Roman"/>
                <w:b/>
                <w:sz w:val="20"/>
                <w:szCs w:val="20"/>
              </w:rPr>
              <w:t>OP PPR</w:t>
            </w:r>
          </w:p>
        </w:tc>
        <w:tc>
          <w:tcPr>
            <w:tcW w:w="845" w:type="dxa"/>
            <w:shd w:val="clear" w:color="auto" w:fill="auto"/>
            <w:vAlign w:val="center"/>
          </w:tcPr>
          <w:p w:rsidR="00B221B5" w:rsidRPr="00041452" w:rsidRDefault="00B221B5" w:rsidP="0059011D">
            <w:pPr>
              <w:spacing w:after="120" w:line="240" w:lineRule="auto"/>
              <w:rPr>
                <w:rFonts w:ascii="Times New Roman" w:hAnsi="Times New Roman" w:cs="Times New Roman"/>
                <w:sz w:val="16"/>
                <w:szCs w:val="16"/>
              </w:rPr>
            </w:pPr>
            <w:r w:rsidRPr="00041452">
              <w:rPr>
                <w:rFonts w:ascii="Times New Roman" w:hAnsi="Times New Roman" w:cs="Times New Roman"/>
                <w:sz w:val="16"/>
                <w:szCs w:val="16"/>
              </w:rPr>
              <w:t xml:space="preserve">PO 1, TC 1 </w:t>
            </w:r>
          </w:p>
          <w:p w:rsidR="00B221B5" w:rsidRPr="00041452" w:rsidRDefault="00B221B5" w:rsidP="0059011D">
            <w:pPr>
              <w:spacing w:before="40" w:after="40" w:line="240" w:lineRule="auto"/>
              <w:rPr>
                <w:rFonts w:ascii="Times New Roman" w:hAnsi="Times New Roman" w:cs="Times New Roman"/>
                <w:sz w:val="16"/>
                <w:szCs w:val="16"/>
              </w:rPr>
            </w:pPr>
          </w:p>
        </w:tc>
        <w:tc>
          <w:tcPr>
            <w:tcW w:w="851" w:type="dxa"/>
            <w:tcBorders>
              <w:right w:val="single" w:sz="4" w:space="0" w:color="auto"/>
            </w:tcBorders>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c>
          <w:tcPr>
            <w:tcW w:w="850" w:type="dxa"/>
            <w:tcBorders>
              <w:left w:val="single" w:sz="4" w:space="0" w:color="auto"/>
            </w:tcBorders>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c>
          <w:tcPr>
            <w:tcW w:w="851" w:type="dxa"/>
            <w:tcBorders>
              <w:right w:val="single" w:sz="4" w:space="0" w:color="auto"/>
            </w:tcBorders>
            <w:shd w:val="clear" w:color="auto" w:fill="auto"/>
            <w:vAlign w:val="center"/>
          </w:tcPr>
          <w:p w:rsidR="00B221B5" w:rsidRPr="00041452" w:rsidRDefault="00B221B5" w:rsidP="0059011D">
            <w:pPr>
              <w:spacing w:after="120" w:line="240" w:lineRule="auto"/>
              <w:rPr>
                <w:rFonts w:ascii="Times New Roman" w:hAnsi="Times New Roman" w:cs="Times New Roman"/>
                <w:sz w:val="16"/>
                <w:szCs w:val="16"/>
              </w:rPr>
            </w:pPr>
            <w:r w:rsidRPr="00041452">
              <w:rPr>
                <w:rFonts w:ascii="Times New Roman" w:hAnsi="Times New Roman" w:cs="Times New Roman"/>
                <w:sz w:val="16"/>
                <w:szCs w:val="16"/>
              </w:rPr>
              <w:t>PO 1, TC 3</w:t>
            </w:r>
          </w:p>
        </w:tc>
        <w:tc>
          <w:tcPr>
            <w:tcW w:w="850" w:type="dxa"/>
            <w:tcBorders>
              <w:left w:val="single" w:sz="4" w:space="0" w:color="auto"/>
            </w:tcBorders>
            <w:shd w:val="clear" w:color="auto" w:fill="auto"/>
            <w:vAlign w:val="center"/>
          </w:tcPr>
          <w:p w:rsidR="00B221B5" w:rsidRPr="00041452" w:rsidRDefault="00B221B5" w:rsidP="0059011D">
            <w:pPr>
              <w:spacing w:after="120" w:line="240" w:lineRule="auto"/>
              <w:rPr>
                <w:rFonts w:ascii="Times New Roman" w:hAnsi="Times New Roman" w:cs="Times New Roman"/>
                <w:sz w:val="16"/>
                <w:szCs w:val="16"/>
              </w:rPr>
            </w:pPr>
            <w:r w:rsidRPr="00041452">
              <w:rPr>
                <w:rFonts w:ascii="Times New Roman" w:hAnsi="Times New Roman" w:cs="Times New Roman"/>
                <w:sz w:val="16"/>
                <w:szCs w:val="16"/>
              </w:rPr>
              <w:t>PO 2, TC 4</w:t>
            </w:r>
          </w:p>
        </w:tc>
        <w:tc>
          <w:tcPr>
            <w:tcW w:w="709" w:type="dxa"/>
            <w:tcBorders>
              <w:right w:val="single" w:sz="4" w:space="0" w:color="auto"/>
            </w:tcBorders>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c>
          <w:tcPr>
            <w:tcW w:w="851" w:type="dxa"/>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c>
          <w:tcPr>
            <w:tcW w:w="850" w:type="dxa"/>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c>
          <w:tcPr>
            <w:tcW w:w="709" w:type="dxa"/>
            <w:shd w:val="clear" w:color="auto" w:fill="auto"/>
            <w:vAlign w:val="center"/>
          </w:tcPr>
          <w:p w:rsidR="00B221B5" w:rsidRPr="00041452" w:rsidRDefault="00B221B5" w:rsidP="0059011D">
            <w:pPr>
              <w:spacing w:after="120" w:line="240" w:lineRule="auto"/>
              <w:rPr>
                <w:rFonts w:ascii="Times New Roman" w:hAnsi="Times New Roman" w:cs="Times New Roman"/>
                <w:sz w:val="16"/>
                <w:szCs w:val="16"/>
              </w:rPr>
            </w:pPr>
            <w:r w:rsidRPr="00041452">
              <w:rPr>
                <w:rFonts w:ascii="Times New Roman" w:hAnsi="Times New Roman" w:cs="Times New Roman"/>
                <w:sz w:val="16"/>
                <w:szCs w:val="16"/>
              </w:rPr>
              <w:t xml:space="preserve">PO 3, TC 9 </w:t>
            </w:r>
          </w:p>
        </w:tc>
        <w:tc>
          <w:tcPr>
            <w:tcW w:w="850" w:type="dxa"/>
            <w:shd w:val="clear" w:color="auto" w:fill="auto"/>
            <w:vAlign w:val="center"/>
          </w:tcPr>
          <w:p w:rsidR="00B221B5" w:rsidRPr="00041452" w:rsidRDefault="00B221B5" w:rsidP="0059011D">
            <w:pPr>
              <w:spacing w:before="40" w:after="40" w:line="240" w:lineRule="auto"/>
              <w:rPr>
                <w:rFonts w:ascii="Times New Roman" w:hAnsi="Times New Roman" w:cs="Times New Roman"/>
                <w:sz w:val="16"/>
                <w:szCs w:val="16"/>
              </w:rPr>
            </w:pPr>
          </w:p>
        </w:tc>
      </w:tr>
    </w:tbl>
    <w:p w:rsidR="00B221B5" w:rsidRPr="000B521F" w:rsidRDefault="00B221B5" w:rsidP="0059011D">
      <w:pPr>
        <w:spacing w:after="120" w:line="240" w:lineRule="auto"/>
        <w:jc w:val="both"/>
        <w:rPr>
          <w:rFonts w:ascii="Times New Roman" w:hAnsi="Times New Roman" w:cs="Times New Roman"/>
          <w:b/>
          <w:sz w:val="24"/>
          <w:szCs w:val="24"/>
          <w:u w:val="single"/>
        </w:rPr>
      </w:pPr>
    </w:p>
    <w:p w:rsidR="00B221B5" w:rsidRPr="000B521F" w:rsidRDefault="00B221B5" w:rsidP="0059011D">
      <w:pPr>
        <w:spacing w:after="120" w:line="240" w:lineRule="auto"/>
        <w:jc w:val="both"/>
        <w:rPr>
          <w:rFonts w:ascii="Times New Roman" w:hAnsi="Times New Roman" w:cs="Times New Roman"/>
          <w:b/>
          <w:sz w:val="24"/>
          <w:szCs w:val="24"/>
          <w:u w:val="single"/>
        </w:rPr>
      </w:pPr>
      <w:r w:rsidRPr="000B521F">
        <w:rPr>
          <w:rFonts w:ascii="Times New Roman" w:hAnsi="Times New Roman" w:cs="Times New Roman"/>
          <w:b/>
          <w:sz w:val="24"/>
          <w:szCs w:val="24"/>
          <w:u w:val="single"/>
        </w:rPr>
        <w:t>Vazby mezi programy ESIF a národními programy</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Vzájemné komplementární a synergické vazby, které by multiplikovaně přispěly k naplňování tematických cílů ESIF a cílů Strategie 2020, je možné identifikovat rovněž mezi programy ESIF a národními programy. Národní programy doplňují programy ESIF v těch oblastech, které nejsou programy ESIF pokryty (bílá místa), případně dochází mezi ESIF a národními programy k doplňkovosti z důvodů. Národní programy jsou většinou navrhovány a schvalovány na roční období, tzn. sledují zejména krátkodobé cíle. </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Příkladem doplňkovosti programů ESIF a národního programu je oblast energetických úspor. Prostřednictvím naplňování tematického cíle 4, v rámci kterého jsou realizovány intervence v OP PIK, IROP, OP ŽP, OP PPR a také prostřednictvím naplňování cílů programů Nová </w:t>
      </w:r>
      <w:r w:rsidRPr="000B521F">
        <w:rPr>
          <w:rFonts w:ascii="Times New Roman" w:hAnsi="Times New Roman" w:cs="Times New Roman"/>
          <w:sz w:val="24"/>
          <w:szCs w:val="24"/>
        </w:rPr>
        <w:lastRenderedPageBreak/>
        <w:t>zelená úsporám a Panel 2013+ je dosahováno multiplikovaných výsledků v oblasti energetických úspor. Pro tyto účely je také nastaven mechanismus koordinace.</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Konkrétní vazby mezi programy ESIF a národními programy jsou součástí relevantních programů ESIF, kde je i popsán způsob koordinace a řízení těchto vazeb.</w:t>
      </w:r>
    </w:p>
    <w:p w:rsidR="000B521F" w:rsidRPr="000B521F" w:rsidRDefault="000B521F" w:rsidP="0059011D">
      <w:pPr>
        <w:spacing w:after="120" w:line="240" w:lineRule="auto"/>
        <w:rPr>
          <w:rFonts w:ascii="Times New Roman" w:hAnsi="Times New Roman" w:cs="Times New Roman"/>
          <w:b/>
          <w:sz w:val="24"/>
          <w:szCs w:val="24"/>
          <w:u w:val="single"/>
        </w:rPr>
      </w:pPr>
    </w:p>
    <w:p w:rsidR="00B221B5" w:rsidRPr="000B521F" w:rsidRDefault="00B221B5" w:rsidP="0059011D">
      <w:pPr>
        <w:spacing w:after="120" w:line="240" w:lineRule="auto"/>
        <w:rPr>
          <w:rFonts w:ascii="Times New Roman" w:hAnsi="Times New Roman" w:cs="Times New Roman"/>
          <w:b/>
          <w:sz w:val="24"/>
          <w:szCs w:val="24"/>
          <w:u w:val="single"/>
        </w:rPr>
      </w:pPr>
      <w:r w:rsidRPr="000B521F">
        <w:rPr>
          <w:rFonts w:ascii="Times New Roman" w:hAnsi="Times New Roman" w:cs="Times New Roman"/>
          <w:b/>
          <w:sz w:val="24"/>
          <w:szCs w:val="24"/>
          <w:u w:val="single"/>
        </w:rPr>
        <w:t>Vazby mezi programy ESIF a nástroji EIB</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V případě využití finančních nástrojů je předpokládaná vazba na EIB relevantní, jednotlivé intervence však budou vznikat podle jednotlivých připravovaných projektů.</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Detailní přehled všech synergických vazeb jak mezi programy ESIF, tak i mezi ESIF a Unijními a národními programy, včetně konkrétních nástrojů koordinace je součástí relevantních programů ESIF, řídícího dokumentu MMR NOK a Strategických realizačních plánů.</w:t>
      </w:r>
    </w:p>
    <w:p w:rsidR="00B221B5" w:rsidRPr="000B521F" w:rsidRDefault="00B221B5" w:rsidP="0059011D">
      <w:pPr>
        <w:spacing w:after="120" w:line="240" w:lineRule="auto"/>
        <w:rPr>
          <w:rFonts w:ascii="Times New Roman" w:hAnsi="Times New Roman" w:cs="Times New Roman"/>
          <w:b/>
          <w:sz w:val="24"/>
          <w:szCs w:val="24"/>
        </w:rPr>
      </w:pPr>
      <w:r w:rsidRPr="000B521F">
        <w:rPr>
          <w:rFonts w:ascii="Times New Roman" w:hAnsi="Times New Roman" w:cs="Times New Roman"/>
          <w:b/>
          <w:sz w:val="24"/>
          <w:szCs w:val="24"/>
        </w:rPr>
        <w:t xml:space="preserve">2.1.3 Opatření a struktura ke koordinaci podpory ESIF </w:t>
      </w:r>
    </w:p>
    <w:p w:rsidR="00B221B5" w:rsidRPr="000B521F" w:rsidRDefault="00B221B5" w:rsidP="0059011D">
      <w:pPr>
        <w:autoSpaceDE w:val="0"/>
        <w:autoSpaceDN w:val="0"/>
        <w:adjustRightInd w:val="0"/>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Na úrovni Dohody o partnerství je koordinace mezi fondy, programy a dalšími nástroji vnímána jako klíčový prvek programování a následné realizace. Dohoda o partnerství stanovuje základní východiska, jejichž respektováním bude možné docílit maximální komplementarity a synergie (věcný, finanční a časový soulad) v rámci a především mezi programy ESIF. </w:t>
      </w:r>
    </w:p>
    <w:p w:rsidR="00B221B5" w:rsidRPr="000B521F" w:rsidRDefault="00B221B5" w:rsidP="0059011D">
      <w:pPr>
        <w:autoSpaceDE w:val="0"/>
        <w:autoSpaceDN w:val="0"/>
        <w:adjustRightInd w:val="0"/>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Pravidla řízení Dohody o partnerství specifikují klíčové činnosti a role jednotlivých subjektů v implementaci, cílem je tedy zajištění institucionálního a procesního řízení všech ESI fondů za účelem naplnění cílů Dohody o partnerství a to i v oblasti synergií. Pravidla řízení Dohody stanovují základní rámec činností nezbytných pro účely naplnění cílů Dohody o partnerství. Pro potřeby definování konkrétních činností a odpovědností na úrovni programů jsou mj. vytvářeny operační manuály a další dokumenty k řízení a koordinaci.</w:t>
      </w:r>
    </w:p>
    <w:p w:rsidR="00B221B5" w:rsidRPr="000B521F" w:rsidRDefault="00B221B5" w:rsidP="0059011D">
      <w:pPr>
        <w:autoSpaceDE w:val="0"/>
        <w:autoSpaceDN w:val="0"/>
        <w:adjustRightInd w:val="0"/>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Metodické nastavení řízení synergií a komplementarit v různých fázích programování je upraveno v odpovídajících pokynech, které jsou součástí jednotného metodického prostředí, a dále v dokumentech, které jsou připravovány pro koordinaci synergií.</w:t>
      </w:r>
    </w:p>
    <w:p w:rsidR="00B221B5" w:rsidRPr="000B521F" w:rsidRDefault="00B221B5" w:rsidP="0059011D">
      <w:pPr>
        <w:autoSpaceDE w:val="0"/>
        <w:autoSpaceDN w:val="0"/>
        <w:adjustRightInd w:val="0"/>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Koordinace je nutná na všech úrovních implementace programů ESIF, včetně úzké provazby na národní programy a nástroje (politiky) EU. Jak je znázorněno v dalším schématu, systém koordinace synergií musí vycházet od nastavení cílů k jejich zabudování do programů až po jejich zhodnocení a návrh na případné změny v rámci zaměření realizovaných intervencí. Zpětná vazba v podobě zhodnocení výsledků či dopadů realizovaných synergických intervencí je zásadní pro nastavení takových intervencí, které přinesou přidanou hodnotu jak pro samotné čerpání EU prostředků, tak i pro ekonomiku České republiky. Zjištěné výsledky z implementace synergií jsou nástrojem pro možné odlišné nastavení původní strategie, především na úrovni programů, výjimečně na úrovni Dohody o partnerství.</w:t>
      </w:r>
    </w:p>
    <w:p w:rsidR="00B221B5" w:rsidRPr="000B521F" w:rsidRDefault="00B221B5" w:rsidP="0059011D">
      <w:pPr>
        <w:autoSpaceDE w:val="0"/>
        <w:autoSpaceDN w:val="0"/>
        <w:adjustRightInd w:val="0"/>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Koordinace synergií zároveň znamená, že na každé dílčí úrovni musí probíhat interaktivní dialog subjektů zapojených do implementace synergií, které kromě věcného vymezení a nastavení samotných synergií mají i rozhodovací pravomoc tak, aby dané intervence mohly být zakomponovány do realizace programů. </w:t>
      </w:r>
    </w:p>
    <w:p w:rsidR="00B221B5" w:rsidRPr="000B521F" w:rsidRDefault="001B1068" w:rsidP="0059011D">
      <w:pPr>
        <w:spacing w:after="12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cs-CZ"/>
        </w:rPr>
        <w:lastRenderedPageBreak/>
        <w:drawing>
          <wp:inline distT="0" distB="0" distL="0" distR="0">
            <wp:extent cx="5753100" cy="3000375"/>
            <wp:effectExtent l="0" t="0" r="0" b="9525"/>
            <wp:docPr id="2057"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000375"/>
                    </a:xfrm>
                    <a:prstGeom prst="rect">
                      <a:avLst/>
                    </a:prstGeom>
                    <a:noFill/>
                    <a:ln>
                      <a:noFill/>
                    </a:ln>
                  </pic:spPr>
                </pic:pic>
              </a:graphicData>
            </a:graphic>
          </wp:inline>
        </w:drawing>
      </w:r>
    </w:p>
    <w:p w:rsidR="00B221B5" w:rsidRPr="000B521F" w:rsidRDefault="00B221B5" w:rsidP="0059011D">
      <w:pPr>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2.1.4 Koordinační mechanismy mezi subjekty odpovědnými za implementaci synergií</w:t>
      </w:r>
    </w:p>
    <w:p w:rsidR="00B221B5" w:rsidRPr="000B521F" w:rsidRDefault="00B221B5" w:rsidP="0059011D">
      <w:pPr>
        <w:autoSpaceDE w:val="0"/>
        <w:autoSpaceDN w:val="0"/>
        <w:adjustRightInd w:val="0"/>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Způsob zajištění koordinace podpory ESIF je rozdělen do dvou pilířů: </w:t>
      </w:r>
    </w:p>
    <w:p w:rsidR="008206A4" w:rsidRPr="000B521F" w:rsidRDefault="00B221B5" w:rsidP="0059011D">
      <w:pPr>
        <w:pStyle w:val="Odstavecseseznamem"/>
        <w:numPr>
          <w:ilvl w:val="0"/>
          <w:numId w:val="52"/>
        </w:num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Institucionální zajištění mechanismů koordinace.</w:t>
      </w:r>
    </w:p>
    <w:p w:rsidR="008206A4" w:rsidRPr="000B521F" w:rsidRDefault="00B221B5" w:rsidP="0059011D">
      <w:pPr>
        <w:pStyle w:val="Odstavecseseznamem"/>
        <w:numPr>
          <w:ilvl w:val="0"/>
          <w:numId w:val="52"/>
        </w:num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Nástroje mechanismů koordinace.</w:t>
      </w:r>
    </w:p>
    <w:p w:rsidR="000B521F" w:rsidRPr="000B521F" w:rsidRDefault="000B521F" w:rsidP="0059011D">
      <w:pPr>
        <w:autoSpaceDE w:val="0"/>
        <w:autoSpaceDN w:val="0"/>
        <w:adjustRightInd w:val="0"/>
        <w:spacing w:after="120" w:line="240" w:lineRule="auto"/>
        <w:jc w:val="both"/>
        <w:rPr>
          <w:rFonts w:ascii="Times New Roman" w:hAnsi="Times New Roman" w:cs="Times New Roman"/>
          <w:b/>
          <w:sz w:val="24"/>
          <w:szCs w:val="24"/>
          <w:u w:val="single"/>
        </w:rPr>
      </w:pPr>
    </w:p>
    <w:p w:rsidR="00B221B5" w:rsidRPr="000B521F" w:rsidRDefault="00B221B5" w:rsidP="0059011D">
      <w:pPr>
        <w:autoSpaceDE w:val="0"/>
        <w:autoSpaceDN w:val="0"/>
        <w:adjustRightInd w:val="0"/>
        <w:spacing w:after="120" w:line="240" w:lineRule="auto"/>
        <w:jc w:val="both"/>
        <w:rPr>
          <w:rFonts w:ascii="Times New Roman" w:hAnsi="Times New Roman" w:cs="Times New Roman"/>
          <w:b/>
          <w:sz w:val="24"/>
          <w:szCs w:val="24"/>
          <w:u w:val="single"/>
        </w:rPr>
      </w:pPr>
      <w:r w:rsidRPr="000B521F">
        <w:rPr>
          <w:rFonts w:ascii="Times New Roman" w:hAnsi="Times New Roman" w:cs="Times New Roman"/>
          <w:b/>
          <w:sz w:val="24"/>
          <w:szCs w:val="24"/>
          <w:u w:val="single"/>
        </w:rPr>
        <w:t>Institucionální zajištění mechanismů koordinace</w:t>
      </w:r>
    </w:p>
    <w:p w:rsidR="0019474F" w:rsidRDefault="0019474F" w:rsidP="0019474F">
      <w:pPr>
        <w:autoSpaceDE w:val="0"/>
        <w:autoSpaceDN w:val="0"/>
        <w:adjustRightInd w:val="0"/>
        <w:spacing w:after="120" w:line="240" w:lineRule="auto"/>
        <w:jc w:val="both"/>
        <w:rPr>
          <w:rFonts w:ascii="Times New Roman" w:hAnsi="Times New Roman" w:cs="Times New Roman"/>
          <w:sz w:val="24"/>
          <w:szCs w:val="24"/>
        </w:rPr>
      </w:pPr>
      <w:r w:rsidRPr="0014016D">
        <w:rPr>
          <w:rFonts w:ascii="Times New Roman" w:hAnsi="Times New Roman" w:cs="Times New Roman"/>
          <w:sz w:val="24"/>
          <w:szCs w:val="24"/>
        </w:rPr>
        <w:t xml:space="preserve">Institucionální zajištění synergií a komplementarit je nezbytným předpokladem pro jejich efektivní realizaci. Aby intervence a projekty přinášely v rámci realizace přidaný efekt, předchází tomu jejich precizní vydefinování, tj. řešení např. otázek, zda je dané synergie možné realizovat, jaký efekt to přinese, zda rizika nepřevažují potenciální dosažení efektu realizace dané synergie apod. Plánování, scénáře a systémové pojetí tvoří základ institucionální roviny mechanismů koordinace. </w:t>
      </w:r>
      <w:r>
        <w:rPr>
          <w:rFonts w:ascii="Times New Roman" w:hAnsi="Times New Roman" w:cs="Times New Roman"/>
          <w:sz w:val="24"/>
          <w:szCs w:val="24"/>
        </w:rPr>
        <w:t>Nezbytné je ve fázi implementace eliminovat vznik překryvů mezi programy, který může vzniknout při specifikaci záměrů řídících orgánů nebo rozšířením původně zamýšlených intervencí. Vzájemná účast dotčených zástupců ŘO na platformách (monitorovacích výborech, odborných platformách, plánovacích skupinách) v rámci již plánování a následné koordinace výzev se jeví jako jeden z neefektivnějších nástrojů.</w:t>
      </w:r>
    </w:p>
    <w:p w:rsidR="0019474F" w:rsidRPr="0014016D" w:rsidRDefault="0019474F" w:rsidP="0019474F">
      <w:pPr>
        <w:autoSpaceDE w:val="0"/>
        <w:autoSpaceDN w:val="0"/>
        <w:adjustRightInd w:val="0"/>
        <w:spacing w:after="120" w:line="240" w:lineRule="auto"/>
        <w:jc w:val="both"/>
        <w:rPr>
          <w:rFonts w:ascii="Times New Roman" w:hAnsi="Times New Roman" w:cs="Times New Roman"/>
          <w:sz w:val="24"/>
          <w:szCs w:val="24"/>
        </w:rPr>
      </w:pPr>
      <w:r w:rsidRPr="0014016D">
        <w:rPr>
          <w:rFonts w:ascii="Times New Roman" w:hAnsi="Times New Roman" w:cs="Times New Roman"/>
          <w:sz w:val="24"/>
          <w:szCs w:val="24"/>
        </w:rPr>
        <w:t xml:space="preserve">Klíčovými koordinačními subjekty a platformami podílející se na realizaci synergií </w:t>
      </w:r>
      <w:r>
        <w:rPr>
          <w:rFonts w:ascii="Times New Roman" w:hAnsi="Times New Roman" w:cs="Times New Roman"/>
          <w:sz w:val="24"/>
          <w:szCs w:val="24"/>
        </w:rPr>
        <w:t xml:space="preserve">i na zamezení vzniku překryvů </w:t>
      </w:r>
      <w:r w:rsidRPr="0014016D">
        <w:rPr>
          <w:rFonts w:ascii="Times New Roman" w:hAnsi="Times New Roman" w:cs="Times New Roman"/>
          <w:sz w:val="24"/>
          <w:szCs w:val="24"/>
        </w:rPr>
        <w:t>jsou tyto:</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u w:val="single"/>
        </w:rPr>
        <w:t>Národní orgán pro koordinaci</w:t>
      </w:r>
      <w:r w:rsidRPr="000B521F">
        <w:rPr>
          <w:rFonts w:ascii="Times New Roman" w:hAnsi="Times New Roman" w:cs="Times New Roman"/>
          <w:b/>
          <w:sz w:val="24"/>
          <w:szCs w:val="24"/>
        </w:rPr>
        <w:t xml:space="preserve"> </w:t>
      </w:r>
      <w:r w:rsidRPr="000B521F">
        <w:rPr>
          <w:rFonts w:ascii="Times New Roman" w:hAnsi="Times New Roman" w:cs="Times New Roman"/>
          <w:sz w:val="24"/>
          <w:szCs w:val="24"/>
        </w:rPr>
        <w:t>průběžně dohlíží na plánování synergických výzev, navrhuje opatření k zajištění synergií napříč programy, dále zajišťuje komplementarity a synergie mezi intervencemi stanovenými Dohodou o partnerství a mezi ostatními strategickými dokumenty, specifikuje vhodné nástroje pro řízení komplementarit a synergií, a má odpovědnost za další činnosti stanovené v Pravidlech řízení Dohody (kap. 6.1.4).</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u w:val="single"/>
        </w:rPr>
        <w:t>Rada pro ESI fondy</w:t>
      </w:r>
      <w:r w:rsidRPr="000B521F">
        <w:rPr>
          <w:rFonts w:ascii="Times New Roman" w:hAnsi="Times New Roman" w:cs="Times New Roman"/>
          <w:sz w:val="24"/>
          <w:szCs w:val="24"/>
        </w:rPr>
        <w:t xml:space="preserve"> zajišťuje věcné rozhraní a návaznosti mezi programy spolufinancovanými ESI fondy a projednává opatření k vyšší komplementární a synergické efektivitě podpory poskytované z fondů SSR. V čele Rady stojí předseda Vlády ČR, jejími členy jsou ministři, zástupci Asociace krajů, Svazu města a obcí, Národní sítě Místních akčních skupin, zástupce neziskových organizací, odborů a řada dalších profesních sdružení. </w:t>
      </w:r>
      <w:r w:rsidRPr="000B521F">
        <w:rPr>
          <w:rFonts w:ascii="Times New Roman" w:hAnsi="Times New Roman" w:cs="Times New Roman"/>
          <w:sz w:val="24"/>
          <w:szCs w:val="24"/>
        </w:rPr>
        <w:lastRenderedPageBreak/>
        <w:t>Dílčí synergie budou řešit jednotlivé pracovní skupiny pod Radou pro ESI fondy, které jsou koncipovány podle tematického zaměření a které budou řešit soulad se strategiemi a dosažení komplementarit a synergií v příslušných problematikách.</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Rada pro fondy a jednotlivé PS projednávání opatření k vyšší synergické efektivitě podpory poskytované z ESI fondů. V rámci činnosti PS dochází ke vzájemnému slaďování intervencí za účelem efektivního naplňování tematických cílů a funkčnímu nastavení a řízení komplementárních a synergických vazeb. Pracovní skupiny mají odpovědnost za další činnosti stanovené v Pravidlech řízení Dohody (kap. 6.1.4). </w:t>
      </w:r>
    </w:p>
    <w:p w:rsidR="0019474F" w:rsidRPr="0014016D" w:rsidRDefault="0019474F" w:rsidP="0019474F">
      <w:pPr>
        <w:spacing w:after="120" w:line="240" w:lineRule="auto"/>
        <w:jc w:val="both"/>
        <w:rPr>
          <w:rFonts w:ascii="Times New Roman" w:eastAsia="Arial Unicode MS" w:hAnsi="Times New Roman" w:cs="Times New Roman"/>
          <w:sz w:val="24"/>
          <w:szCs w:val="24"/>
        </w:rPr>
      </w:pPr>
      <w:r w:rsidRPr="0014016D">
        <w:rPr>
          <w:rFonts w:ascii="Times New Roman" w:hAnsi="Times New Roman" w:cs="Times New Roman"/>
          <w:sz w:val="24"/>
          <w:szCs w:val="24"/>
          <w:u w:val="single"/>
        </w:rPr>
        <w:t>Řídící orgány programů</w:t>
      </w:r>
      <w:r>
        <w:rPr>
          <w:rFonts w:ascii="Times New Roman" w:hAnsi="Times New Roman" w:cs="Times New Roman"/>
          <w:sz w:val="24"/>
          <w:szCs w:val="24"/>
          <w:u w:val="single"/>
        </w:rPr>
        <w:t xml:space="preserve"> </w:t>
      </w:r>
      <w:r w:rsidRPr="0014016D">
        <w:rPr>
          <w:rFonts w:ascii="Times New Roman" w:hAnsi="Times New Roman" w:cs="Times New Roman"/>
          <w:sz w:val="24"/>
          <w:szCs w:val="24"/>
        </w:rPr>
        <w:t xml:space="preserve">své aktivity směřují zejména k zajištění toho, že prioritní osy a priority Unie obsažené v jednotlivých programech společně přispějí k tematickým cílům, cílům vymezeným ve strategických dokumentech a budou se vhodně doplňovat, a také budou podporovány projekty, které naplňují integrovaná řešení v území; a to zejména </w:t>
      </w:r>
      <w:r w:rsidRPr="0014016D">
        <w:rPr>
          <w:rFonts w:ascii="Times New Roman" w:eastAsia="Arial Unicode MS" w:hAnsi="Times New Roman" w:cs="Times New Roman"/>
          <w:sz w:val="24"/>
          <w:szCs w:val="24"/>
        </w:rPr>
        <w:t xml:space="preserve">nastavením mechanismů, vnitřní struktury a nástrojů používaných pro tento účel. </w:t>
      </w:r>
      <w:r>
        <w:rPr>
          <w:rFonts w:ascii="Times New Roman" w:eastAsia="Arial Unicode MS" w:hAnsi="Times New Roman" w:cs="Times New Roman"/>
          <w:sz w:val="24"/>
          <w:szCs w:val="24"/>
        </w:rPr>
        <w:t xml:space="preserve">ŘO navzájem uzavírají více či méně formální dohody, které zajišťují vzájemnou kooperaci při plánování a koordinaci výzev (viz také níže uváděná memoranda o spolupráci). </w:t>
      </w:r>
      <w:r w:rsidRPr="0014016D">
        <w:rPr>
          <w:rFonts w:ascii="Times New Roman" w:eastAsia="Arial Unicode MS" w:hAnsi="Times New Roman" w:cs="Times New Roman"/>
          <w:sz w:val="24"/>
          <w:szCs w:val="24"/>
        </w:rPr>
        <w:t>ŘO mají odpovědnost za další činnosti stanovené v Pravidlech řízení Dohody o partnerství (kap. 6.1.4)</w:t>
      </w:r>
      <w:r>
        <w:rPr>
          <w:rFonts w:ascii="Times New Roman" w:eastAsia="Arial Unicode MS" w:hAnsi="Times New Roman" w:cs="Times New Roman"/>
          <w:sz w:val="24"/>
          <w:szCs w:val="24"/>
        </w:rPr>
        <w:t xml:space="preserve"> a řídícíh dokumentech jednotlivých programů</w:t>
      </w:r>
      <w:r w:rsidRPr="0014016D">
        <w:rPr>
          <w:rFonts w:ascii="Times New Roman" w:eastAsia="Arial Unicode MS" w:hAnsi="Times New Roman" w:cs="Times New Roman"/>
          <w:sz w:val="24"/>
          <w:szCs w:val="24"/>
        </w:rPr>
        <w:t>.</w:t>
      </w:r>
    </w:p>
    <w:p w:rsidR="00B221B5" w:rsidRPr="000B521F" w:rsidRDefault="00B221B5" w:rsidP="0059011D">
      <w:pPr>
        <w:spacing w:after="120" w:line="240" w:lineRule="auto"/>
        <w:jc w:val="both"/>
        <w:rPr>
          <w:rFonts w:ascii="Times New Roman" w:hAnsi="Times New Roman" w:cs="Times New Roman"/>
          <w:b/>
          <w:sz w:val="24"/>
          <w:szCs w:val="24"/>
        </w:rPr>
      </w:pPr>
      <w:r w:rsidRPr="000B521F">
        <w:rPr>
          <w:rFonts w:ascii="Times New Roman" w:hAnsi="Times New Roman" w:cs="Times New Roman"/>
          <w:sz w:val="24"/>
          <w:szCs w:val="24"/>
          <w:u w:val="single"/>
        </w:rPr>
        <w:t>Zprostředkující subjekty</w:t>
      </w:r>
      <w:r w:rsidRPr="000B521F">
        <w:rPr>
          <w:rFonts w:ascii="Times New Roman" w:hAnsi="Times New Roman" w:cs="Times New Roman"/>
          <w:b/>
          <w:sz w:val="24"/>
          <w:szCs w:val="24"/>
        </w:rPr>
        <w:t xml:space="preserve"> </w:t>
      </w:r>
      <w:r w:rsidRPr="000B521F">
        <w:rPr>
          <w:rFonts w:ascii="Times New Roman" w:hAnsi="Times New Roman" w:cs="Times New Roman"/>
          <w:sz w:val="24"/>
          <w:szCs w:val="24"/>
        </w:rPr>
        <w:t xml:space="preserve">přejímají od </w:t>
      </w:r>
      <w:r w:rsidRPr="000B521F">
        <w:rPr>
          <w:rFonts w:ascii="Times New Roman" w:hAnsi="Times New Roman" w:cs="Times New Roman"/>
          <w:sz w:val="24"/>
          <w:szCs w:val="24"/>
          <w:u w:color="000000"/>
        </w:rPr>
        <w:t xml:space="preserve">ŘO případné delegované činností týkající se synergií. Pro oblast zajištění řízení komplementarit a synergií plní ZS mj. úlohu jednotných kontaktních míst jako např. společných ZS. </w:t>
      </w:r>
    </w:p>
    <w:p w:rsidR="00B221B5" w:rsidRPr="000B521F" w:rsidRDefault="00B221B5" w:rsidP="0059011D">
      <w:pPr>
        <w:spacing w:after="120" w:line="240" w:lineRule="auto"/>
        <w:jc w:val="both"/>
        <w:rPr>
          <w:rFonts w:ascii="Times New Roman" w:eastAsia="Arial Unicode MS" w:hAnsi="Times New Roman" w:cs="Times New Roman"/>
          <w:sz w:val="24"/>
          <w:szCs w:val="24"/>
        </w:rPr>
      </w:pPr>
      <w:r w:rsidRPr="000B521F">
        <w:rPr>
          <w:rFonts w:ascii="Times New Roman" w:hAnsi="Times New Roman" w:cs="Times New Roman"/>
          <w:sz w:val="24"/>
          <w:szCs w:val="24"/>
          <w:u w:val="single"/>
        </w:rPr>
        <w:t>Monitorovací výbory programů</w:t>
      </w:r>
      <w:r w:rsidRPr="000B521F">
        <w:rPr>
          <w:rFonts w:ascii="Times New Roman" w:hAnsi="Times New Roman" w:cs="Times New Roman"/>
          <w:b/>
          <w:sz w:val="24"/>
          <w:szCs w:val="24"/>
        </w:rPr>
        <w:t xml:space="preserve"> </w:t>
      </w:r>
      <w:r w:rsidRPr="000B521F">
        <w:rPr>
          <w:rFonts w:ascii="Times New Roman" w:eastAsia="Arial Unicode MS" w:hAnsi="Times New Roman" w:cs="Times New Roman"/>
          <w:sz w:val="24"/>
          <w:szCs w:val="24"/>
        </w:rPr>
        <w:t xml:space="preserve"> jsou informovány o plánech výzev, v případě potřeby navrhují a doporučují řídícím orgánům opatření pro zefektivnění čerpáním a to i v oblasti synergií. Z hlediska řešení komplementarit a synergií je důležité vzájemné zastoupení členů ŘO a dalších subjektů koordinace v monitorovacích výborech a to těch programů, které řeší vzájemné komplementární/synergické vazby. </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u w:val="single"/>
        </w:rPr>
        <w:t>Věcný garant</w:t>
      </w:r>
      <w:r w:rsidRPr="000B521F">
        <w:rPr>
          <w:rFonts w:ascii="Times New Roman" w:hAnsi="Times New Roman" w:cs="Times New Roman"/>
          <w:b/>
          <w:sz w:val="24"/>
          <w:szCs w:val="24"/>
        </w:rPr>
        <w:t xml:space="preserve"> </w:t>
      </w:r>
      <w:r w:rsidRPr="000B521F">
        <w:rPr>
          <w:rFonts w:ascii="Times New Roman" w:hAnsi="Times New Roman" w:cs="Times New Roman"/>
          <w:sz w:val="24"/>
          <w:szCs w:val="24"/>
        </w:rPr>
        <w:t>je institucí veřejné správy, která má věcnou a odbornou kompetenci k některé z oblastí intervencí se podílejí na implementaci za příslušnou oblast. Věcný garant se ve spolupráci s řídicím orgánem podílí na identifikaci synergických intervencí, jejich koordinaci vůči výzvám a dalších stanovených činnostech i v oblasti řešení synergií.</w:t>
      </w:r>
    </w:p>
    <w:p w:rsidR="0019474F" w:rsidRPr="0014016D" w:rsidRDefault="0019474F" w:rsidP="0019474F">
      <w:pPr>
        <w:spacing w:after="120" w:line="240" w:lineRule="auto"/>
        <w:jc w:val="both"/>
        <w:rPr>
          <w:rFonts w:ascii="Times New Roman" w:hAnsi="Times New Roman" w:cs="Times New Roman"/>
          <w:sz w:val="24"/>
          <w:szCs w:val="24"/>
        </w:rPr>
      </w:pPr>
      <w:r w:rsidRPr="0014016D">
        <w:rPr>
          <w:rFonts w:ascii="Times New Roman" w:hAnsi="Times New Roman" w:cs="Times New Roman"/>
          <w:sz w:val="24"/>
          <w:szCs w:val="24"/>
          <w:u w:val="single"/>
        </w:rPr>
        <w:t>Odborné platformy a pracovní skupiny</w:t>
      </w:r>
      <w:r>
        <w:rPr>
          <w:rFonts w:ascii="Times New Roman" w:hAnsi="Times New Roman" w:cs="Times New Roman"/>
          <w:sz w:val="24"/>
          <w:szCs w:val="24"/>
          <w:u w:val="single"/>
        </w:rPr>
        <w:t xml:space="preserve"> </w:t>
      </w:r>
      <w:r w:rsidRPr="0014016D">
        <w:rPr>
          <w:rFonts w:ascii="Times New Roman" w:hAnsi="Times New Roman" w:cs="Times New Roman"/>
          <w:sz w:val="24"/>
          <w:szCs w:val="24"/>
        </w:rPr>
        <w:t>vznikají za účelem řešení konkrétních synergických vazeb mezi programy</w:t>
      </w:r>
      <w:r w:rsidRPr="0014016D">
        <w:rPr>
          <w:rFonts w:ascii="Times New Roman" w:eastAsia="Arial Unicode MS" w:hAnsi="Times New Roman" w:cs="Times New Roman"/>
          <w:sz w:val="24"/>
          <w:szCs w:val="24"/>
        </w:rPr>
        <w:t xml:space="preserve">. </w:t>
      </w:r>
      <w:r w:rsidRPr="0014016D">
        <w:rPr>
          <w:rFonts w:ascii="Times New Roman" w:hAnsi="Times New Roman" w:cs="Times New Roman"/>
          <w:sz w:val="24"/>
          <w:szCs w:val="24"/>
        </w:rPr>
        <w:t>Podílí se na nastavení harmonogramu výzev (časování výzev) nebo např. na nastavení technických parametrů výzev.</w:t>
      </w:r>
      <w:r>
        <w:rPr>
          <w:rFonts w:ascii="Times New Roman" w:hAnsi="Times New Roman" w:cs="Times New Roman"/>
          <w:sz w:val="24"/>
          <w:szCs w:val="24"/>
        </w:rPr>
        <w:t xml:space="preserve"> Platformy vznikají za účasti expertů na danou oblast, mohou vznikat tzv. task forces k řešení dílčích synergických projektů. Pro zajištění klíčových synergií mohou vznikat společné orgány. </w:t>
      </w:r>
    </w:p>
    <w:p w:rsidR="000B521F" w:rsidRPr="000B521F" w:rsidRDefault="000B521F" w:rsidP="0059011D">
      <w:pPr>
        <w:spacing w:after="120" w:line="240" w:lineRule="auto"/>
        <w:jc w:val="both"/>
        <w:rPr>
          <w:rFonts w:ascii="Times New Roman" w:hAnsi="Times New Roman" w:cs="Times New Roman"/>
          <w:b/>
          <w:sz w:val="24"/>
          <w:szCs w:val="24"/>
          <w:u w:val="single"/>
        </w:rPr>
      </w:pPr>
    </w:p>
    <w:p w:rsidR="00B221B5" w:rsidRPr="000B521F" w:rsidRDefault="00B221B5" w:rsidP="0059011D">
      <w:pPr>
        <w:spacing w:after="120" w:line="240" w:lineRule="auto"/>
        <w:jc w:val="both"/>
        <w:rPr>
          <w:rFonts w:ascii="Times New Roman" w:hAnsi="Times New Roman" w:cs="Times New Roman"/>
          <w:b/>
          <w:sz w:val="24"/>
          <w:szCs w:val="24"/>
          <w:u w:val="single"/>
        </w:rPr>
      </w:pPr>
      <w:r w:rsidRPr="000B521F">
        <w:rPr>
          <w:rFonts w:ascii="Times New Roman" w:hAnsi="Times New Roman" w:cs="Times New Roman"/>
          <w:b/>
          <w:sz w:val="24"/>
          <w:szCs w:val="24"/>
          <w:u w:val="single"/>
        </w:rPr>
        <w:t>Nástroje mechanismů koordinace</w:t>
      </w:r>
    </w:p>
    <w:p w:rsidR="0019474F" w:rsidRDefault="0019474F" w:rsidP="0019474F">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Klíčovým prvkem pro hladkou implementaci a řízení synergií je pečlivé nastavení programových prvků ještě před samotným spuštěním výzev. Z čistě technického hlediska, jde o úzkou spolupráci dotčených subjektů na tvorbě programových dokumentů, příruček, manuálů a dalších metodicko-programových dokumentů, kde je vytvářeno prostředí (a i mantinely) pro následnou realizaci.</w:t>
      </w:r>
    </w:p>
    <w:p w:rsidR="0019474F" w:rsidRPr="0014016D" w:rsidRDefault="0019474F" w:rsidP="0019474F">
      <w:pPr>
        <w:spacing w:after="120" w:line="240" w:lineRule="auto"/>
        <w:jc w:val="both"/>
        <w:rPr>
          <w:rFonts w:ascii="Times New Roman" w:hAnsi="Times New Roman" w:cs="Times New Roman"/>
          <w:sz w:val="24"/>
          <w:szCs w:val="24"/>
        </w:rPr>
      </w:pPr>
      <w:r w:rsidRPr="0014016D">
        <w:rPr>
          <w:rFonts w:ascii="Times New Roman" w:hAnsi="Times New Roman" w:cs="Times New Roman"/>
          <w:sz w:val="24"/>
          <w:szCs w:val="24"/>
        </w:rPr>
        <w:t>Koordinac</w:t>
      </w:r>
      <w:r>
        <w:rPr>
          <w:rFonts w:ascii="Times New Roman" w:hAnsi="Times New Roman" w:cs="Times New Roman"/>
          <w:sz w:val="24"/>
          <w:szCs w:val="24"/>
        </w:rPr>
        <w:t>i</w:t>
      </w:r>
      <w:r w:rsidRPr="0014016D">
        <w:rPr>
          <w:rFonts w:ascii="Times New Roman" w:hAnsi="Times New Roman" w:cs="Times New Roman"/>
          <w:sz w:val="24"/>
          <w:szCs w:val="24"/>
        </w:rPr>
        <w:t xml:space="preserve"> mezi fondy za účelem naplňování tematických cílů a navíc k dosažení synergických efektů mezi jednotlivými intervencemi je </w:t>
      </w:r>
      <w:r>
        <w:rPr>
          <w:rFonts w:ascii="Times New Roman" w:hAnsi="Times New Roman" w:cs="Times New Roman"/>
          <w:sz w:val="24"/>
          <w:szCs w:val="24"/>
        </w:rPr>
        <w:t xml:space="preserve">potřebné </w:t>
      </w:r>
      <w:r w:rsidRPr="0014016D">
        <w:rPr>
          <w:rFonts w:ascii="Times New Roman" w:hAnsi="Times New Roman" w:cs="Times New Roman"/>
          <w:sz w:val="24"/>
          <w:szCs w:val="24"/>
        </w:rPr>
        <w:t>nastav</w:t>
      </w:r>
      <w:r>
        <w:rPr>
          <w:rFonts w:ascii="Times New Roman" w:hAnsi="Times New Roman" w:cs="Times New Roman"/>
          <w:sz w:val="24"/>
          <w:szCs w:val="24"/>
        </w:rPr>
        <w:t>it</w:t>
      </w:r>
      <w:r w:rsidRPr="0014016D">
        <w:rPr>
          <w:rFonts w:ascii="Times New Roman" w:hAnsi="Times New Roman" w:cs="Times New Roman"/>
          <w:sz w:val="24"/>
          <w:szCs w:val="24"/>
        </w:rPr>
        <w:t xml:space="preserve"> nejen z hlediska zajištění jednotlivými subjekty implementace, které se podílejí na jejich řízení</w:t>
      </w:r>
      <w:r>
        <w:rPr>
          <w:rFonts w:ascii="Times New Roman" w:hAnsi="Times New Roman" w:cs="Times New Roman"/>
          <w:sz w:val="24"/>
          <w:szCs w:val="24"/>
        </w:rPr>
        <w:t>, ale i pomocí zvolené sady nástrojů</w:t>
      </w:r>
      <w:r w:rsidRPr="0014016D">
        <w:rPr>
          <w:rFonts w:ascii="Times New Roman" w:hAnsi="Times New Roman" w:cs="Times New Roman"/>
          <w:sz w:val="24"/>
          <w:szCs w:val="24"/>
        </w:rPr>
        <w:t>, mezi které patří:</w:t>
      </w:r>
    </w:p>
    <w:p w:rsidR="00B221B5" w:rsidRPr="000B521F" w:rsidRDefault="00B221B5" w:rsidP="0059011D">
      <w:pPr>
        <w:spacing w:after="120" w:line="240" w:lineRule="auto"/>
        <w:rPr>
          <w:rFonts w:ascii="Times New Roman" w:hAnsi="Times New Roman" w:cs="Times New Roman"/>
          <w:sz w:val="24"/>
          <w:szCs w:val="24"/>
          <w:u w:val="single"/>
        </w:rPr>
      </w:pPr>
      <w:r w:rsidRPr="000B521F">
        <w:rPr>
          <w:rFonts w:ascii="Times New Roman" w:hAnsi="Times New Roman" w:cs="Times New Roman"/>
          <w:sz w:val="24"/>
          <w:szCs w:val="24"/>
          <w:u w:val="single"/>
        </w:rPr>
        <w:lastRenderedPageBreak/>
        <w:t>Koordinace v oblasti výzev</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Z důvodu zajištění maximální efektivnosti jednotlivých intervencí a zabezpečení synergických vazeb mezi dotčenými programy probíhá v rámci odpovídajících platforem koordinace procesu přípravy jednotlivých výzev (časové hledisko, věcný obsah, technické parametry apod.). Koordinovaný proces nastavování výzev a jejich hodnocení přispěje k realizaci takových projektů, které v maximální možné míře zajistí provázanost jednotlivých intervencí napříč relevantními programy a bude dosaženo plnění cílů programů a tím i Dohody o partnerství. Koordinace výzev tak přispívá k dosažení synergií mezi aktivitami, které jsou sice podporovány z různých programů, ale které se vzájemně doplňují a jejich vzájemná provázanost je objektivní a potřebná, a zároveň je kladen důraz na odstraňování případných duplicit.</w:t>
      </w:r>
    </w:p>
    <w:p w:rsidR="00B221B5" w:rsidRPr="000B521F" w:rsidRDefault="00B221B5" w:rsidP="0059011D">
      <w:pPr>
        <w:spacing w:after="120" w:line="240" w:lineRule="auto"/>
        <w:rPr>
          <w:rFonts w:ascii="Times New Roman" w:hAnsi="Times New Roman" w:cs="Times New Roman"/>
          <w:sz w:val="24"/>
          <w:szCs w:val="24"/>
          <w:u w:val="single"/>
        </w:rPr>
      </w:pPr>
      <w:r w:rsidRPr="000B521F">
        <w:rPr>
          <w:rFonts w:ascii="Times New Roman" w:hAnsi="Times New Roman" w:cs="Times New Roman"/>
          <w:sz w:val="24"/>
          <w:szCs w:val="24"/>
          <w:u w:val="single"/>
        </w:rPr>
        <w:t xml:space="preserve">Strategické realizační plány (SRP) </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Součásti SRP, který je každý rok připravován ŘO, je také precizní plánování synergických výzev včetně jejich obsahu a zaměření. Vzhledem k tomu, že jsou v pravidelném cyklu aktualizovány, jsou brány v potaz i případné trendy, potřeby a podle aktuálního vývoje lze řešit i dané limity a bariéry čerpání u synergických intervencí. Následně je možné dané synergické výzvy v rámci SRP vyhodnocovat. </w:t>
      </w:r>
    </w:p>
    <w:p w:rsidR="0019474F" w:rsidRPr="0014016D" w:rsidRDefault="0019474F" w:rsidP="0019474F">
      <w:pPr>
        <w:spacing w:after="120" w:line="240" w:lineRule="auto"/>
        <w:rPr>
          <w:rFonts w:ascii="Times New Roman" w:hAnsi="Times New Roman" w:cs="Times New Roman"/>
          <w:sz w:val="24"/>
          <w:szCs w:val="24"/>
          <w:u w:val="single"/>
        </w:rPr>
      </w:pPr>
      <w:r w:rsidRPr="0014016D">
        <w:rPr>
          <w:rFonts w:ascii="Times New Roman" w:hAnsi="Times New Roman" w:cs="Times New Roman"/>
          <w:sz w:val="24"/>
          <w:szCs w:val="24"/>
          <w:u w:val="single"/>
        </w:rPr>
        <w:t>Memoranda</w:t>
      </w:r>
      <w:r>
        <w:rPr>
          <w:rFonts w:ascii="Times New Roman" w:hAnsi="Times New Roman" w:cs="Times New Roman"/>
          <w:sz w:val="24"/>
          <w:szCs w:val="24"/>
          <w:u w:val="single"/>
        </w:rPr>
        <w:t xml:space="preserve">, </w:t>
      </w:r>
      <w:r w:rsidRPr="00FE6716">
        <w:rPr>
          <w:rFonts w:ascii="Times New Roman" w:hAnsi="Times New Roman" w:cs="Times New Roman"/>
          <w:sz w:val="24"/>
          <w:szCs w:val="24"/>
          <w:u w:val="single"/>
        </w:rPr>
        <w:t>meziinstitucionální dohody</w:t>
      </w:r>
      <w:r w:rsidRPr="0014016D">
        <w:rPr>
          <w:rFonts w:ascii="Times New Roman" w:hAnsi="Times New Roman" w:cs="Times New Roman"/>
          <w:sz w:val="24"/>
          <w:szCs w:val="24"/>
          <w:u w:val="single"/>
        </w:rPr>
        <w:t xml:space="preserve"> mezi řídícími orgány programů</w:t>
      </w:r>
    </w:p>
    <w:p w:rsidR="0019474F" w:rsidRPr="0014016D" w:rsidRDefault="0019474F" w:rsidP="0019474F">
      <w:pPr>
        <w:spacing w:after="120" w:line="240" w:lineRule="auto"/>
        <w:jc w:val="both"/>
        <w:rPr>
          <w:rFonts w:ascii="Times New Roman" w:hAnsi="Times New Roman" w:cs="Times New Roman"/>
          <w:sz w:val="24"/>
          <w:szCs w:val="24"/>
        </w:rPr>
      </w:pPr>
      <w:r w:rsidRPr="0014016D">
        <w:rPr>
          <w:rFonts w:ascii="Times New Roman" w:hAnsi="Times New Roman" w:cs="Times New Roman"/>
          <w:sz w:val="24"/>
          <w:szCs w:val="24"/>
        </w:rPr>
        <w:t>Řídící orgány, případně další subjekty koordinace vytvářejí v rámci nastavování a řízení konkrétních synergií mezi sebou dohody (memoranda) vymezující formy závazných postupů, projednání a odpovědností mezi dotčenými subjekty řešícími synergie.</w:t>
      </w:r>
      <w:r>
        <w:rPr>
          <w:rFonts w:ascii="Times New Roman" w:hAnsi="Times New Roman" w:cs="Times New Roman"/>
          <w:sz w:val="24"/>
          <w:szCs w:val="24"/>
        </w:rPr>
        <w:t xml:space="preserve"> Dohody </w:t>
      </w:r>
      <w:r w:rsidRPr="00FE6716">
        <w:rPr>
          <w:rFonts w:ascii="Times New Roman" w:hAnsi="Times New Roman" w:cs="Times New Roman"/>
          <w:sz w:val="24"/>
          <w:szCs w:val="24"/>
        </w:rPr>
        <w:t xml:space="preserve">umožňují úzkou kooperaci mezi </w:t>
      </w:r>
      <w:r>
        <w:rPr>
          <w:rFonts w:ascii="Times New Roman" w:hAnsi="Times New Roman" w:cs="Times New Roman"/>
          <w:sz w:val="24"/>
          <w:szCs w:val="24"/>
        </w:rPr>
        <w:t>ŘO</w:t>
      </w:r>
      <w:r w:rsidRPr="00FE6716">
        <w:rPr>
          <w:rFonts w:ascii="Times New Roman" w:hAnsi="Times New Roman" w:cs="Times New Roman"/>
          <w:sz w:val="24"/>
          <w:szCs w:val="24"/>
        </w:rPr>
        <w:t>, zajištěnou účastí představitele jednoho řídicího orgánu na činnosti orgánů, výborů vytvořených pro řízení druhého programu a samozřejmě i recipročně</w:t>
      </w:r>
    </w:p>
    <w:p w:rsidR="00B221B5" w:rsidRPr="000B521F" w:rsidRDefault="00B221B5" w:rsidP="0059011D">
      <w:pPr>
        <w:spacing w:after="120" w:line="240" w:lineRule="auto"/>
        <w:rPr>
          <w:rFonts w:ascii="Times New Roman" w:hAnsi="Times New Roman" w:cs="Times New Roman"/>
          <w:sz w:val="24"/>
          <w:szCs w:val="24"/>
          <w:u w:val="single"/>
        </w:rPr>
      </w:pPr>
      <w:r w:rsidRPr="000B521F">
        <w:rPr>
          <w:rFonts w:ascii="Times New Roman" w:hAnsi="Times New Roman" w:cs="Times New Roman"/>
          <w:sz w:val="24"/>
          <w:szCs w:val="24"/>
          <w:u w:val="single"/>
        </w:rPr>
        <w:t xml:space="preserve">Výběr projektů a jejich hodnocení  </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Řídící orgány, případně další subjekty koordinace mají možnost dohodnout se na vzájemném schvalování výběrových kritérií, společné hodnotitelské komisi, společné databázi externích hodnotitelů, případně bodovém zvýhodnění vzájemných projektů.</w:t>
      </w:r>
    </w:p>
    <w:p w:rsidR="00B221B5" w:rsidRPr="000B521F" w:rsidRDefault="00B221B5" w:rsidP="0059011D">
      <w:pPr>
        <w:spacing w:after="120" w:line="240" w:lineRule="auto"/>
        <w:rPr>
          <w:rFonts w:ascii="Times New Roman" w:hAnsi="Times New Roman" w:cs="Times New Roman"/>
          <w:sz w:val="24"/>
          <w:szCs w:val="24"/>
          <w:u w:val="single"/>
        </w:rPr>
      </w:pPr>
      <w:r w:rsidRPr="000B521F">
        <w:rPr>
          <w:rFonts w:ascii="Times New Roman" w:hAnsi="Times New Roman" w:cs="Times New Roman"/>
          <w:sz w:val="24"/>
          <w:szCs w:val="24"/>
          <w:u w:val="single"/>
        </w:rPr>
        <w:t xml:space="preserve">Společná data a indikátory </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Pro sledování a hodnocení jsou nastaveny relevantní indikátory, příp. podíl na naplňování indikátorů TC či nastavení kontextových indikátorů u synergií (na úrovni TC). Důležitým prvkem je také schvalování indikátorů monitorovacím výborem, sdílení dat o žadatelích a projektech u synergických projektů a jejich společný monitoring a hodnocení.</w:t>
      </w:r>
    </w:p>
    <w:p w:rsidR="00DA1FC4" w:rsidRDefault="00DA1FC4" w:rsidP="00DA1FC4">
      <w:pPr>
        <w:spacing w:after="120" w:line="240" w:lineRule="auto"/>
        <w:rPr>
          <w:rFonts w:ascii="Times New Roman" w:hAnsi="Times New Roman" w:cs="Times New Roman"/>
          <w:sz w:val="24"/>
          <w:szCs w:val="24"/>
          <w:u w:val="single"/>
        </w:rPr>
      </w:pPr>
      <w:r w:rsidRPr="00F64C46">
        <w:rPr>
          <w:rFonts w:ascii="Times New Roman" w:hAnsi="Times New Roman" w:cs="Times New Roman"/>
          <w:sz w:val="24"/>
          <w:szCs w:val="24"/>
          <w:u w:val="single"/>
        </w:rPr>
        <w:t>Integrované nástroje pro potřeby cílení synergií v území</w:t>
      </w:r>
    </w:p>
    <w:p w:rsidR="00DA1FC4" w:rsidRDefault="00DA1FC4" w:rsidP="00DA1FC4">
      <w:pPr>
        <w:spacing w:after="120" w:line="240" w:lineRule="auto"/>
        <w:jc w:val="both"/>
        <w:rPr>
          <w:rFonts w:ascii="Times New Roman" w:hAnsi="Times New Roman" w:cs="Times New Roman"/>
          <w:sz w:val="24"/>
          <w:szCs w:val="24"/>
          <w:u w:val="single"/>
        </w:rPr>
      </w:pPr>
      <w:r w:rsidRPr="00F64C46">
        <w:rPr>
          <w:rFonts w:ascii="Times New Roman" w:hAnsi="Times New Roman" w:cs="Times New Roman"/>
          <w:sz w:val="24"/>
          <w:szCs w:val="24"/>
          <w:u w:val="single"/>
        </w:rPr>
        <w:t>Integrované přístupy mají již ze své podstaty přispět k dosažení požadovaných synergických efektů. Z hlediska řídicích orgánů a nositelů integrovaného řešení představují mechanismus pro ovlivňování synergických vazeb, integrované strategie pak nástroj jejich řízení.</w:t>
      </w:r>
      <w:r>
        <w:rPr>
          <w:rFonts w:ascii="Times New Roman" w:hAnsi="Times New Roman" w:cs="Times New Roman"/>
          <w:sz w:val="24"/>
          <w:szCs w:val="24"/>
          <w:u w:val="single"/>
        </w:rPr>
        <w:t xml:space="preserve"> P</w:t>
      </w:r>
      <w:r w:rsidRPr="00F64C46">
        <w:rPr>
          <w:rFonts w:ascii="Times New Roman" w:hAnsi="Times New Roman" w:cs="Times New Roman"/>
          <w:sz w:val="24"/>
          <w:szCs w:val="24"/>
          <w:u w:val="single"/>
        </w:rPr>
        <w:t>rováz</w:t>
      </w:r>
      <w:r>
        <w:rPr>
          <w:rFonts w:ascii="Times New Roman" w:hAnsi="Times New Roman" w:cs="Times New Roman"/>
          <w:sz w:val="24"/>
          <w:szCs w:val="24"/>
          <w:u w:val="single"/>
        </w:rPr>
        <w:t>ování</w:t>
      </w:r>
      <w:r w:rsidRPr="00F64C46">
        <w:rPr>
          <w:rFonts w:ascii="Times New Roman" w:hAnsi="Times New Roman" w:cs="Times New Roman"/>
          <w:sz w:val="24"/>
          <w:szCs w:val="24"/>
          <w:u w:val="single"/>
        </w:rPr>
        <w:t xml:space="preserve"> integrovaných aktivit </w:t>
      </w:r>
      <w:r>
        <w:rPr>
          <w:rFonts w:ascii="Times New Roman" w:hAnsi="Times New Roman" w:cs="Times New Roman"/>
          <w:sz w:val="24"/>
          <w:szCs w:val="24"/>
          <w:u w:val="single"/>
        </w:rPr>
        <w:t>se synergickým efektem b</w:t>
      </w:r>
      <w:r w:rsidRPr="00F64C46">
        <w:rPr>
          <w:rFonts w:ascii="Times New Roman" w:hAnsi="Times New Roman" w:cs="Times New Roman"/>
          <w:sz w:val="24"/>
          <w:szCs w:val="24"/>
          <w:u w:val="single"/>
        </w:rPr>
        <w:t xml:space="preserve">ude výrazně podmíněn situací </w:t>
      </w:r>
      <w:r>
        <w:rPr>
          <w:rFonts w:ascii="Times New Roman" w:hAnsi="Times New Roman" w:cs="Times New Roman"/>
          <w:sz w:val="24"/>
          <w:szCs w:val="24"/>
          <w:u w:val="single"/>
        </w:rPr>
        <w:t xml:space="preserve">(hospodářskou, dopravní, environmentální, sociální či jinou) </w:t>
      </w:r>
      <w:r w:rsidRPr="00F64C46">
        <w:rPr>
          <w:rFonts w:ascii="Times New Roman" w:hAnsi="Times New Roman" w:cs="Times New Roman"/>
          <w:sz w:val="24"/>
          <w:szCs w:val="24"/>
          <w:u w:val="single"/>
        </w:rPr>
        <w:t xml:space="preserve">a problémy na trhu </w:t>
      </w:r>
      <w:r>
        <w:rPr>
          <w:rFonts w:ascii="Times New Roman" w:hAnsi="Times New Roman" w:cs="Times New Roman"/>
          <w:sz w:val="24"/>
          <w:szCs w:val="24"/>
          <w:u w:val="single"/>
        </w:rPr>
        <w:t>v</w:t>
      </w:r>
      <w:r w:rsidRPr="00F64C46">
        <w:rPr>
          <w:rFonts w:ascii="Times New Roman" w:hAnsi="Times New Roman" w:cs="Times New Roman"/>
          <w:sz w:val="24"/>
          <w:szCs w:val="24"/>
          <w:u w:val="single"/>
        </w:rPr>
        <w:t xml:space="preserve"> jednotlivých </w:t>
      </w:r>
      <w:r>
        <w:rPr>
          <w:rFonts w:ascii="Times New Roman" w:hAnsi="Times New Roman" w:cs="Times New Roman"/>
          <w:sz w:val="24"/>
          <w:szCs w:val="24"/>
          <w:u w:val="single"/>
        </w:rPr>
        <w:t>typech území, zejména v </w:t>
      </w:r>
      <w:r w:rsidRPr="00F64C46">
        <w:rPr>
          <w:rFonts w:ascii="Times New Roman" w:hAnsi="Times New Roman" w:cs="Times New Roman"/>
          <w:sz w:val="24"/>
          <w:szCs w:val="24"/>
          <w:u w:val="single"/>
        </w:rPr>
        <w:t>aglomeracích</w:t>
      </w:r>
      <w:r>
        <w:rPr>
          <w:rFonts w:ascii="Times New Roman" w:hAnsi="Times New Roman" w:cs="Times New Roman"/>
          <w:sz w:val="24"/>
          <w:szCs w:val="24"/>
          <w:u w:val="single"/>
        </w:rPr>
        <w:t xml:space="preserve"> a dalších typech integrovaných území</w:t>
      </w:r>
      <w:r w:rsidRPr="00F64C46">
        <w:rPr>
          <w:rFonts w:ascii="Times New Roman" w:hAnsi="Times New Roman" w:cs="Times New Roman"/>
          <w:sz w:val="24"/>
          <w:szCs w:val="24"/>
          <w:u w:val="single"/>
        </w:rPr>
        <w:t>.</w:t>
      </w:r>
      <w:r>
        <w:rPr>
          <w:rFonts w:ascii="Times New Roman" w:hAnsi="Times New Roman" w:cs="Times New Roman"/>
          <w:sz w:val="24"/>
          <w:szCs w:val="24"/>
          <w:u w:val="single"/>
        </w:rPr>
        <w:t xml:space="preserve"> Řešení realizace synergie je pak odvislé již od nastavených podmínek ve strategiích území a poté na úrovni koordinace programů, ze kterých dané intervence budou financovány.</w:t>
      </w:r>
    </w:p>
    <w:p w:rsidR="00DA1FC4" w:rsidRPr="0014016D" w:rsidRDefault="00DA1FC4" w:rsidP="00DA1FC4">
      <w:pPr>
        <w:spacing w:after="120" w:line="240" w:lineRule="auto"/>
        <w:rPr>
          <w:rFonts w:ascii="Times New Roman" w:hAnsi="Times New Roman" w:cs="Times New Roman"/>
          <w:sz w:val="24"/>
          <w:szCs w:val="24"/>
        </w:rPr>
      </w:pPr>
      <w:r w:rsidRPr="0014016D">
        <w:rPr>
          <w:rFonts w:ascii="Times New Roman" w:hAnsi="Times New Roman" w:cs="Times New Roman"/>
          <w:sz w:val="24"/>
          <w:szCs w:val="24"/>
          <w:u w:val="single"/>
        </w:rPr>
        <w:t>Dalšími nástroji</w:t>
      </w:r>
      <w:r w:rsidRPr="0014016D">
        <w:rPr>
          <w:rFonts w:ascii="Times New Roman" w:hAnsi="Times New Roman" w:cs="Times New Roman"/>
          <w:sz w:val="24"/>
          <w:szCs w:val="24"/>
        </w:rPr>
        <w:t>, které lze podle charakteru dané synergie využít v programech, jsou:</w:t>
      </w:r>
    </w:p>
    <w:p w:rsidR="00DA1FC4" w:rsidRPr="0014016D" w:rsidRDefault="00DA1FC4" w:rsidP="00DA1FC4">
      <w:pPr>
        <w:pStyle w:val="Odstavecseseznamem"/>
        <w:numPr>
          <w:ilvl w:val="0"/>
          <w:numId w:val="53"/>
        </w:numPr>
        <w:spacing w:after="120" w:line="240" w:lineRule="auto"/>
        <w:jc w:val="both"/>
        <w:rPr>
          <w:rFonts w:ascii="Times New Roman" w:hAnsi="Times New Roman" w:cs="Times New Roman"/>
          <w:sz w:val="24"/>
          <w:szCs w:val="24"/>
        </w:rPr>
      </w:pPr>
      <w:r w:rsidRPr="0014016D">
        <w:rPr>
          <w:rFonts w:ascii="Times New Roman" w:hAnsi="Times New Roman" w:cs="Times New Roman"/>
          <w:sz w:val="24"/>
          <w:szCs w:val="24"/>
        </w:rPr>
        <w:t>Nastavení absorpční kapacity pro splnění dané strategie.</w:t>
      </w:r>
    </w:p>
    <w:p w:rsidR="00DA1FC4" w:rsidRDefault="00DA1FC4" w:rsidP="00DA1FC4">
      <w:pPr>
        <w:pStyle w:val="Odstavecseseznamem"/>
        <w:numPr>
          <w:ilvl w:val="0"/>
          <w:numId w:val="53"/>
        </w:numPr>
        <w:spacing w:after="120" w:line="240" w:lineRule="auto"/>
        <w:jc w:val="both"/>
        <w:rPr>
          <w:rFonts w:ascii="Times New Roman" w:hAnsi="Times New Roman" w:cs="Times New Roman"/>
          <w:sz w:val="24"/>
          <w:szCs w:val="24"/>
        </w:rPr>
      </w:pPr>
      <w:r w:rsidRPr="0014016D">
        <w:rPr>
          <w:rFonts w:ascii="Times New Roman" w:hAnsi="Times New Roman" w:cs="Times New Roman"/>
          <w:sz w:val="24"/>
          <w:szCs w:val="24"/>
        </w:rPr>
        <w:lastRenderedPageBreak/>
        <w:t xml:space="preserve">Nastavení </w:t>
      </w:r>
      <w:r>
        <w:rPr>
          <w:rFonts w:ascii="Times New Roman" w:hAnsi="Times New Roman" w:cs="Times New Roman"/>
          <w:sz w:val="24"/>
          <w:szCs w:val="24"/>
        </w:rPr>
        <w:t xml:space="preserve">a řízení </w:t>
      </w:r>
      <w:r w:rsidRPr="0014016D">
        <w:rPr>
          <w:rFonts w:ascii="Times New Roman" w:hAnsi="Times New Roman" w:cs="Times New Roman"/>
          <w:sz w:val="24"/>
          <w:szCs w:val="24"/>
        </w:rPr>
        <w:t xml:space="preserve">rizik při nastavení a realizaci synergií, např. u časově, věcně a finančně podmíněných projektů. </w:t>
      </w:r>
    </w:p>
    <w:p w:rsidR="00DA1FC4" w:rsidRDefault="00DA1FC4" w:rsidP="00DA1FC4">
      <w:pPr>
        <w:pStyle w:val="Odstavecseseznamem"/>
        <w:numPr>
          <w:ilvl w:val="0"/>
          <w:numId w:val="53"/>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Využití možnosti křížového financování zajišťující slaďovaní synergických intervencí.</w:t>
      </w:r>
    </w:p>
    <w:p w:rsidR="00DA1FC4" w:rsidRPr="0014016D" w:rsidRDefault="00DA1FC4" w:rsidP="00DA1FC4">
      <w:pPr>
        <w:pStyle w:val="Odstavecseseznamem"/>
        <w:numPr>
          <w:ilvl w:val="0"/>
          <w:numId w:val="53"/>
        </w:numPr>
        <w:spacing w:after="120" w:line="240" w:lineRule="auto"/>
        <w:jc w:val="both"/>
        <w:rPr>
          <w:rFonts w:ascii="Times New Roman" w:hAnsi="Times New Roman" w:cs="Times New Roman"/>
          <w:sz w:val="24"/>
          <w:szCs w:val="24"/>
        </w:rPr>
      </w:pPr>
      <w:r>
        <w:rPr>
          <w:rFonts w:ascii="Times New Roman" w:hAnsi="Times New Roman" w:cs="Times New Roman"/>
          <w:sz w:val="24"/>
          <w:szCs w:val="24"/>
        </w:rPr>
        <w:t>F</w:t>
      </w:r>
      <w:r w:rsidRPr="000344D1">
        <w:rPr>
          <w:rFonts w:ascii="Times New Roman" w:hAnsi="Times New Roman" w:cs="Times New Roman"/>
          <w:sz w:val="24"/>
          <w:szCs w:val="24"/>
        </w:rPr>
        <w:t>ormování společné informační a komunikační strategie</w:t>
      </w:r>
      <w:r>
        <w:rPr>
          <w:rFonts w:ascii="Times New Roman" w:hAnsi="Times New Roman" w:cs="Times New Roman"/>
          <w:sz w:val="24"/>
          <w:szCs w:val="24"/>
        </w:rPr>
        <w:t xml:space="preserve">, </w:t>
      </w:r>
      <w:r w:rsidRPr="000344D1">
        <w:rPr>
          <w:rFonts w:ascii="Times New Roman" w:hAnsi="Times New Roman" w:cs="Times New Roman"/>
          <w:sz w:val="24"/>
          <w:szCs w:val="24"/>
        </w:rPr>
        <w:t>vytváření společných kontaktních míst</w:t>
      </w:r>
      <w:r>
        <w:rPr>
          <w:rFonts w:ascii="Times New Roman" w:hAnsi="Times New Roman" w:cs="Times New Roman"/>
          <w:sz w:val="24"/>
          <w:szCs w:val="24"/>
        </w:rPr>
        <w:t>.</w:t>
      </w:r>
    </w:p>
    <w:p w:rsidR="00DA1FC4" w:rsidRPr="0014016D" w:rsidRDefault="00DA1FC4" w:rsidP="00DA1FC4">
      <w:pPr>
        <w:pStyle w:val="Odstavecseseznamem"/>
        <w:numPr>
          <w:ilvl w:val="0"/>
          <w:numId w:val="53"/>
        </w:numPr>
        <w:spacing w:after="120" w:line="240" w:lineRule="auto"/>
        <w:jc w:val="both"/>
        <w:rPr>
          <w:rFonts w:ascii="Times New Roman" w:hAnsi="Times New Roman" w:cs="Times New Roman"/>
          <w:sz w:val="24"/>
          <w:szCs w:val="24"/>
        </w:rPr>
      </w:pPr>
      <w:r w:rsidRPr="0014016D">
        <w:rPr>
          <w:rFonts w:ascii="Times New Roman" w:hAnsi="Times New Roman" w:cs="Times New Roman"/>
          <w:sz w:val="24"/>
          <w:szCs w:val="24"/>
        </w:rPr>
        <w:t>Další specifické nástroje použité ŘO.</w:t>
      </w:r>
    </w:p>
    <w:p w:rsidR="00DA1FC4" w:rsidRDefault="00DA1FC4" w:rsidP="00DA1FC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Detailní rozpracování použitých mechanismů koordinace a jejich nástrojů je součástí jednotlivých programů, a to dle charakteru sledované synergie vyžadující vždy specifický přístup.</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Součástí kapitoly nejsou obsaženy mechanismy koordinace programů ESIF s programy EÚS a makro strategií, což je obsaženo v kap. 3.1.4.</w:t>
      </w:r>
    </w:p>
    <w:p w:rsidR="00B221B5" w:rsidRPr="000B521F" w:rsidRDefault="00B221B5" w:rsidP="0059011D">
      <w:pPr>
        <w:spacing w:after="120" w:line="240" w:lineRule="auto"/>
        <w:rPr>
          <w:rFonts w:ascii="Times New Roman" w:hAnsi="Times New Roman" w:cs="Times New Roman"/>
          <w:b/>
          <w:sz w:val="24"/>
          <w:szCs w:val="24"/>
        </w:rPr>
      </w:pPr>
      <w:r w:rsidRPr="000B521F">
        <w:rPr>
          <w:rFonts w:ascii="Times New Roman" w:hAnsi="Times New Roman" w:cs="Times New Roman"/>
          <w:b/>
          <w:sz w:val="24"/>
          <w:szCs w:val="24"/>
        </w:rPr>
        <w:t>2.1.5 Mechanismus pomoci žadatelům k použití fondů doplňkovým způsobem</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Pro příští programové období připravuje MMR soubor informačních nástrojů, které mají pomoci žadatelům a příjemcům využít prostředky fondů ESI odpovídajícím způsobem. </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Základem komunikace jsou webové stránky fondů ESI, které vedle přehledných informací o regionální politice a jednotlivých programech ESIF nabízejí uživatelům on-line kontakt se se zaměstnanci informační linky fondů ESI. Dalším webovým nástrojem je portál Mapaprojektu.cz, který uživatelům umožňuje rychlý přehled o projektech, které byly na území České republiky realizovány za pomoci prostředků z ESI fondů. Uživatel tak může zjistit základní informace o projektech realizovaných na kterémkoli místě ČR a současně získat i odkazy na další zdroje informací.</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Poradenství k fondům ESI je z centrální úrovně zajištěno prostřednictvím kontaktních míst Eurocenter ve třinácti krajských městech a také prostřednictvím informační linky Eurofon. Paralelně funguje informační servis na úrovni jednotlivých programů a jejich informačních nástrojů (kontaktní místa, webové stránky, infolinky). Informační servisy jednotlivých ŘO informují o ESI fondech vůči všem cílovým skupinám. Jejich pracovníci zajišťují podporu žadatelům a příjemcům a na vyžádání poskytují potřebné informace, případně radí, kde odpovědi na dotazy najít.</w:t>
      </w:r>
    </w:p>
    <w:p w:rsidR="00B221B5" w:rsidRPr="000B521F" w:rsidRDefault="00B221B5"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Detailnější informace jsou rozpracovávány Metodickým pokynem pro publicitu a Společná komunikační strategie Evropských strukturálních a investičních fondů v ČR v programovém období 2014</w:t>
      </w:r>
      <w:r w:rsidR="00C703C6">
        <w:rPr>
          <w:rFonts w:ascii="Times New Roman" w:hAnsi="Times New Roman" w:cs="Times New Roman"/>
          <w:color w:val="000000"/>
          <w:sz w:val="24"/>
          <w:szCs w:val="24"/>
        </w:rPr>
        <w:t>–</w:t>
      </w:r>
      <w:r w:rsidRPr="000B521F">
        <w:rPr>
          <w:rFonts w:ascii="Times New Roman" w:hAnsi="Times New Roman" w:cs="Times New Roman"/>
          <w:sz w:val="24"/>
          <w:szCs w:val="24"/>
        </w:rPr>
        <w:t>2020.</w:t>
      </w:r>
    </w:p>
    <w:p w:rsidR="00507842" w:rsidRPr="000B521F" w:rsidRDefault="00507842" w:rsidP="0059011D">
      <w:pPr>
        <w:pStyle w:val="Nadpis2"/>
      </w:pPr>
      <w:bookmarkStart w:id="84" w:name="_Toc350333638"/>
      <w:bookmarkStart w:id="85" w:name="_Toc374702895"/>
      <w:r w:rsidRPr="000B521F">
        <w:t>Informace požadované pro ex ante ověření souladu s pravidly adicionality</w:t>
      </w:r>
      <w:bookmarkEnd w:id="84"/>
      <w:bookmarkEnd w:id="85"/>
    </w:p>
    <w:p w:rsidR="00D670C8" w:rsidRPr="000B521F" w:rsidRDefault="002B23F0" w:rsidP="0059011D">
      <w:pPr>
        <w:spacing w:after="120" w:line="240" w:lineRule="auto"/>
        <w:ind w:right="-2"/>
        <w:jc w:val="both"/>
        <w:rPr>
          <w:rFonts w:ascii="Times New Roman" w:hAnsi="Times New Roman" w:cs="Times New Roman"/>
          <w:sz w:val="24"/>
          <w:szCs w:val="24"/>
        </w:rPr>
      </w:pPr>
      <w:r w:rsidRPr="000B521F">
        <w:rPr>
          <w:rFonts w:ascii="Times New Roman" w:hAnsi="Times New Roman" w:cs="Times New Roman"/>
          <w:sz w:val="24"/>
          <w:szCs w:val="24"/>
        </w:rPr>
        <w:t>Ověření adicionality ve fázi ex-ante se provádí na základě údajů uvedených v Konvergenčním programu. Program publik</w:t>
      </w:r>
      <w:r w:rsidR="00A110BA" w:rsidRPr="000B521F">
        <w:rPr>
          <w:rFonts w:ascii="Times New Roman" w:hAnsi="Times New Roman" w:cs="Times New Roman"/>
          <w:sz w:val="24"/>
          <w:szCs w:val="24"/>
        </w:rPr>
        <w:t>ov</w:t>
      </w:r>
      <w:r w:rsidRPr="000B521F">
        <w:rPr>
          <w:rFonts w:ascii="Times New Roman" w:hAnsi="Times New Roman" w:cs="Times New Roman"/>
          <w:sz w:val="24"/>
          <w:szCs w:val="24"/>
        </w:rPr>
        <w:t>aný v květnu 2013 udává hodnoty příslušných veličin do roku 2016. Proto pro v</w:t>
      </w:r>
      <w:r w:rsidR="00E62034" w:rsidRPr="000B521F">
        <w:rPr>
          <w:rFonts w:ascii="Times New Roman" w:hAnsi="Times New Roman" w:cs="Times New Roman"/>
          <w:sz w:val="24"/>
          <w:szCs w:val="24"/>
        </w:rPr>
        <w:t>ýpočty za zbývající roky 2017–</w:t>
      </w:r>
      <w:r w:rsidRPr="000B521F">
        <w:rPr>
          <w:rFonts w:ascii="Times New Roman" w:hAnsi="Times New Roman" w:cs="Times New Roman"/>
          <w:sz w:val="24"/>
          <w:szCs w:val="24"/>
        </w:rPr>
        <w:t>2020 byly využity navazující odhady vývoje makroekonomických ukazatelů vytvořené Ministerstvem financí, včetně poměrového ukazatele THFKVS/HDP.</w:t>
      </w:r>
    </w:p>
    <w:p w:rsidR="00D670C8" w:rsidRPr="000B521F" w:rsidRDefault="00E62034" w:rsidP="0059011D">
      <w:pPr>
        <w:spacing w:after="120" w:line="240" w:lineRule="auto"/>
        <w:ind w:right="-2"/>
        <w:jc w:val="both"/>
        <w:rPr>
          <w:rFonts w:ascii="Times New Roman" w:hAnsi="Times New Roman" w:cs="Times New Roman"/>
          <w:sz w:val="24"/>
          <w:szCs w:val="24"/>
        </w:rPr>
      </w:pPr>
      <w:r w:rsidRPr="000B521F">
        <w:rPr>
          <w:rFonts w:ascii="Times New Roman" w:hAnsi="Times New Roman" w:cs="Times New Roman"/>
          <w:sz w:val="24"/>
          <w:szCs w:val="24"/>
        </w:rPr>
        <w:t>ČR</w:t>
      </w:r>
      <w:r w:rsidR="002B23F0" w:rsidRPr="000B521F">
        <w:rPr>
          <w:rFonts w:ascii="Times New Roman" w:hAnsi="Times New Roman" w:cs="Times New Roman"/>
          <w:sz w:val="24"/>
          <w:szCs w:val="24"/>
        </w:rPr>
        <w:t xml:space="preserve"> bude ověřování adiciona</w:t>
      </w:r>
      <w:r w:rsidR="00B231E4" w:rsidRPr="000B521F">
        <w:rPr>
          <w:rFonts w:ascii="Times New Roman" w:hAnsi="Times New Roman" w:cs="Times New Roman"/>
          <w:sz w:val="24"/>
          <w:szCs w:val="24"/>
        </w:rPr>
        <w:t>lity provádět za celé své území</w:t>
      </w:r>
      <w:r w:rsidR="002B23F0" w:rsidRPr="000B521F">
        <w:rPr>
          <w:rFonts w:ascii="Times New Roman" w:hAnsi="Times New Roman" w:cs="Times New Roman"/>
          <w:sz w:val="24"/>
          <w:szCs w:val="24"/>
        </w:rPr>
        <w:t xml:space="preserve"> nikoliv na regionální úrovni. Vyplývá to ze skutečnosti, že počet obyvatelstva v méně rozvinutých regionech překračuje v ČR hranici 65% celkové její populace. Jediným regionem, který se v ČR vymyká definici méně rozvinutého regionu je region Hlavního města Prahy, v kterém dle údajů Eurostatu v roce 2012 žilo 1 241,7 tis. obyvatel, což představuje 11,8% z počtu obyvatel ČR čítajícím 10 505,4 tis. obyvatel.</w:t>
      </w:r>
    </w:p>
    <w:p w:rsidR="00D670C8" w:rsidRPr="000B521F" w:rsidRDefault="002B23F0" w:rsidP="0059011D">
      <w:pPr>
        <w:spacing w:after="120" w:line="240" w:lineRule="auto"/>
        <w:ind w:right="-2"/>
        <w:jc w:val="both"/>
        <w:rPr>
          <w:rFonts w:ascii="Times New Roman" w:hAnsi="Times New Roman" w:cs="Times New Roman"/>
          <w:sz w:val="24"/>
          <w:szCs w:val="24"/>
        </w:rPr>
      </w:pPr>
      <w:r w:rsidRPr="000B521F">
        <w:rPr>
          <w:rFonts w:ascii="Times New Roman" w:hAnsi="Times New Roman" w:cs="Times New Roman"/>
          <w:sz w:val="24"/>
          <w:szCs w:val="24"/>
        </w:rPr>
        <w:t>Na základě těchto východisek byla pro určení výchozí výše ukazatele THFKVS/HDP za ČR vypočtena jeho průměrná hodnota dle údaj</w:t>
      </w:r>
      <w:r w:rsidR="00C703C6">
        <w:rPr>
          <w:rFonts w:ascii="Times New Roman" w:hAnsi="Times New Roman" w:cs="Times New Roman"/>
          <w:sz w:val="24"/>
          <w:szCs w:val="24"/>
        </w:rPr>
        <w:t>ů jednotlivých roků období 2014</w:t>
      </w:r>
      <w:r w:rsidRPr="000B521F">
        <w:rPr>
          <w:rFonts w:ascii="Times New Roman" w:hAnsi="Times New Roman" w:cs="Times New Roman"/>
          <w:sz w:val="24"/>
          <w:szCs w:val="24"/>
        </w:rPr>
        <w:t xml:space="preserve">–2020 </w:t>
      </w:r>
      <w:r w:rsidRPr="000B521F">
        <w:rPr>
          <w:rFonts w:ascii="Times New Roman" w:hAnsi="Times New Roman" w:cs="Times New Roman"/>
          <w:b/>
          <w:sz w:val="24"/>
          <w:szCs w:val="24"/>
        </w:rPr>
        <w:t xml:space="preserve">ve výši </w:t>
      </w:r>
      <w:r w:rsidRPr="000B521F">
        <w:rPr>
          <w:rFonts w:ascii="Times New Roman" w:hAnsi="Times New Roman" w:cs="Times New Roman"/>
          <w:b/>
          <w:sz w:val="24"/>
          <w:szCs w:val="24"/>
        </w:rPr>
        <w:lastRenderedPageBreak/>
        <w:t>3,3%.</w:t>
      </w:r>
      <w:r w:rsidRPr="000B521F">
        <w:rPr>
          <w:rFonts w:ascii="Times New Roman" w:hAnsi="Times New Roman" w:cs="Times New Roman"/>
          <w:sz w:val="24"/>
          <w:szCs w:val="24"/>
        </w:rPr>
        <w:t xml:space="preserve"> Návazně na předpoklady vývoje HDP tato úroveň poměrového ukazatele representuje v absolutním vyjádření průměrný roční objem THFKVS v výši 145,3 mld. Kč (v b.c.). </w:t>
      </w:r>
    </w:p>
    <w:p w:rsidR="00D670C8" w:rsidRPr="000B521F" w:rsidRDefault="002B23F0" w:rsidP="0059011D">
      <w:pPr>
        <w:spacing w:after="120" w:line="240" w:lineRule="auto"/>
        <w:ind w:right="-2"/>
        <w:jc w:val="both"/>
        <w:rPr>
          <w:rFonts w:ascii="Times New Roman" w:hAnsi="Times New Roman" w:cs="Times New Roman"/>
          <w:sz w:val="24"/>
          <w:szCs w:val="24"/>
        </w:rPr>
      </w:pPr>
      <w:r w:rsidRPr="000B521F">
        <w:rPr>
          <w:rFonts w:ascii="Times New Roman" w:hAnsi="Times New Roman" w:cs="Times New Roman"/>
          <w:sz w:val="24"/>
          <w:szCs w:val="24"/>
        </w:rPr>
        <w:t>Limit</w:t>
      </w:r>
      <w:r w:rsidR="00C703C6">
        <w:rPr>
          <w:rFonts w:ascii="Times New Roman" w:hAnsi="Times New Roman" w:cs="Times New Roman"/>
          <w:sz w:val="24"/>
          <w:szCs w:val="24"/>
        </w:rPr>
        <w:t xml:space="preserve"> adicionality za ČR období 2014</w:t>
      </w:r>
      <w:r w:rsidRPr="000B521F">
        <w:rPr>
          <w:rFonts w:ascii="Times New Roman" w:hAnsi="Times New Roman" w:cs="Times New Roman"/>
          <w:sz w:val="24"/>
          <w:szCs w:val="24"/>
        </w:rPr>
        <w:t>–2020 a odvozené přírůstky THFKVS na jednotlivé roky byly jednoznačně navázány na předpokl</w:t>
      </w:r>
      <w:r w:rsidR="00E62034" w:rsidRPr="000B521F">
        <w:rPr>
          <w:rFonts w:ascii="Times New Roman" w:hAnsi="Times New Roman" w:cs="Times New Roman"/>
          <w:sz w:val="24"/>
          <w:szCs w:val="24"/>
        </w:rPr>
        <w:t>ádaný vývoj HDP v letech 2014–</w:t>
      </w:r>
      <w:r w:rsidRPr="000B521F">
        <w:rPr>
          <w:rFonts w:ascii="Times New Roman" w:hAnsi="Times New Roman" w:cs="Times New Roman"/>
          <w:sz w:val="24"/>
          <w:szCs w:val="24"/>
        </w:rPr>
        <w:t>2020 a kopíruje jeho vývojovou linii. Stejně jako HDP i THFKVS se má v souhrnu let 2014 až 2020 zvýšit o 24,6%. Toto tempo růstu za celé období by v absolutním vyjádření mělo představovat přírůstek hrubého fixního kapitálu vládního sektoru v částce 3</w:t>
      </w:r>
      <w:r w:rsidR="00025E8A" w:rsidRPr="000B521F">
        <w:rPr>
          <w:rFonts w:ascii="Times New Roman" w:hAnsi="Times New Roman" w:cs="Times New Roman"/>
          <w:sz w:val="24"/>
          <w:szCs w:val="24"/>
        </w:rPr>
        <w:t>2</w:t>
      </w:r>
      <w:r w:rsidRPr="000B521F">
        <w:rPr>
          <w:rFonts w:ascii="Times New Roman" w:hAnsi="Times New Roman" w:cs="Times New Roman"/>
          <w:sz w:val="24"/>
          <w:szCs w:val="24"/>
        </w:rPr>
        <w:t xml:space="preserve"> mld. Kč (v b.c.). Uvedená tempa růstu THFKVS navázaná na růst HDP ve výši průměrných 3,5% ročně představují dostatečný prostor pro rozvoj této ekonomické kategorie, aniž by bylo nutné z hlediska stanovení limitu adicionality je nad tuto úroveň navyšovat promítáním dodatečných přírůstků vzniklých nad rámec předpokládaného tempa růstu HDP. Současně odhadovaná výše poměrového ukazatele navazuje na jeho úroveň za rok 2013, pro který je předpokládán ve výši 3,2%. </w:t>
      </w:r>
    </w:p>
    <w:p w:rsidR="00AF79D5" w:rsidRPr="000B521F" w:rsidRDefault="002B23F0"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Tímto modelem řešení výpočtu je plně zajištěn přístup dle návrhu nařízení týkající se adicionality, neboť ta má být bezprostředně spojena se skutečným ekonomickým vývojem na základě vývoje HDP. Tím je umožněno, aby se vývoj hospodaření</w:t>
      </w:r>
      <w:r w:rsidR="00E62034" w:rsidRPr="000B521F">
        <w:rPr>
          <w:rFonts w:ascii="Times New Roman" w:hAnsi="Times New Roman" w:cs="Times New Roman"/>
          <w:sz w:val="24"/>
          <w:szCs w:val="24"/>
        </w:rPr>
        <w:t xml:space="preserve"> v průběhu celého období 2014–</w:t>
      </w:r>
      <w:r w:rsidRPr="000B521F">
        <w:rPr>
          <w:rFonts w:ascii="Times New Roman" w:hAnsi="Times New Roman" w:cs="Times New Roman"/>
          <w:sz w:val="24"/>
          <w:szCs w:val="24"/>
        </w:rPr>
        <w:t>2020 do ukazatele adicionality plně promítl. Tak by mělo dojít k podchycení dopadů potencionálních i vzniklých rizik ve vývoji národního hospodářství na THFKVS a k omezení nejistot při naplňování stanoveného limitu adicionality.</w:t>
      </w:r>
      <w:r w:rsidR="00652AE2" w:rsidRPr="000B521F">
        <w:rPr>
          <w:rFonts w:ascii="Times New Roman" w:hAnsi="Times New Roman" w:cs="Times New Roman"/>
          <w:sz w:val="24"/>
          <w:szCs w:val="24"/>
        </w:rPr>
        <w:t xml:space="preserve"> </w:t>
      </w:r>
      <w:r w:rsidR="00AF79D5" w:rsidRPr="000B521F">
        <w:rPr>
          <w:rFonts w:ascii="Times New Roman" w:hAnsi="Times New Roman" w:cs="Times New Roman"/>
          <w:sz w:val="24"/>
          <w:szCs w:val="24"/>
        </w:rPr>
        <w:t xml:space="preserve">Rovněž by tento přístup založený na </w:t>
      </w:r>
      <w:r w:rsidR="00AF79D5" w:rsidRPr="000B521F">
        <w:rPr>
          <w:rFonts w:ascii="Times New Roman" w:hAnsi="Times New Roman" w:cs="Times New Roman"/>
          <w:color w:val="000000"/>
          <w:sz w:val="24"/>
          <w:szCs w:val="24"/>
        </w:rPr>
        <w:t>přírůstcích investování podle vývoje HDP</w:t>
      </w:r>
      <w:r w:rsidR="00AF79D5" w:rsidRPr="000B521F">
        <w:rPr>
          <w:rFonts w:ascii="Times New Roman" w:hAnsi="Times New Roman" w:cs="Times New Roman"/>
          <w:sz w:val="24"/>
          <w:szCs w:val="24"/>
        </w:rPr>
        <w:t xml:space="preserve"> měl umožnit</w:t>
      </w:r>
      <w:r w:rsidR="00AF79D5" w:rsidRPr="000B521F">
        <w:rPr>
          <w:rFonts w:ascii="Times New Roman" w:hAnsi="Times New Roman" w:cs="Times New Roman"/>
          <w:color w:val="000000"/>
          <w:sz w:val="24"/>
          <w:szCs w:val="24"/>
        </w:rPr>
        <w:t xml:space="preserve"> sledování širších ekonomických cílů včetně zajištění trvalého a stabilního vývoje veřejných investic.</w:t>
      </w:r>
    </w:p>
    <w:p w:rsidR="00D670C8" w:rsidRPr="000B521F" w:rsidRDefault="002B23F0" w:rsidP="0059011D">
      <w:pPr>
        <w:spacing w:after="120" w:line="240" w:lineRule="auto"/>
        <w:ind w:right="1418"/>
        <w:jc w:val="both"/>
        <w:rPr>
          <w:rFonts w:ascii="Times New Roman" w:hAnsi="Times New Roman" w:cs="Times New Roman"/>
          <w:sz w:val="24"/>
          <w:szCs w:val="24"/>
        </w:rPr>
      </w:pPr>
      <w:r w:rsidRPr="000B521F">
        <w:rPr>
          <w:rFonts w:ascii="Times New Roman" w:hAnsi="Times New Roman" w:cs="Times New Roman"/>
          <w:sz w:val="24"/>
          <w:szCs w:val="24"/>
        </w:rPr>
        <w:t>Hodnota výchozího limitu adicionality plyne z výpočtu dle údajů následující tabulky:</w:t>
      </w:r>
    </w:p>
    <w:p w:rsidR="008573FC" w:rsidRPr="000B521F" w:rsidRDefault="00B231E4" w:rsidP="0059011D">
      <w:pPr>
        <w:pStyle w:val="Tabulka"/>
        <w:spacing w:before="120" w:after="60"/>
        <w:rPr>
          <w:szCs w:val="20"/>
        </w:rPr>
      </w:pPr>
      <w:bookmarkStart w:id="86" w:name="_Toc370399047"/>
      <w:r w:rsidRPr="000B521F">
        <w:rPr>
          <w:szCs w:val="20"/>
        </w:rPr>
        <w:t>Tabulka 2-2</w:t>
      </w:r>
      <w:r w:rsidR="00C703C6">
        <w:rPr>
          <w:szCs w:val="20"/>
        </w:rPr>
        <w:t>:</w:t>
      </w:r>
      <w:r w:rsidRPr="000B521F">
        <w:rPr>
          <w:szCs w:val="20"/>
        </w:rPr>
        <w:t xml:space="preserve"> Limit adi</w:t>
      </w:r>
      <w:r w:rsidR="00B2415B" w:rsidRPr="000B521F">
        <w:rPr>
          <w:szCs w:val="20"/>
        </w:rPr>
        <w:t>c</w:t>
      </w:r>
      <w:r w:rsidRPr="000B521F">
        <w:rPr>
          <w:szCs w:val="20"/>
        </w:rPr>
        <w:t>ionality pro období 2014–2020 vyjádřený poměrovým ukazatelem THFKVS/HDP v %</w:t>
      </w:r>
      <w:bookmarkEnd w:id="86"/>
    </w:p>
    <w:tbl>
      <w:tblPr>
        <w:tblW w:w="0" w:type="auto"/>
        <w:tblInd w:w="70" w:type="dxa"/>
        <w:tblCellMar>
          <w:left w:w="70" w:type="dxa"/>
          <w:right w:w="70" w:type="dxa"/>
        </w:tblCellMar>
        <w:tblLook w:val="0000" w:firstRow="0" w:lastRow="0" w:firstColumn="0" w:lastColumn="0" w:noHBand="0" w:noVBand="0"/>
      </w:tblPr>
      <w:tblGrid>
        <w:gridCol w:w="2098"/>
        <w:gridCol w:w="851"/>
        <w:gridCol w:w="851"/>
        <w:gridCol w:w="851"/>
        <w:gridCol w:w="851"/>
        <w:gridCol w:w="851"/>
        <w:gridCol w:w="851"/>
        <w:gridCol w:w="851"/>
        <w:gridCol w:w="1077"/>
      </w:tblGrid>
      <w:tr w:rsidR="00D258D1" w:rsidRPr="000B521F" w:rsidTr="008F7C58">
        <w:trPr>
          <w:trHeight w:val="525"/>
        </w:trPr>
        <w:tc>
          <w:tcPr>
            <w:tcW w:w="2098" w:type="dxa"/>
            <w:tcBorders>
              <w:top w:val="single" w:sz="8" w:space="0" w:color="auto"/>
              <w:left w:val="single" w:sz="8" w:space="0" w:color="auto"/>
              <w:bottom w:val="nil"/>
              <w:right w:val="single" w:sz="8" w:space="0" w:color="auto"/>
            </w:tcBorders>
            <w:shd w:val="clear" w:color="auto" w:fill="8DB3E2" w:themeFill="text2" w:themeFillTint="66"/>
            <w:vAlign w:val="center"/>
          </w:tcPr>
          <w:p w:rsidR="00B231E4" w:rsidRPr="000B521F" w:rsidRDefault="00B231E4" w:rsidP="0059011D">
            <w:pPr>
              <w:spacing w:after="120" w:line="240" w:lineRule="auto"/>
              <w:jc w:val="center"/>
              <w:rPr>
                <w:rFonts w:ascii="Times New Roman" w:hAnsi="Times New Roman" w:cs="Times New Roman"/>
                <w:b/>
                <w:bCs/>
                <w:sz w:val="24"/>
                <w:szCs w:val="24"/>
              </w:rPr>
            </w:pPr>
            <w:r w:rsidRPr="000B521F">
              <w:rPr>
                <w:rFonts w:ascii="Times New Roman" w:hAnsi="Times New Roman" w:cs="Times New Roman"/>
                <w:b/>
                <w:bCs/>
                <w:sz w:val="24"/>
                <w:szCs w:val="24"/>
              </w:rPr>
              <w:t>rok</w:t>
            </w:r>
          </w:p>
        </w:tc>
        <w:tc>
          <w:tcPr>
            <w:tcW w:w="851" w:type="dxa"/>
            <w:tcBorders>
              <w:top w:val="single" w:sz="8" w:space="0" w:color="auto"/>
              <w:left w:val="nil"/>
              <w:bottom w:val="nil"/>
              <w:right w:val="single" w:sz="8" w:space="0" w:color="auto"/>
            </w:tcBorders>
            <w:shd w:val="clear" w:color="auto" w:fill="8DB3E2" w:themeFill="text2" w:themeFillTint="66"/>
            <w:noWrap/>
            <w:vAlign w:val="center"/>
          </w:tcPr>
          <w:p w:rsidR="00B231E4" w:rsidRPr="000B521F" w:rsidRDefault="00B231E4" w:rsidP="0059011D">
            <w:pPr>
              <w:spacing w:after="120" w:line="240" w:lineRule="auto"/>
              <w:jc w:val="center"/>
              <w:rPr>
                <w:rFonts w:ascii="Times New Roman" w:hAnsi="Times New Roman" w:cs="Times New Roman"/>
                <w:b/>
                <w:bCs/>
                <w:sz w:val="24"/>
                <w:szCs w:val="24"/>
              </w:rPr>
            </w:pPr>
            <w:r w:rsidRPr="000B521F">
              <w:rPr>
                <w:rFonts w:ascii="Times New Roman" w:hAnsi="Times New Roman" w:cs="Times New Roman"/>
                <w:b/>
                <w:bCs/>
                <w:sz w:val="24"/>
                <w:szCs w:val="24"/>
              </w:rPr>
              <w:t>2014</w:t>
            </w:r>
          </w:p>
        </w:tc>
        <w:tc>
          <w:tcPr>
            <w:tcW w:w="851" w:type="dxa"/>
            <w:tcBorders>
              <w:top w:val="single" w:sz="8" w:space="0" w:color="auto"/>
              <w:left w:val="nil"/>
              <w:bottom w:val="nil"/>
              <w:right w:val="single" w:sz="8" w:space="0" w:color="auto"/>
            </w:tcBorders>
            <w:shd w:val="clear" w:color="auto" w:fill="8DB3E2" w:themeFill="text2" w:themeFillTint="66"/>
            <w:noWrap/>
            <w:vAlign w:val="center"/>
          </w:tcPr>
          <w:p w:rsidR="00B231E4" w:rsidRPr="000B521F" w:rsidRDefault="00B231E4" w:rsidP="0059011D">
            <w:pPr>
              <w:spacing w:after="120" w:line="240" w:lineRule="auto"/>
              <w:jc w:val="center"/>
              <w:rPr>
                <w:rFonts w:ascii="Times New Roman" w:hAnsi="Times New Roman" w:cs="Times New Roman"/>
                <w:b/>
                <w:bCs/>
                <w:sz w:val="24"/>
                <w:szCs w:val="24"/>
              </w:rPr>
            </w:pPr>
            <w:r w:rsidRPr="000B521F">
              <w:rPr>
                <w:rFonts w:ascii="Times New Roman" w:hAnsi="Times New Roman" w:cs="Times New Roman"/>
                <w:b/>
                <w:bCs/>
                <w:sz w:val="24"/>
                <w:szCs w:val="24"/>
              </w:rPr>
              <w:t>2015</w:t>
            </w:r>
          </w:p>
        </w:tc>
        <w:tc>
          <w:tcPr>
            <w:tcW w:w="851" w:type="dxa"/>
            <w:tcBorders>
              <w:top w:val="single" w:sz="8" w:space="0" w:color="auto"/>
              <w:left w:val="nil"/>
              <w:bottom w:val="nil"/>
              <w:right w:val="single" w:sz="8" w:space="0" w:color="auto"/>
            </w:tcBorders>
            <w:shd w:val="clear" w:color="auto" w:fill="8DB3E2" w:themeFill="text2" w:themeFillTint="66"/>
            <w:noWrap/>
            <w:vAlign w:val="center"/>
          </w:tcPr>
          <w:p w:rsidR="00B231E4" w:rsidRPr="000B521F" w:rsidRDefault="00B231E4" w:rsidP="0059011D">
            <w:pPr>
              <w:spacing w:after="120" w:line="240" w:lineRule="auto"/>
              <w:jc w:val="center"/>
              <w:rPr>
                <w:rFonts w:ascii="Times New Roman" w:hAnsi="Times New Roman" w:cs="Times New Roman"/>
                <w:b/>
                <w:bCs/>
                <w:sz w:val="24"/>
                <w:szCs w:val="24"/>
              </w:rPr>
            </w:pPr>
            <w:r w:rsidRPr="000B521F">
              <w:rPr>
                <w:rFonts w:ascii="Times New Roman" w:hAnsi="Times New Roman" w:cs="Times New Roman"/>
                <w:b/>
                <w:bCs/>
                <w:sz w:val="24"/>
                <w:szCs w:val="24"/>
              </w:rPr>
              <w:t>2016</w:t>
            </w:r>
          </w:p>
        </w:tc>
        <w:tc>
          <w:tcPr>
            <w:tcW w:w="851" w:type="dxa"/>
            <w:tcBorders>
              <w:top w:val="single" w:sz="8" w:space="0" w:color="auto"/>
              <w:left w:val="nil"/>
              <w:bottom w:val="nil"/>
              <w:right w:val="single" w:sz="8" w:space="0" w:color="auto"/>
            </w:tcBorders>
            <w:shd w:val="clear" w:color="auto" w:fill="8DB3E2" w:themeFill="text2" w:themeFillTint="66"/>
            <w:noWrap/>
            <w:vAlign w:val="center"/>
          </w:tcPr>
          <w:p w:rsidR="00B231E4" w:rsidRPr="000B521F" w:rsidRDefault="00B231E4" w:rsidP="0059011D">
            <w:pPr>
              <w:spacing w:after="120" w:line="240" w:lineRule="auto"/>
              <w:jc w:val="center"/>
              <w:rPr>
                <w:rFonts w:ascii="Times New Roman" w:hAnsi="Times New Roman" w:cs="Times New Roman"/>
                <w:b/>
                <w:bCs/>
                <w:sz w:val="24"/>
                <w:szCs w:val="24"/>
              </w:rPr>
            </w:pPr>
            <w:r w:rsidRPr="000B521F">
              <w:rPr>
                <w:rFonts w:ascii="Times New Roman" w:hAnsi="Times New Roman" w:cs="Times New Roman"/>
                <w:b/>
                <w:bCs/>
                <w:sz w:val="24"/>
                <w:szCs w:val="24"/>
              </w:rPr>
              <w:t>2017</w:t>
            </w:r>
          </w:p>
        </w:tc>
        <w:tc>
          <w:tcPr>
            <w:tcW w:w="851" w:type="dxa"/>
            <w:tcBorders>
              <w:top w:val="single" w:sz="8" w:space="0" w:color="auto"/>
              <w:left w:val="nil"/>
              <w:bottom w:val="nil"/>
              <w:right w:val="single" w:sz="8" w:space="0" w:color="auto"/>
            </w:tcBorders>
            <w:shd w:val="clear" w:color="auto" w:fill="8DB3E2" w:themeFill="text2" w:themeFillTint="66"/>
            <w:noWrap/>
            <w:vAlign w:val="center"/>
          </w:tcPr>
          <w:p w:rsidR="00B231E4" w:rsidRPr="000B521F" w:rsidRDefault="00B231E4" w:rsidP="0059011D">
            <w:pPr>
              <w:spacing w:after="120" w:line="240" w:lineRule="auto"/>
              <w:jc w:val="center"/>
              <w:rPr>
                <w:rFonts w:ascii="Times New Roman" w:hAnsi="Times New Roman" w:cs="Times New Roman"/>
                <w:b/>
                <w:bCs/>
                <w:sz w:val="24"/>
                <w:szCs w:val="24"/>
              </w:rPr>
            </w:pPr>
            <w:r w:rsidRPr="000B521F">
              <w:rPr>
                <w:rFonts w:ascii="Times New Roman" w:hAnsi="Times New Roman" w:cs="Times New Roman"/>
                <w:b/>
                <w:bCs/>
                <w:sz w:val="24"/>
                <w:szCs w:val="24"/>
              </w:rPr>
              <w:t>2018</w:t>
            </w:r>
          </w:p>
        </w:tc>
        <w:tc>
          <w:tcPr>
            <w:tcW w:w="851" w:type="dxa"/>
            <w:tcBorders>
              <w:top w:val="single" w:sz="8" w:space="0" w:color="auto"/>
              <w:left w:val="nil"/>
              <w:bottom w:val="nil"/>
              <w:right w:val="single" w:sz="8" w:space="0" w:color="auto"/>
            </w:tcBorders>
            <w:shd w:val="clear" w:color="auto" w:fill="8DB3E2" w:themeFill="text2" w:themeFillTint="66"/>
            <w:noWrap/>
            <w:vAlign w:val="center"/>
          </w:tcPr>
          <w:p w:rsidR="00B231E4" w:rsidRPr="000B521F" w:rsidRDefault="00B231E4" w:rsidP="0059011D">
            <w:pPr>
              <w:spacing w:after="120" w:line="240" w:lineRule="auto"/>
              <w:jc w:val="center"/>
              <w:rPr>
                <w:rFonts w:ascii="Times New Roman" w:hAnsi="Times New Roman" w:cs="Times New Roman"/>
                <w:b/>
                <w:bCs/>
                <w:sz w:val="24"/>
                <w:szCs w:val="24"/>
              </w:rPr>
            </w:pPr>
            <w:r w:rsidRPr="000B521F">
              <w:rPr>
                <w:rFonts w:ascii="Times New Roman" w:hAnsi="Times New Roman" w:cs="Times New Roman"/>
                <w:b/>
                <w:bCs/>
                <w:sz w:val="24"/>
                <w:szCs w:val="24"/>
              </w:rPr>
              <w:t>2019</w:t>
            </w:r>
          </w:p>
        </w:tc>
        <w:tc>
          <w:tcPr>
            <w:tcW w:w="851" w:type="dxa"/>
            <w:tcBorders>
              <w:top w:val="single" w:sz="8" w:space="0" w:color="auto"/>
              <w:left w:val="nil"/>
              <w:bottom w:val="nil"/>
              <w:right w:val="single" w:sz="8" w:space="0" w:color="auto"/>
            </w:tcBorders>
            <w:shd w:val="clear" w:color="auto" w:fill="8DB3E2" w:themeFill="text2" w:themeFillTint="66"/>
            <w:noWrap/>
            <w:vAlign w:val="center"/>
          </w:tcPr>
          <w:p w:rsidR="00B231E4" w:rsidRPr="000B521F" w:rsidRDefault="00B231E4" w:rsidP="0059011D">
            <w:pPr>
              <w:spacing w:after="120" w:line="240" w:lineRule="auto"/>
              <w:jc w:val="center"/>
              <w:rPr>
                <w:rFonts w:ascii="Times New Roman" w:hAnsi="Times New Roman" w:cs="Times New Roman"/>
                <w:b/>
                <w:bCs/>
                <w:sz w:val="24"/>
                <w:szCs w:val="24"/>
              </w:rPr>
            </w:pPr>
            <w:r w:rsidRPr="000B521F">
              <w:rPr>
                <w:rFonts w:ascii="Times New Roman" w:hAnsi="Times New Roman" w:cs="Times New Roman"/>
                <w:b/>
                <w:bCs/>
                <w:sz w:val="24"/>
                <w:szCs w:val="24"/>
              </w:rPr>
              <w:t>2020</w:t>
            </w:r>
          </w:p>
        </w:tc>
        <w:tc>
          <w:tcPr>
            <w:tcW w:w="1077" w:type="dxa"/>
            <w:tcBorders>
              <w:top w:val="single" w:sz="8" w:space="0" w:color="auto"/>
              <w:left w:val="nil"/>
              <w:bottom w:val="nil"/>
              <w:right w:val="single" w:sz="8" w:space="0" w:color="auto"/>
            </w:tcBorders>
            <w:shd w:val="clear" w:color="auto" w:fill="8DB3E2" w:themeFill="text2" w:themeFillTint="66"/>
            <w:vAlign w:val="center"/>
          </w:tcPr>
          <w:p w:rsidR="00B231E4" w:rsidRPr="006F46A5" w:rsidRDefault="00B231E4" w:rsidP="00C703C6">
            <w:pPr>
              <w:spacing w:after="120" w:line="240" w:lineRule="auto"/>
              <w:jc w:val="center"/>
              <w:rPr>
                <w:rFonts w:ascii="Times New Roman" w:hAnsi="Times New Roman" w:cs="Times New Roman"/>
                <w:b/>
                <w:bCs/>
                <w:sz w:val="20"/>
                <w:szCs w:val="20"/>
              </w:rPr>
            </w:pPr>
            <w:r w:rsidRPr="006F46A5">
              <w:rPr>
                <w:rFonts w:ascii="Times New Roman" w:hAnsi="Times New Roman" w:cs="Times New Roman"/>
                <w:b/>
                <w:bCs/>
                <w:sz w:val="20"/>
                <w:szCs w:val="20"/>
              </w:rPr>
              <w:t>roční průměr 2014</w:t>
            </w:r>
            <w:r w:rsidR="00C703C6">
              <w:rPr>
                <w:rFonts w:ascii="Times New Roman" w:hAnsi="Times New Roman" w:cs="Times New Roman"/>
                <w:b/>
                <w:bCs/>
                <w:sz w:val="20"/>
                <w:szCs w:val="20"/>
              </w:rPr>
              <w:t>–</w:t>
            </w:r>
            <w:r w:rsidRPr="006F46A5">
              <w:rPr>
                <w:rFonts w:ascii="Times New Roman" w:hAnsi="Times New Roman" w:cs="Times New Roman"/>
                <w:b/>
                <w:bCs/>
                <w:sz w:val="20"/>
                <w:szCs w:val="20"/>
              </w:rPr>
              <w:t>2020</w:t>
            </w:r>
          </w:p>
        </w:tc>
      </w:tr>
      <w:tr w:rsidR="00D258D1" w:rsidRPr="000B521F" w:rsidTr="008F7C58">
        <w:trPr>
          <w:trHeight w:val="300"/>
        </w:trPr>
        <w:tc>
          <w:tcPr>
            <w:tcW w:w="2098" w:type="dxa"/>
            <w:tcBorders>
              <w:top w:val="single" w:sz="4" w:space="0" w:color="auto"/>
              <w:left w:val="single" w:sz="8" w:space="0" w:color="auto"/>
              <w:bottom w:val="single" w:sz="4" w:space="0" w:color="auto"/>
              <w:right w:val="single" w:sz="8" w:space="0" w:color="auto"/>
            </w:tcBorders>
            <w:shd w:val="clear" w:color="auto" w:fill="C6D9F1" w:themeFill="text2" w:themeFillTint="33"/>
            <w:noWrap/>
            <w:vAlign w:val="bottom"/>
          </w:tcPr>
          <w:p w:rsidR="00B231E4" w:rsidRPr="006F46A5" w:rsidRDefault="00B231E4" w:rsidP="0059011D">
            <w:pPr>
              <w:spacing w:after="120" w:line="240" w:lineRule="auto"/>
              <w:rPr>
                <w:rFonts w:ascii="Times New Roman" w:hAnsi="Times New Roman" w:cs="Times New Roman"/>
                <w:b/>
                <w:bCs/>
                <w:sz w:val="20"/>
                <w:szCs w:val="20"/>
              </w:rPr>
            </w:pPr>
            <w:r w:rsidRPr="006F46A5">
              <w:rPr>
                <w:rFonts w:ascii="Times New Roman" w:hAnsi="Times New Roman" w:cs="Times New Roman"/>
                <w:b/>
                <w:bCs/>
                <w:sz w:val="20"/>
                <w:szCs w:val="20"/>
              </w:rPr>
              <w:t xml:space="preserve">THFKVS/HDP v % (kód ESA P.51) </w:t>
            </w:r>
          </w:p>
        </w:tc>
        <w:tc>
          <w:tcPr>
            <w:tcW w:w="851" w:type="dxa"/>
            <w:tcBorders>
              <w:top w:val="single" w:sz="8" w:space="0" w:color="auto"/>
              <w:left w:val="nil"/>
              <w:bottom w:val="single" w:sz="4" w:space="0" w:color="auto"/>
              <w:right w:val="single" w:sz="8" w:space="0" w:color="auto"/>
            </w:tcBorders>
            <w:shd w:val="clear" w:color="auto" w:fill="auto"/>
            <w:noWrap/>
            <w:vAlign w:val="center"/>
          </w:tcPr>
          <w:p w:rsidR="003B700D" w:rsidRPr="000B521F" w:rsidRDefault="00B231E4" w:rsidP="0059011D">
            <w:pPr>
              <w:spacing w:after="120" w:line="240" w:lineRule="auto"/>
              <w:jc w:val="center"/>
              <w:rPr>
                <w:rFonts w:ascii="Times New Roman" w:hAnsi="Times New Roman" w:cs="Times New Roman"/>
                <w:b/>
                <w:color w:val="000000"/>
                <w:sz w:val="24"/>
                <w:szCs w:val="24"/>
              </w:rPr>
            </w:pPr>
            <w:r w:rsidRPr="000B521F">
              <w:rPr>
                <w:rFonts w:ascii="Times New Roman" w:hAnsi="Times New Roman" w:cs="Times New Roman"/>
                <w:b/>
                <w:color w:val="000000"/>
                <w:sz w:val="24"/>
                <w:szCs w:val="24"/>
              </w:rPr>
              <w:t>3,3</w:t>
            </w:r>
          </w:p>
        </w:tc>
        <w:tc>
          <w:tcPr>
            <w:tcW w:w="851" w:type="dxa"/>
            <w:tcBorders>
              <w:top w:val="single" w:sz="8" w:space="0" w:color="auto"/>
              <w:left w:val="nil"/>
              <w:bottom w:val="single" w:sz="4" w:space="0" w:color="auto"/>
              <w:right w:val="single" w:sz="8" w:space="0" w:color="auto"/>
            </w:tcBorders>
            <w:shd w:val="clear" w:color="auto" w:fill="auto"/>
            <w:noWrap/>
            <w:vAlign w:val="center"/>
          </w:tcPr>
          <w:p w:rsidR="003B700D" w:rsidRPr="000B521F" w:rsidRDefault="00B231E4" w:rsidP="0059011D">
            <w:pPr>
              <w:spacing w:after="120" w:line="240" w:lineRule="auto"/>
              <w:jc w:val="center"/>
              <w:rPr>
                <w:rFonts w:ascii="Times New Roman" w:hAnsi="Times New Roman" w:cs="Times New Roman"/>
                <w:b/>
                <w:color w:val="000000"/>
                <w:sz w:val="24"/>
                <w:szCs w:val="24"/>
              </w:rPr>
            </w:pPr>
            <w:r w:rsidRPr="000B521F">
              <w:rPr>
                <w:rFonts w:ascii="Times New Roman" w:hAnsi="Times New Roman" w:cs="Times New Roman"/>
                <w:b/>
                <w:color w:val="000000"/>
                <w:sz w:val="24"/>
                <w:szCs w:val="24"/>
              </w:rPr>
              <w:t>3,3</w:t>
            </w:r>
          </w:p>
        </w:tc>
        <w:tc>
          <w:tcPr>
            <w:tcW w:w="851" w:type="dxa"/>
            <w:tcBorders>
              <w:top w:val="single" w:sz="8" w:space="0" w:color="auto"/>
              <w:left w:val="nil"/>
              <w:bottom w:val="single" w:sz="4" w:space="0" w:color="auto"/>
              <w:right w:val="single" w:sz="8" w:space="0" w:color="auto"/>
            </w:tcBorders>
            <w:shd w:val="clear" w:color="auto" w:fill="auto"/>
            <w:noWrap/>
            <w:vAlign w:val="center"/>
          </w:tcPr>
          <w:p w:rsidR="003B700D" w:rsidRPr="000B521F" w:rsidRDefault="00B231E4" w:rsidP="0059011D">
            <w:pPr>
              <w:spacing w:after="120" w:line="240" w:lineRule="auto"/>
              <w:jc w:val="center"/>
              <w:rPr>
                <w:rFonts w:ascii="Times New Roman" w:hAnsi="Times New Roman" w:cs="Times New Roman"/>
                <w:b/>
                <w:sz w:val="24"/>
                <w:szCs w:val="24"/>
              </w:rPr>
            </w:pPr>
            <w:r w:rsidRPr="000B521F">
              <w:rPr>
                <w:rFonts w:ascii="Times New Roman" w:hAnsi="Times New Roman" w:cs="Times New Roman"/>
                <w:b/>
                <w:sz w:val="24"/>
                <w:szCs w:val="24"/>
              </w:rPr>
              <w:t>3,3</w:t>
            </w:r>
          </w:p>
        </w:tc>
        <w:tc>
          <w:tcPr>
            <w:tcW w:w="851" w:type="dxa"/>
            <w:tcBorders>
              <w:top w:val="single" w:sz="8" w:space="0" w:color="auto"/>
              <w:left w:val="nil"/>
              <w:bottom w:val="single" w:sz="4" w:space="0" w:color="auto"/>
              <w:right w:val="single" w:sz="8" w:space="0" w:color="auto"/>
            </w:tcBorders>
            <w:shd w:val="clear" w:color="auto" w:fill="auto"/>
            <w:noWrap/>
            <w:vAlign w:val="center"/>
          </w:tcPr>
          <w:p w:rsidR="003B700D" w:rsidRPr="000B521F" w:rsidRDefault="00B231E4" w:rsidP="0059011D">
            <w:pPr>
              <w:spacing w:after="120" w:line="240" w:lineRule="auto"/>
              <w:jc w:val="center"/>
              <w:rPr>
                <w:rFonts w:ascii="Times New Roman" w:hAnsi="Times New Roman" w:cs="Times New Roman"/>
                <w:b/>
                <w:sz w:val="24"/>
                <w:szCs w:val="24"/>
              </w:rPr>
            </w:pPr>
            <w:r w:rsidRPr="000B521F">
              <w:rPr>
                <w:rFonts w:ascii="Times New Roman" w:hAnsi="Times New Roman" w:cs="Times New Roman"/>
                <w:b/>
                <w:sz w:val="24"/>
                <w:szCs w:val="24"/>
              </w:rPr>
              <w:t>3,3</w:t>
            </w:r>
          </w:p>
        </w:tc>
        <w:tc>
          <w:tcPr>
            <w:tcW w:w="851" w:type="dxa"/>
            <w:tcBorders>
              <w:top w:val="single" w:sz="8" w:space="0" w:color="auto"/>
              <w:left w:val="nil"/>
              <w:bottom w:val="single" w:sz="4" w:space="0" w:color="auto"/>
              <w:right w:val="single" w:sz="8" w:space="0" w:color="auto"/>
            </w:tcBorders>
            <w:shd w:val="clear" w:color="auto" w:fill="auto"/>
            <w:noWrap/>
            <w:vAlign w:val="center"/>
          </w:tcPr>
          <w:p w:rsidR="003B700D" w:rsidRPr="000B521F" w:rsidRDefault="00B231E4" w:rsidP="0059011D">
            <w:pPr>
              <w:spacing w:after="120" w:line="240" w:lineRule="auto"/>
              <w:jc w:val="center"/>
              <w:rPr>
                <w:rFonts w:ascii="Times New Roman" w:hAnsi="Times New Roman" w:cs="Times New Roman"/>
                <w:b/>
                <w:sz w:val="24"/>
                <w:szCs w:val="24"/>
              </w:rPr>
            </w:pPr>
            <w:r w:rsidRPr="000B521F">
              <w:rPr>
                <w:rFonts w:ascii="Times New Roman" w:hAnsi="Times New Roman" w:cs="Times New Roman"/>
                <w:b/>
                <w:sz w:val="24"/>
                <w:szCs w:val="24"/>
              </w:rPr>
              <w:t>3,3</w:t>
            </w:r>
          </w:p>
        </w:tc>
        <w:tc>
          <w:tcPr>
            <w:tcW w:w="851" w:type="dxa"/>
            <w:tcBorders>
              <w:top w:val="single" w:sz="8" w:space="0" w:color="auto"/>
              <w:left w:val="nil"/>
              <w:bottom w:val="single" w:sz="4" w:space="0" w:color="auto"/>
              <w:right w:val="single" w:sz="8" w:space="0" w:color="auto"/>
            </w:tcBorders>
            <w:shd w:val="clear" w:color="auto" w:fill="auto"/>
            <w:noWrap/>
            <w:vAlign w:val="center"/>
          </w:tcPr>
          <w:p w:rsidR="003B700D" w:rsidRPr="000B521F" w:rsidRDefault="00B231E4" w:rsidP="0059011D">
            <w:pPr>
              <w:spacing w:after="120" w:line="240" w:lineRule="auto"/>
              <w:jc w:val="center"/>
              <w:rPr>
                <w:rFonts w:ascii="Times New Roman" w:hAnsi="Times New Roman" w:cs="Times New Roman"/>
                <w:b/>
                <w:sz w:val="24"/>
                <w:szCs w:val="24"/>
              </w:rPr>
            </w:pPr>
            <w:r w:rsidRPr="000B521F">
              <w:rPr>
                <w:rFonts w:ascii="Times New Roman" w:hAnsi="Times New Roman" w:cs="Times New Roman"/>
                <w:b/>
                <w:sz w:val="24"/>
                <w:szCs w:val="24"/>
              </w:rPr>
              <w:t>3,3</w:t>
            </w:r>
          </w:p>
        </w:tc>
        <w:tc>
          <w:tcPr>
            <w:tcW w:w="851" w:type="dxa"/>
            <w:tcBorders>
              <w:top w:val="single" w:sz="8" w:space="0" w:color="auto"/>
              <w:left w:val="nil"/>
              <w:bottom w:val="single" w:sz="4" w:space="0" w:color="auto"/>
              <w:right w:val="single" w:sz="8" w:space="0" w:color="auto"/>
            </w:tcBorders>
            <w:shd w:val="clear" w:color="auto" w:fill="auto"/>
            <w:noWrap/>
            <w:vAlign w:val="center"/>
          </w:tcPr>
          <w:p w:rsidR="003B700D" w:rsidRPr="000B521F" w:rsidRDefault="00B231E4" w:rsidP="0059011D">
            <w:pPr>
              <w:spacing w:after="120" w:line="240" w:lineRule="auto"/>
              <w:jc w:val="center"/>
              <w:rPr>
                <w:rFonts w:ascii="Times New Roman" w:hAnsi="Times New Roman" w:cs="Times New Roman"/>
                <w:b/>
                <w:sz w:val="24"/>
                <w:szCs w:val="24"/>
              </w:rPr>
            </w:pPr>
            <w:r w:rsidRPr="000B521F">
              <w:rPr>
                <w:rFonts w:ascii="Times New Roman" w:hAnsi="Times New Roman" w:cs="Times New Roman"/>
                <w:b/>
                <w:sz w:val="24"/>
                <w:szCs w:val="24"/>
              </w:rPr>
              <w:t>3,3</w:t>
            </w:r>
          </w:p>
        </w:tc>
        <w:tc>
          <w:tcPr>
            <w:tcW w:w="1077" w:type="dxa"/>
            <w:tcBorders>
              <w:top w:val="single" w:sz="8" w:space="0" w:color="auto"/>
              <w:left w:val="nil"/>
              <w:bottom w:val="single" w:sz="4" w:space="0" w:color="auto"/>
              <w:right w:val="single" w:sz="8" w:space="0" w:color="auto"/>
            </w:tcBorders>
            <w:shd w:val="clear" w:color="auto" w:fill="auto"/>
            <w:noWrap/>
            <w:vAlign w:val="center"/>
          </w:tcPr>
          <w:p w:rsidR="003B700D" w:rsidRPr="000B521F" w:rsidRDefault="00B231E4" w:rsidP="0059011D">
            <w:pPr>
              <w:spacing w:after="120" w:line="240" w:lineRule="auto"/>
              <w:jc w:val="center"/>
              <w:rPr>
                <w:rFonts w:ascii="Times New Roman" w:hAnsi="Times New Roman" w:cs="Times New Roman"/>
                <w:b/>
                <w:bCs/>
                <w:sz w:val="24"/>
                <w:szCs w:val="24"/>
              </w:rPr>
            </w:pPr>
            <w:r w:rsidRPr="000B521F">
              <w:rPr>
                <w:rFonts w:ascii="Times New Roman" w:hAnsi="Times New Roman" w:cs="Times New Roman"/>
                <w:b/>
                <w:bCs/>
                <w:sz w:val="24"/>
                <w:szCs w:val="24"/>
              </w:rPr>
              <w:t>3,3</w:t>
            </w:r>
          </w:p>
        </w:tc>
      </w:tr>
      <w:tr w:rsidR="00D258D1" w:rsidRPr="000B521F" w:rsidTr="008F7C58">
        <w:trPr>
          <w:trHeight w:val="270"/>
        </w:trPr>
        <w:tc>
          <w:tcPr>
            <w:tcW w:w="2098" w:type="dxa"/>
            <w:tcBorders>
              <w:top w:val="nil"/>
              <w:left w:val="single" w:sz="8" w:space="0" w:color="auto"/>
              <w:bottom w:val="single" w:sz="8" w:space="0" w:color="auto"/>
              <w:right w:val="single" w:sz="8" w:space="0" w:color="auto"/>
            </w:tcBorders>
            <w:shd w:val="clear" w:color="auto" w:fill="C6D9F1" w:themeFill="text2" w:themeFillTint="33"/>
            <w:noWrap/>
            <w:vAlign w:val="bottom"/>
          </w:tcPr>
          <w:p w:rsidR="00B231E4" w:rsidRPr="006F46A5" w:rsidRDefault="00B231E4" w:rsidP="0059011D">
            <w:pPr>
              <w:spacing w:after="120" w:line="240" w:lineRule="auto"/>
              <w:rPr>
                <w:rFonts w:ascii="Times New Roman" w:hAnsi="Times New Roman" w:cs="Times New Roman"/>
                <w:b/>
                <w:bCs/>
                <w:sz w:val="20"/>
                <w:szCs w:val="20"/>
              </w:rPr>
            </w:pPr>
            <w:r w:rsidRPr="006F46A5">
              <w:rPr>
                <w:rFonts w:ascii="Times New Roman" w:hAnsi="Times New Roman" w:cs="Times New Roman"/>
                <w:b/>
                <w:bCs/>
                <w:sz w:val="20"/>
                <w:szCs w:val="20"/>
              </w:rPr>
              <w:t xml:space="preserve">THFKVS v mld. Kč </w:t>
            </w:r>
          </w:p>
        </w:tc>
        <w:tc>
          <w:tcPr>
            <w:tcW w:w="851" w:type="dxa"/>
            <w:tcBorders>
              <w:top w:val="nil"/>
              <w:left w:val="nil"/>
              <w:bottom w:val="single" w:sz="8" w:space="0" w:color="auto"/>
              <w:right w:val="single" w:sz="8" w:space="0" w:color="auto"/>
            </w:tcBorders>
            <w:shd w:val="clear" w:color="auto" w:fill="auto"/>
            <w:noWrap/>
            <w:vAlign w:val="bottom"/>
          </w:tcPr>
          <w:p w:rsidR="00B231E4" w:rsidRPr="000B521F" w:rsidRDefault="00B231E4" w:rsidP="0059011D">
            <w:pPr>
              <w:spacing w:after="120" w:line="240" w:lineRule="auto"/>
              <w:jc w:val="center"/>
              <w:rPr>
                <w:rFonts w:ascii="Times New Roman" w:hAnsi="Times New Roman" w:cs="Times New Roman"/>
                <w:sz w:val="24"/>
                <w:szCs w:val="24"/>
              </w:rPr>
            </w:pPr>
            <w:r w:rsidRPr="000B521F">
              <w:rPr>
                <w:rFonts w:ascii="Times New Roman" w:hAnsi="Times New Roman" w:cs="Times New Roman"/>
                <w:sz w:val="24"/>
                <w:szCs w:val="24"/>
              </w:rPr>
              <w:t>130,0</w:t>
            </w:r>
          </w:p>
        </w:tc>
        <w:tc>
          <w:tcPr>
            <w:tcW w:w="851" w:type="dxa"/>
            <w:tcBorders>
              <w:top w:val="nil"/>
              <w:left w:val="nil"/>
              <w:bottom w:val="single" w:sz="8" w:space="0" w:color="auto"/>
              <w:right w:val="single" w:sz="8" w:space="0" w:color="auto"/>
            </w:tcBorders>
            <w:shd w:val="clear" w:color="auto" w:fill="auto"/>
            <w:noWrap/>
            <w:vAlign w:val="bottom"/>
          </w:tcPr>
          <w:p w:rsidR="00B231E4" w:rsidRPr="000B521F" w:rsidRDefault="00B231E4" w:rsidP="0059011D">
            <w:pPr>
              <w:spacing w:after="120" w:line="240" w:lineRule="auto"/>
              <w:jc w:val="center"/>
              <w:rPr>
                <w:rFonts w:ascii="Times New Roman" w:hAnsi="Times New Roman" w:cs="Times New Roman"/>
                <w:sz w:val="24"/>
                <w:szCs w:val="24"/>
              </w:rPr>
            </w:pPr>
            <w:r w:rsidRPr="000B521F">
              <w:rPr>
                <w:rFonts w:ascii="Times New Roman" w:hAnsi="Times New Roman" w:cs="Times New Roman"/>
                <w:sz w:val="24"/>
                <w:szCs w:val="24"/>
              </w:rPr>
              <w:t>134,6</w:t>
            </w:r>
          </w:p>
        </w:tc>
        <w:tc>
          <w:tcPr>
            <w:tcW w:w="851" w:type="dxa"/>
            <w:tcBorders>
              <w:top w:val="nil"/>
              <w:left w:val="nil"/>
              <w:bottom w:val="single" w:sz="8" w:space="0" w:color="auto"/>
              <w:right w:val="single" w:sz="8" w:space="0" w:color="auto"/>
            </w:tcBorders>
            <w:shd w:val="clear" w:color="auto" w:fill="auto"/>
            <w:noWrap/>
            <w:vAlign w:val="bottom"/>
          </w:tcPr>
          <w:p w:rsidR="00B231E4" w:rsidRPr="000B521F" w:rsidRDefault="00B231E4" w:rsidP="0059011D">
            <w:pPr>
              <w:spacing w:after="120" w:line="240" w:lineRule="auto"/>
              <w:jc w:val="center"/>
              <w:rPr>
                <w:rFonts w:ascii="Times New Roman" w:hAnsi="Times New Roman" w:cs="Times New Roman"/>
                <w:sz w:val="24"/>
                <w:szCs w:val="24"/>
              </w:rPr>
            </w:pPr>
            <w:r w:rsidRPr="000B521F">
              <w:rPr>
                <w:rFonts w:ascii="Times New Roman" w:hAnsi="Times New Roman" w:cs="Times New Roman"/>
                <w:sz w:val="24"/>
                <w:szCs w:val="24"/>
              </w:rPr>
              <w:t>139,5</w:t>
            </w:r>
          </w:p>
        </w:tc>
        <w:tc>
          <w:tcPr>
            <w:tcW w:w="851" w:type="dxa"/>
            <w:tcBorders>
              <w:top w:val="nil"/>
              <w:left w:val="nil"/>
              <w:bottom w:val="single" w:sz="8" w:space="0" w:color="auto"/>
              <w:right w:val="single" w:sz="8" w:space="0" w:color="auto"/>
            </w:tcBorders>
            <w:shd w:val="clear" w:color="auto" w:fill="auto"/>
            <w:noWrap/>
            <w:vAlign w:val="bottom"/>
          </w:tcPr>
          <w:p w:rsidR="00B231E4" w:rsidRPr="000B521F" w:rsidRDefault="00B231E4" w:rsidP="0059011D">
            <w:pPr>
              <w:spacing w:after="120" w:line="240" w:lineRule="auto"/>
              <w:jc w:val="center"/>
              <w:rPr>
                <w:rFonts w:ascii="Times New Roman" w:hAnsi="Times New Roman" w:cs="Times New Roman"/>
                <w:sz w:val="24"/>
                <w:szCs w:val="24"/>
              </w:rPr>
            </w:pPr>
            <w:r w:rsidRPr="000B521F">
              <w:rPr>
                <w:rFonts w:ascii="Times New Roman" w:hAnsi="Times New Roman" w:cs="Times New Roman"/>
                <w:sz w:val="24"/>
                <w:szCs w:val="24"/>
              </w:rPr>
              <w:t>144,8</w:t>
            </w:r>
          </w:p>
        </w:tc>
        <w:tc>
          <w:tcPr>
            <w:tcW w:w="851" w:type="dxa"/>
            <w:tcBorders>
              <w:top w:val="nil"/>
              <w:left w:val="nil"/>
              <w:bottom w:val="single" w:sz="8" w:space="0" w:color="auto"/>
              <w:right w:val="single" w:sz="8" w:space="0" w:color="auto"/>
            </w:tcBorders>
            <w:shd w:val="clear" w:color="auto" w:fill="auto"/>
            <w:noWrap/>
            <w:vAlign w:val="bottom"/>
          </w:tcPr>
          <w:p w:rsidR="00B231E4" w:rsidRPr="000B521F" w:rsidRDefault="00B231E4" w:rsidP="0059011D">
            <w:pPr>
              <w:spacing w:after="120" w:line="240" w:lineRule="auto"/>
              <w:jc w:val="center"/>
              <w:rPr>
                <w:rFonts w:ascii="Times New Roman" w:hAnsi="Times New Roman" w:cs="Times New Roman"/>
                <w:sz w:val="24"/>
                <w:szCs w:val="24"/>
              </w:rPr>
            </w:pPr>
            <w:r w:rsidRPr="000B521F">
              <w:rPr>
                <w:rFonts w:ascii="Times New Roman" w:hAnsi="Times New Roman" w:cs="Times New Roman"/>
                <w:sz w:val="24"/>
                <w:szCs w:val="24"/>
              </w:rPr>
              <w:t>150,3</w:t>
            </w:r>
          </w:p>
        </w:tc>
        <w:tc>
          <w:tcPr>
            <w:tcW w:w="851" w:type="dxa"/>
            <w:tcBorders>
              <w:top w:val="nil"/>
              <w:left w:val="nil"/>
              <w:bottom w:val="single" w:sz="8" w:space="0" w:color="auto"/>
              <w:right w:val="single" w:sz="8" w:space="0" w:color="auto"/>
            </w:tcBorders>
            <w:shd w:val="clear" w:color="auto" w:fill="auto"/>
            <w:noWrap/>
            <w:vAlign w:val="bottom"/>
          </w:tcPr>
          <w:p w:rsidR="00B231E4" w:rsidRPr="000B521F" w:rsidRDefault="00B231E4" w:rsidP="0059011D">
            <w:pPr>
              <w:spacing w:after="120" w:line="240" w:lineRule="auto"/>
              <w:jc w:val="center"/>
              <w:rPr>
                <w:rFonts w:ascii="Times New Roman" w:hAnsi="Times New Roman" w:cs="Times New Roman"/>
                <w:sz w:val="24"/>
                <w:szCs w:val="24"/>
              </w:rPr>
            </w:pPr>
            <w:r w:rsidRPr="000B521F">
              <w:rPr>
                <w:rFonts w:ascii="Times New Roman" w:hAnsi="Times New Roman" w:cs="Times New Roman"/>
                <w:sz w:val="24"/>
                <w:szCs w:val="24"/>
              </w:rPr>
              <w:t>156,1</w:t>
            </w:r>
          </w:p>
        </w:tc>
        <w:tc>
          <w:tcPr>
            <w:tcW w:w="851" w:type="dxa"/>
            <w:tcBorders>
              <w:top w:val="nil"/>
              <w:left w:val="nil"/>
              <w:bottom w:val="single" w:sz="8" w:space="0" w:color="auto"/>
              <w:right w:val="single" w:sz="8" w:space="0" w:color="auto"/>
            </w:tcBorders>
            <w:shd w:val="clear" w:color="auto" w:fill="auto"/>
            <w:noWrap/>
            <w:vAlign w:val="bottom"/>
          </w:tcPr>
          <w:p w:rsidR="00B231E4" w:rsidRPr="000B521F" w:rsidRDefault="00B231E4" w:rsidP="0059011D">
            <w:pPr>
              <w:spacing w:after="120" w:line="240" w:lineRule="auto"/>
              <w:jc w:val="center"/>
              <w:rPr>
                <w:rFonts w:ascii="Times New Roman" w:hAnsi="Times New Roman" w:cs="Times New Roman"/>
                <w:sz w:val="24"/>
                <w:szCs w:val="24"/>
              </w:rPr>
            </w:pPr>
            <w:r w:rsidRPr="000B521F">
              <w:rPr>
                <w:rFonts w:ascii="Times New Roman" w:hAnsi="Times New Roman" w:cs="Times New Roman"/>
                <w:sz w:val="24"/>
                <w:szCs w:val="24"/>
              </w:rPr>
              <w:t>162,0</w:t>
            </w:r>
          </w:p>
        </w:tc>
        <w:tc>
          <w:tcPr>
            <w:tcW w:w="1077" w:type="dxa"/>
            <w:tcBorders>
              <w:top w:val="nil"/>
              <w:left w:val="nil"/>
              <w:bottom w:val="single" w:sz="8" w:space="0" w:color="auto"/>
              <w:right w:val="single" w:sz="8" w:space="0" w:color="auto"/>
            </w:tcBorders>
            <w:shd w:val="clear" w:color="auto" w:fill="auto"/>
            <w:noWrap/>
            <w:vAlign w:val="center"/>
          </w:tcPr>
          <w:p w:rsidR="003B700D" w:rsidRPr="000B521F" w:rsidRDefault="00B231E4" w:rsidP="0059011D">
            <w:pPr>
              <w:spacing w:after="120" w:line="240" w:lineRule="auto"/>
              <w:jc w:val="center"/>
              <w:rPr>
                <w:rFonts w:ascii="Times New Roman" w:hAnsi="Times New Roman" w:cs="Times New Roman"/>
                <w:b/>
                <w:bCs/>
                <w:sz w:val="24"/>
                <w:szCs w:val="24"/>
              </w:rPr>
            </w:pPr>
            <w:r w:rsidRPr="000B521F">
              <w:rPr>
                <w:rFonts w:ascii="Times New Roman" w:hAnsi="Times New Roman" w:cs="Times New Roman"/>
                <w:b/>
                <w:bCs/>
                <w:sz w:val="24"/>
                <w:szCs w:val="24"/>
              </w:rPr>
              <w:t>145,3</w:t>
            </w:r>
          </w:p>
        </w:tc>
      </w:tr>
      <w:tr w:rsidR="00D258D1" w:rsidRPr="000B521F" w:rsidTr="008F7C58">
        <w:trPr>
          <w:trHeight w:val="270"/>
        </w:trPr>
        <w:tc>
          <w:tcPr>
            <w:tcW w:w="2098" w:type="dxa"/>
            <w:tcBorders>
              <w:top w:val="nil"/>
              <w:left w:val="single" w:sz="8" w:space="0" w:color="auto"/>
              <w:bottom w:val="single" w:sz="8" w:space="0" w:color="auto"/>
              <w:right w:val="single" w:sz="8" w:space="0" w:color="auto"/>
            </w:tcBorders>
            <w:shd w:val="clear" w:color="auto" w:fill="C6D9F1" w:themeFill="text2" w:themeFillTint="33"/>
            <w:noWrap/>
            <w:vAlign w:val="bottom"/>
          </w:tcPr>
          <w:p w:rsidR="00B231E4" w:rsidRPr="006F46A5" w:rsidRDefault="00D258D1" w:rsidP="0059011D">
            <w:pPr>
              <w:spacing w:after="120" w:line="240" w:lineRule="auto"/>
              <w:rPr>
                <w:rFonts w:ascii="Times New Roman" w:hAnsi="Times New Roman" w:cs="Times New Roman"/>
                <w:b/>
                <w:bCs/>
                <w:sz w:val="20"/>
                <w:szCs w:val="20"/>
              </w:rPr>
            </w:pPr>
            <w:r w:rsidRPr="006F46A5">
              <w:rPr>
                <w:rFonts w:ascii="Times New Roman" w:hAnsi="Times New Roman" w:cs="Times New Roman"/>
                <w:b/>
                <w:bCs/>
                <w:sz w:val="20"/>
                <w:szCs w:val="20"/>
              </w:rPr>
              <w:t>roční růst HDP v %</w:t>
            </w:r>
          </w:p>
        </w:tc>
        <w:tc>
          <w:tcPr>
            <w:tcW w:w="851" w:type="dxa"/>
            <w:tcBorders>
              <w:top w:val="nil"/>
              <w:left w:val="nil"/>
              <w:bottom w:val="single" w:sz="8" w:space="0" w:color="auto"/>
              <w:right w:val="single" w:sz="8" w:space="0" w:color="auto"/>
            </w:tcBorders>
            <w:shd w:val="clear" w:color="auto" w:fill="auto"/>
            <w:noWrap/>
            <w:vAlign w:val="center"/>
          </w:tcPr>
          <w:p w:rsidR="00B231E4" w:rsidRPr="000B521F" w:rsidRDefault="00AF79D5" w:rsidP="0059011D">
            <w:pPr>
              <w:spacing w:after="120" w:line="240" w:lineRule="auto"/>
              <w:jc w:val="center"/>
              <w:rPr>
                <w:rFonts w:ascii="Times New Roman" w:hAnsi="Times New Roman" w:cs="Times New Roman"/>
                <w:sz w:val="24"/>
                <w:szCs w:val="24"/>
              </w:rPr>
            </w:pPr>
            <w:r w:rsidRPr="000B521F">
              <w:rPr>
                <w:rFonts w:ascii="Times New Roman" w:hAnsi="Times New Roman" w:cs="Times New Roman"/>
                <w:sz w:val="24"/>
                <w:szCs w:val="24"/>
              </w:rPr>
              <w:t>+2,1</w:t>
            </w:r>
          </w:p>
        </w:tc>
        <w:tc>
          <w:tcPr>
            <w:tcW w:w="851" w:type="dxa"/>
            <w:tcBorders>
              <w:top w:val="nil"/>
              <w:left w:val="nil"/>
              <w:bottom w:val="single" w:sz="8" w:space="0" w:color="auto"/>
              <w:right w:val="single" w:sz="8" w:space="0" w:color="auto"/>
            </w:tcBorders>
            <w:shd w:val="clear" w:color="auto" w:fill="auto"/>
            <w:noWrap/>
            <w:vAlign w:val="center"/>
          </w:tcPr>
          <w:p w:rsidR="00B231E4" w:rsidRPr="000B521F" w:rsidRDefault="00AF79D5" w:rsidP="0059011D">
            <w:pPr>
              <w:spacing w:after="120" w:line="240" w:lineRule="auto"/>
              <w:jc w:val="center"/>
              <w:rPr>
                <w:rFonts w:ascii="Times New Roman" w:hAnsi="Times New Roman" w:cs="Times New Roman"/>
                <w:sz w:val="24"/>
                <w:szCs w:val="24"/>
              </w:rPr>
            </w:pPr>
            <w:r w:rsidRPr="000B521F">
              <w:rPr>
                <w:rFonts w:ascii="Times New Roman" w:hAnsi="Times New Roman" w:cs="Times New Roman"/>
                <w:sz w:val="24"/>
                <w:szCs w:val="24"/>
              </w:rPr>
              <w:t>+3,6</w:t>
            </w:r>
          </w:p>
        </w:tc>
        <w:tc>
          <w:tcPr>
            <w:tcW w:w="851" w:type="dxa"/>
            <w:tcBorders>
              <w:top w:val="nil"/>
              <w:left w:val="nil"/>
              <w:bottom w:val="single" w:sz="8" w:space="0" w:color="auto"/>
              <w:right w:val="single" w:sz="8" w:space="0" w:color="auto"/>
            </w:tcBorders>
            <w:shd w:val="clear" w:color="auto" w:fill="auto"/>
            <w:noWrap/>
            <w:vAlign w:val="center"/>
          </w:tcPr>
          <w:p w:rsidR="00B231E4" w:rsidRPr="000B521F" w:rsidRDefault="00AF79D5" w:rsidP="0059011D">
            <w:pPr>
              <w:spacing w:after="120" w:line="240" w:lineRule="auto"/>
              <w:jc w:val="center"/>
              <w:rPr>
                <w:rFonts w:ascii="Times New Roman" w:hAnsi="Times New Roman" w:cs="Times New Roman"/>
                <w:sz w:val="24"/>
                <w:szCs w:val="24"/>
              </w:rPr>
            </w:pPr>
            <w:r w:rsidRPr="000B521F">
              <w:rPr>
                <w:rFonts w:ascii="Times New Roman" w:hAnsi="Times New Roman" w:cs="Times New Roman"/>
                <w:sz w:val="24"/>
                <w:szCs w:val="24"/>
              </w:rPr>
              <w:t>+3,7</w:t>
            </w:r>
          </w:p>
        </w:tc>
        <w:tc>
          <w:tcPr>
            <w:tcW w:w="851" w:type="dxa"/>
            <w:tcBorders>
              <w:top w:val="nil"/>
              <w:left w:val="nil"/>
              <w:bottom w:val="single" w:sz="8" w:space="0" w:color="auto"/>
              <w:right w:val="single" w:sz="8" w:space="0" w:color="auto"/>
            </w:tcBorders>
            <w:shd w:val="clear" w:color="auto" w:fill="auto"/>
            <w:noWrap/>
            <w:vAlign w:val="center"/>
          </w:tcPr>
          <w:p w:rsidR="00B231E4" w:rsidRPr="000B521F" w:rsidRDefault="00AF79D5" w:rsidP="0059011D">
            <w:pPr>
              <w:spacing w:after="120" w:line="240" w:lineRule="auto"/>
              <w:jc w:val="center"/>
              <w:rPr>
                <w:rFonts w:ascii="Times New Roman" w:hAnsi="Times New Roman" w:cs="Times New Roman"/>
                <w:sz w:val="24"/>
                <w:szCs w:val="24"/>
              </w:rPr>
            </w:pPr>
            <w:r w:rsidRPr="000B521F">
              <w:rPr>
                <w:rFonts w:ascii="Times New Roman" w:hAnsi="Times New Roman" w:cs="Times New Roman"/>
                <w:sz w:val="24"/>
                <w:szCs w:val="24"/>
              </w:rPr>
              <w:t>+3,8</w:t>
            </w:r>
          </w:p>
        </w:tc>
        <w:tc>
          <w:tcPr>
            <w:tcW w:w="851" w:type="dxa"/>
            <w:tcBorders>
              <w:top w:val="nil"/>
              <w:left w:val="nil"/>
              <w:bottom w:val="single" w:sz="8" w:space="0" w:color="auto"/>
              <w:right w:val="single" w:sz="8" w:space="0" w:color="auto"/>
            </w:tcBorders>
            <w:shd w:val="clear" w:color="auto" w:fill="auto"/>
            <w:noWrap/>
            <w:vAlign w:val="center"/>
          </w:tcPr>
          <w:p w:rsidR="00B231E4" w:rsidRPr="000B521F" w:rsidRDefault="00D258D1" w:rsidP="0059011D">
            <w:pPr>
              <w:spacing w:after="120" w:line="240" w:lineRule="auto"/>
              <w:jc w:val="center"/>
              <w:rPr>
                <w:rFonts w:ascii="Times New Roman" w:hAnsi="Times New Roman" w:cs="Times New Roman"/>
                <w:sz w:val="24"/>
                <w:szCs w:val="24"/>
              </w:rPr>
            </w:pPr>
            <w:r w:rsidRPr="000B521F">
              <w:rPr>
                <w:rFonts w:ascii="Times New Roman" w:hAnsi="Times New Roman" w:cs="Times New Roman"/>
                <w:sz w:val="24"/>
                <w:szCs w:val="24"/>
              </w:rPr>
              <w:t>+3,8</w:t>
            </w:r>
          </w:p>
        </w:tc>
        <w:tc>
          <w:tcPr>
            <w:tcW w:w="851" w:type="dxa"/>
            <w:tcBorders>
              <w:top w:val="nil"/>
              <w:left w:val="nil"/>
              <w:bottom w:val="single" w:sz="8" w:space="0" w:color="auto"/>
              <w:right w:val="single" w:sz="8" w:space="0" w:color="auto"/>
            </w:tcBorders>
            <w:shd w:val="clear" w:color="auto" w:fill="auto"/>
            <w:noWrap/>
            <w:vAlign w:val="center"/>
          </w:tcPr>
          <w:p w:rsidR="00B231E4" w:rsidRPr="000B521F" w:rsidRDefault="00D258D1" w:rsidP="0059011D">
            <w:pPr>
              <w:spacing w:after="120" w:line="240" w:lineRule="auto"/>
              <w:jc w:val="center"/>
              <w:rPr>
                <w:rFonts w:ascii="Times New Roman" w:hAnsi="Times New Roman" w:cs="Times New Roman"/>
                <w:sz w:val="24"/>
                <w:szCs w:val="24"/>
              </w:rPr>
            </w:pPr>
            <w:r w:rsidRPr="000B521F">
              <w:rPr>
                <w:rFonts w:ascii="Times New Roman" w:hAnsi="Times New Roman" w:cs="Times New Roman"/>
                <w:sz w:val="24"/>
                <w:szCs w:val="24"/>
              </w:rPr>
              <w:t>+3,8</w:t>
            </w:r>
          </w:p>
        </w:tc>
        <w:tc>
          <w:tcPr>
            <w:tcW w:w="851" w:type="dxa"/>
            <w:tcBorders>
              <w:top w:val="nil"/>
              <w:left w:val="nil"/>
              <w:bottom w:val="single" w:sz="8" w:space="0" w:color="auto"/>
              <w:right w:val="single" w:sz="8" w:space="0" w:color="auto"/>
            </w:tcBorders>
            <w:shd w:val="clear" w:color="auto" w:fill="auto"/>
            <w:noWrap/>
            <w:vAlign w:val="center"/>
          </w:tcPr>
          <w:p w:rsidR="00B231E4" w:rsidRPr="000B521F" w:rsidRDefault="00D258D1" w:rsidP="0059011D">
            <w:pPr>
              <w:spacing w:after="120" w:line="240" w:lineRule="auto"/>
              <w:jc w:val="center"/>
              <w:rPr>
                <w:rFonts w:ascii="Times New Roman" w:hAnsi="Times New Roman" w:cs="Times New Roman"/>
                <w:sz w:val="24"/>
                <w:szCs w:val="24"/>
              </w:rPr>
            </w:pPr>
            <w:r w:rsidRPr="000B521F">
              <w:rPr>
                <w:rFonts w:ascii="Times New Roman" w:hAnsi="Times New Roman" w:cs="Times New Roman"/>
                <w:sz w:val="24"/>
                <w:szCs w:val="24"/>
              </w:rPr>
              <w:t>+3,8</w:t>
            </w:r>
          </w:p>
        </w:tc>
        <w:tc>
          <w:tcPr>
            <w:tcW w:w="1077" w:type="dxa"/>
            <w:tcBorders>
              <w:top w:val="nil"/>
              <w:left w:val="nil"/>
              <w:bottom w:val="single" w:sz="8" w:space="0" w:color="auto"/>
              <w:right w:val="single" w:sz="8" w:space="0" w:color="auto"/>
            </w:tcBorders>
            <w:shd w:val="clear" w:color="auto" w:fill="auto"/>
            <w:noWrap/>
            <w:vAlign w:val="center"/>
          </w:tcPr>
          <w:p w:rsidR="003B700D" w:rsidRPr="000B521F" w:rsidRDefault="00AF79D5" w:rsidP="0059011D">
            <w:pPr>
              <w:spacing w:after="120" w:line="240" w:lineRule="auto"/>
              <w:jc w:val="center"/>
              <w:rPr>
                <w:rFonts w:ascii="Times New Roman" w:hAnsi="Times New Roman" w:cs="Times New Roman"/>
                <w:b/>
                <w:bCs/>
                <w:sz w:val="24"/>
                <w:szCs w:val="24"/>
              </w:rPr>
            </w:pPr>
            <w:r w:rsidRPr="000B521F">
              <w:rPr>
                <w:rFonts w:ascii="Times New Roman" w:hAnsi="Times New Roman" w:cs="Times New Roman"/>
                <w:b/>
                <w:bCs/>
                <w:sz w:val="24"/>
                <w:szCs w:val="24"/>
              </w:rPr>
              <w:t>+3,5</w:t>
            </w:r>
          </w:p>
        </w:tc>
      </w:tr>
      <w:tr w:rsidR="00B231E4" w:rsidRPr="000B521F" w:rsidTr="00B2415B">
        <w:trPr>
          <w:trHeight w:val="255"/>
        </w:trPr>
        <w:tc>
          <w:tcPr>
            <w:tcW w:w="2098" w:type="dxa"/>
            <w:gridSpan w:val="9"/>
            <w:tcBorders>
              <w:top w:val="nil"/>
              <w:left w:val="nil"/>
              <w:bottom w:val="nil"/>
              <w:right w:val="nil"/>
            </w:tcBorders>
            <w:shd w:val="clear" w:color="auto" w:fill="auto"/>
            <w:noWrap/>
            <w:vAlign w:val="bottom"/>
          </w:tcPr>
          <w:p w:rsidR="00B231E4" w:rsidRPr="000B521F" w:rsidRDefault="00B231E4" w:rsidP="00C703C6">
            <w:pPr>
              <w:spacing w:after="120" w:line="240" w:lineRule="auto"/>
              <w:jc w:val="both"/>
              <w:rPr>
                <w:rFonts w:ascii="Times New Roman" w:hAnsi="Times New Roman" w:cs="Times New Roman"/>
                <w:sz w:val="24"/>
                <w:szCs w:val="24"/>
              </w:rPr>
            </w:pPr>
            <w:r w:rsidRPr="000B521F">
              <w:rPr>
                <w:rFonts w:ascii="Times New Roman" w:hAnsi="Times New Roman" w:cs="Times New Roman"/>
                <w:iCs/>
                <w:sz w:val="24"/>
                <w:szCs w:val="24"/>
              </w:rPr>
              <w:t xml:space="preserve">Zdroj: ukazatele THFKVS/HDP a tempo růstu HDP meziročně </w:t>
            </w:r>
            <w:r w:rsidR="00E62034" w:rsidRPr="000B521F">
              <w:rPr>
                <w:rFonts w:ascii="Times New Roman" w:hAnsi="Times New Roman" w:cs="Times New Roman"/>
                <w:iCs/>
                <w:sz w:val="24"/>
                <w:szCs w:val="24"/>
              </w:rPr>
              <w:t>za roky 2014–</w:t>
            </w:r>
            <w:r w:rsidRPr="000B521F">
              <w:rPr>
                <w:rFonts w:ascii="Times New Roman" w:hAnsi="Times New Roman" w:cs="Times New Roman"/>
                <w:iCs/>
                <w:sz w:val="24"/>
                <w:szCs w:val="24"/>
              </w:rPr>
              <w:t>2016  dle Konvergenčního progra</w:t>
            </w:r>
            <w:r w:rsidR="00E62034" w:rsidRPr="000B521F">
              <w:rPr>
                <w:rFonts w:ascii="Times New Roman" w:hAnsi="Times New Roman" w:cs="Times New Roman"/>
                <w:iCs/>
                <w:sz w:val="24"/>
                <w:szCs w:val="24"/>
              </w:rPr>
              <w:t>mu 04/2013;údaje za roky 2017–</w:t>
            </w:r>
            <w:r w:rsidRPr="000B521F">
              <w:rPr>
                <w:rFonts w:ascii="Times New Roman" w:hAnsi="Times New Roman" w:cs="Times New Roman"/>
                <w:iCs/>
                <w:sz w:val="24"/>
                <w:szCs w:val="24"/>
              </w:rPr>
              <w:t>2020 jsou odhadem Ministerstva financí</w:t>
            </w:r>
            <w:r w:rsidR="00C703C6">
              <w:rPr>
                <w:rFonts w:ascii="Times New Roman" w:hAnsi="Times New Roman" w:cs="Times New Roman"/>
                <w:iCs/>
                <w:sz w:val="24"/>
                <w:szCs w:val="24"/>
              </w:rPr>
              <w:t>.</w:t>
            </w:r>
          </w:p>
        </w:tc>
      </w:tr>
    </w:tbl>
    <w:p w:rsidR="00507842" w:rsidRPr="000B521F" w:rsidRDefault="00507842" w:rsidP="0059011D">
      <w:pPr>
        <w:pStyle w:val="Nadpis2"/>
      </w:pPr>
      <w:bookmarkStart w:id="87" w:name="_Toc350333639"/>
      <w:bookmarkStart w:id="88" w:name="_Toc374702896"/>
      <w:r w:rsidRPr="000B521F">
        <w:t xml:space="preserve">Hodnocení naplňování </w:t>
      </w:r>
      <w:bookmarkEnd w:id="87"/>
      <w:r w:rsidRPr="000B521F">
        <w:t>předběžných podmínek</w:t>
      </w:r>
      <w:bookmarkEnd w:id="88"/>
    </w:p>
    <w:p w:rsidR="004C78CE" w:rsidRPr="000B521F" w:rsidRDefault="004C78CE"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Česká republika si klade za cíl zabezpečit naplňování předběžných podmínek v rozsahu potřebném pro účinné a efektivní čerpání z Evropských strukturálních a investičních fondů (ESIF). Česká republika vybírá ty předběžné podmínky, které mají přímou vazbu s významným dopadem na realizaci specifických cílů či investičních priorit nebo priorit Unie v rámci jednotlivých programů ESIF.</w:t>
      </w:r>
    </w:p>
    <w:p w:rsidR="004C78CE" w:rsidRPr="000B521F" w:rsidRDefault="004C78CE"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Předběžné podmínky vycházejí z nařízení k ESIF, přílohy IV,  nařízení k jednotlivým fondům ESIF a z metodického dokumentu EK Guidance on Ex Ante Conditionalities (pro EFRR, ESF, FS a ENRF). Na národní úrovni jsou pro fázi přípravy ESIF předběžné podmínky  ukotveny v Metodickém pokynu pro přípravu programových dokumentů pro programové </w:t>
      </w:r>
      <w:r w:rsidRPr="000B521F">
        <w:rPr>
          <w:rFonts w:ascii="Times New Roman" w:hAnsi="Times New Roman" w:cs="Times New Roman"/>
          <w:sz w:val="24"/>
          <w:szCs w:val="24"/>
        </w:rPr>
        <w:lastRenderedPageBreak/>
        <w:t>období 2014–2020 a v dalších metodických pokynech. Pro fázi implementace jsou klíčovým dokumentem mimo samotnou Dohodu o partnerství také Pravidla řízení a koordinace Dohody o partnerství a  Akční plán řízení a koordinace předběžných podmínek ( také Akční plán).</w:t>
      </w:r>
    </w:p>
    <w:p w:rsidR="004C78CE" w:rsidRPr="000B521F" w:rsidRDefault="004C78CE"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Akční plán je vytvořen pro účely nastavení systému řízení a koordinace předběžných podmínek, včetně  jejich vyhodnocení, identifikace problematických předběžných podmínek s návrhem opatření a harmonogramem splnění.  Akční plán  je závazný pro všechny subjekty implementace programového období 2014–2020, přičemž zohledňuje specifika jednotlivých ESI fondů. Akční plán jako  systémového dokument  je veden pro účely národních potřeb, pro úroveň jednotlivých programů ESIF a návazně  jsou zpracovávány akční plány pro částečně splněné či nesplněné předběžné podmínky.</w:t>
      </w:r>
    </w:p>
    <w:p w:rsidR="004C78CE" w:rsidRPr="000B521F" w:rsidRDefault="004C78CE" w:rsidP="0059011D">
      <w:pPr>
        <w:spacing w:after="120" w:line="240" w:lineRule="auto"/>
        <w:jc w:val="both"/>
        <w:rPr>
          <w:rFonts w:ascii="Times New Roman" w:eastAsia="Arial Unicode MS" w:hAnsi="Times New Roman" w:cs="Times New Roman"/>
          <w:sz w:val="24"/>
          <w:szCs w:val="24"/>
          <w:lang w:eastAsia="cs-CZ"/>
        </w:rPr>
      </w:pPr>
      <w:r w:rsidRPr="000B521F">
        <w:rPr>
          <w:rFonts w:ascii="Times New Roman" w:eastAsia="Arial Unicode MS" w:hAnsi="Times New Roman" w:cs="Times New Roman"/>
          <w:sz w:val="24"/>
          <w:szCs w:val="24"/>
          <w:lang w:eastAsia="cs-CZ"/>
        </w:rPr>
        <w:t>Dohoda o partnerství uvádí přehled všech uplatňovaných předběžných podmínek v České republice podle identifikace na úrovni programů. Programy ESIF jsou klíčovými dokumenty, na úrovni kterých jsou předběžné podmínky uplatňovány a po obsahové i technické stránce rozpracovány.</w:t>
      </w:r>
    </w:p>
    <w:p w:rsidR="004C78CE" w:rsidRPr="000B521F" w:rsidRDefault="004C78CE" w:rsidP="0059011D">
      <w:pPr>
        <w:keepNext/>
        <w:numPr>
          <w:ilvl w:val="2"/>
          <w:numId w:val="0"/>
        </w:numPr>
        <w:spacing w:after="120" w:line="240" w:lineRule="auto"/>
        <w:ind w:left="720" w:hanging="720"/>
        <w:jc w:val="both"/>
        <w:outlineLvl w:val="2"/>
        <w:rPr>
          <w:rFonts w:ascii="Times New Roman" w:eastAsia="Times New Roman" w:hAnsi="Times New Roman" w:cs="Times New Roman"/>
          <w:b/>
          <w:bCs/>
          <w:sz w:val="24"/>
          <w:szCs w:val="24"/>
          <w:lang w:eastAsia="cs-CZ"/>
        </w:rPr>
      </w:pPr>
      <w:bookmarkStart w:id="89" w:name="_Toc361853575"/>
      <w:bookmarkStart w:id="90" w:name="_Toc374702897"/>
      <w:r w:rsidRPr="000B521F">
        <w:rPr>
          <w:rFonts w:ascii="Times New Roman" w:eastAsia="Times New Roman" w:hAnsi="Times New Roman" w:cs="Times New Roman"/>
          <w:b/>
          <w:bCs/>
          <w:sz w:val="24"/>
          <w:szCs w:val="24"/>
          <w:lang w:eastAsia="cs-CZ"/>
        </w:rPr>
        <w:t>Řízení a koordinace předběžných podmínek na národní úrovni</w:t>
      </w:r>
      <w:bookmarkEnd w:id="89"/>
      <w:bookmarkEnd w:id="90"/>
    </w:p>
    <w:p w:rsidR="004C78CE" w:rsidRPr="000B521F" w:rsidRDefault="004C78CE"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Koordinační roli v oblasti předběžných podmínek  plní MMR, a to jak v rámci přípravy programového období, tak i ve fázi implementace. MMR nastavuje systém řízení a koordinace předběžných podmínek. </w:t>
      </w:r>
    </w:p>
    <w:p w:rsidR="004C78CE" w:rsidRPr="000B521F" w:rsidRDefault="004C78CE" w:rsidP="0059011D">
      <w:pPr>
        <w:spacing w:after="120" w:line="240" w:lineRule="auto"/>
        <w:jc w:val="both"/>
        <w:rPr>
          <w:rFonts w:ascii="Times New Roman" w:hAnsi="Times New Roman" w:cs="Times New Roman"/>
          <w:sz w:val="24"/>
          <w:szCs w:val="24"/>
          <w:highlight w:val="cyan"/>
        </w:rPr>
      </w:pPr>
      <w:r w:rsidRPr="000B521F">
        <w:rPr>
          <w:rFonts w:ascii="Times New Roman" w:hAnsi="Times New Roman" w:cs="Times New Roman"/>
          <w:sz w:val="24"/>
          <w:szCs w:val="24"/>
        </w:rPr>
        <w:t xml:space="preserve">Zásadní roli při samotném naplňování předběžných podmínek mají řídící orgány, které identifikují a stanoví plnění předběžné podmínky vždy k danému programu a také k dané prioritní ose či prioritě Unie jednotlivých programů ESIF. Řídící orgány ve spolupráci s dalšími dotčenými subjekty (gestoři, spolugestoři, další subjekty dle aktuální verze Akčního plánu) musí uvádět jak plnění předběžných podmínek, tak i časový a věcný rozsah k dané předběžné podmínce, tj. opatření a harmonogram splnění v případně dosud nesplněných či částečně splněných předběžných podmínek. </w:t>
      </w:r>
    </w:p>
    <w:p w:rsidR="004C78CE" w:rsidRPr="000B521F" w:rsidRDefault="004C78CE"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Řídící orgány, ale i další subjekty zapojené do implementace ESI fondů ve všech fázích přípravy a následné realizace respektují Akční plán vytvářený na národní úrovni a spravovaný MMR.</w:t>
      </w:r>
    </w:p>
    <w:p w:rsidR="004C78CE" w:rsidRPr="000B521F" w:rsidRDefault="004C78CE" w:rsidP="0059011D">
      <w:pPr>
        <w:keepNext/>
        <w:numPr>
          <w:ilvl w:val="2"/>
          <w:numId w:val="0"/>
        </w:numPr>
        <w:spacing w:after="120" w:line="240" w:lineRule="auto"/>
        <w:ind w:left="720" w:hanging="720"/>
        <w:jc w:val="both"/>
        <w:outlineLvl w:val="2"/>
        <w:rPr>
          <w:rFonts w:ascii="Times New Roman" w:eastAsia="Times New Roman" w:hAnsi="Times New Roman" w:cs="Times New Roman"/>
          <w:b/>
          <w:bCs/>
          <w:sz w:val="24"/>
          <w:szCs w:val="24"/>
          <w:lang w:eastAsia="cs-CZ"/>
        </w:rPr>
      </w:pPr>
      <w:bookmarkStart w:id="91" w:name="_Toc361853576"/>
      <w:bookmarkStart w:id="92" w:name="_Toc374702898"/>
      <w:r w:rsidRPr="000B521F">
        <w:rPr>
          <w:rFonts w:ascii="Times New Roman" w:eastAsia="Times New Roman" w:hAnsi="Times New Roman" w:cs="Times New Roman"/>
          <w:b/>
          <w:bCs/>
          <w:sz w:val="24"/>
          <w:szCs w:val="24"/>
          <w:lang w:eastAsia="cs-CZ"/>
        </w:rPr>
        <w:t>Přehled hodnocení naplňování předběžných podmínek</w:t>
      </w:r>
      <w:bookmarkEnd w:id="91"/>
      <w:bookmarkEnd w:id="92"/>
    </w:p>
    <w:p w:rsidR="004C78CE" w:rsidRPr="000B521F" w:rsidRDefault="004C78CE"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Naplňování předběžných podmínek na národní úrovni vychází pro potřeby Dohody o partnerství z jednotlivých programů ESI fondů. </w:t>
      </w:r>
    </w:p>
    <w:p w:rsidR="004C78CE" w:rsidRPr="000B521F" w:rsidRDefault="004C78CE" w:rsidP="0059011D">
      <w:pPr>
        <w:spacing w:after="120" w:line="240" w:lineRule="auto"/>
        <w:jc w:val="both"/>
        <w:rPr>
          <w:rFonts w:ascii="Times New Roman" w:hAnsi="Times New Roman" w:cs="Times New Roman"/>
          <w:b/>
          <w:sz w:val="24"/>
          <w:szCs w:val="24"/>
        </w:rPr>
      </w:pPr>
      <w:r w:rsidRPr="000B521F">
        <w:rPr>
          <w:rFonts w:ascii="Times New Roman" w:hAnsi="Times New Roman" w:cs="Times New Roman"/>
          <w:sz w:val="24"/>
          <w:szCs w:val="24"/>
        </w:rPr>
        <w:t xml:space="preserve">Přehled uplatnitelných předběžných podmínek, tj. jak splněných, tak i částečně splněných či nesplněných včetně navržených opatření a harmonogramu splnění je uveden v příloze 5.5 Dohody o partnerství. Tento </w:t>
      </w:r>
      <w:r w:rsidRPr="000B521F">
        <w:rPr>
          <w:rFonts w:ascii="Times New Roman" w:eastAsia="Arial Unicode MS" w:hAnsi="Times New Roman" w:cs="Times New Roman"/>
          <w:sz w:val="24"/>
          <w:szCs w:val="24"/>
          <w:lang w:eastAsia="cs-CZ"/>
        </w:rPr>
        <w:t>přehled  je konkretizován v jednotlivých programech ESIF. Programy obsahují i případné odůvodnění neuplatnitelnosti některých předběžných podmínek, vymezení rizik či dalších souvislostí spojených s naplňování předběžných podmínek.</w:t>
      </w:r>
    </w:p>
    <w:p w:rsidR="004C78CE" w:rsidRPr="000B521F" w:rsidRDefault="004C78CE"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K částečně splněným či nesplněným předběžným podmínkám řídící orgány, případně ve spolupráci s dalšími subjekty, vytvářejí akční plány, které slouží pro detailnější argumentaci a odůvodnění nesplněných předběžných podmínek včetně detailně vymezených opatření deklarujících budoucí plnění, harmonogramu a odpovědných subjektů za  naplňování předběžné podmínky.</w:t>
      </w:r>
    </w:p>
    <w:p w:rsidR="004C78CE" w:rsidRPr="000B521F" w:rsidRDefault="004C78CE"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Akční plány pro částečně splněné či nesplněné předběžné podmínky jsou průběžně aktualizovány podle stavu naplňování a jejich konečné splnění bude vycházet z dohody mezi gestory předběžných podmínek, řídícími orgány, MMR a Evropskou komisí.</w:t>
      </w:r>
      <w:r w:rsidRPr="000B521F" w:rsidDel="00297DCB">
        <w:rPr>
          <w:rFonts w:ascii="Times New Roman" w:hAnsi="Times New Roman" w:cs="Times New Roman"/>
          <w:sz w:val="24"/>
          <w:szCs w:val="24"/>
        </w:rPr>
        <w:t xml:space="preserve"> </w:t>
      </w:r>
      <w:bookmarkStart w:id="93" w:name="_Toc361853577"/>
    </w:p>
    <w:p w:rsidR="004C78CE" w:rsidRPr="000B521F" w:rsidRDefault="004C78CE" w:rsidP="0059011D">
      <w:pPr>
        <w:keepNext/>
        <w:numPr>
          <w:ilvl w:val="2"/>
          <w:numId w:val="0"/>
        </w:numPr>
        <w:spacing w:after="120" w:line="240" w:lineRule="auto"/>
        <w:ind w:left="720" w:hanging="720"/>
        <w:jc w:val="both"/>
        <w:outlineLvl w:val="2"/>
        <w:rPr>
          <w:rFonts w:ascii="Times New Roman" w:eastAsia="Times New Roman" w:hAnsi="Times New Roman" w:cs="Times New Roman"/>
          <w:b/>
          <w:bCs/>
          <w:sz w:val="24"/>
          <w:szCs w:val="24"/>
          <w:lang w:eastAsia="cs-CZ"/>
        </w:rPr>
      </w:pPr>
      <w:bookmarkStart w:id="94" w:name="_Toc374702899"/>
      <w:r w:rsidRPr="000B521F">
        <w:rPr>
          <w:rFonts w:ascii="Times New Roman" w:eastAsia="Times New Roman" w:hAnsi="Times New Roman" w:cs="Times New Roman"/>
          <w:b/>
          <w:bCs/>
          <w:sz w:val="24"/>
          <w:szCs w:val="24"/>
          <w:lang w:eastAsia="cs-CZ"/>
        </w:rPr>
        <w:lastRenderedPageBreak/>
        <w:t>Další relevantní informace</w:t>
      </w:r>
      <w:bookmarkEnd w:id="93"/>
      <w:bookmarkEnd w:id="94"/>
    </w:p>
    <w:p w:rsidR="004C78CE" w:rsidRPr="000B521F" w:rsidRDefault="004C78CE" w:rsidP="0059011D">
      <w:pPr>
        <w:spacing w:after="120" w:line="240" w:lineRule="auto"/>
        <w:jc w:val="both"/>
        <w:rPr>
          <w:rFonts w:ascii="Times New Roman" w:eastAsia="Arial Unicode MS" w:hAnsi="Times New Roman" w:cs="Times New Roman"/>
          <w:sz w:val="24"/>
          <w:szCs w:val="24"/>
        </w:rPr>
      </w:pPr>
      <w:r w:rsidRPr="000B521F">
        <w:rPr>
          <w:rFonts w:ascii="Times New Roman" w:eastAsia="Arial Unicode MS" w:hAnsi="Times New Roman" w:cs="Times New Roman"/>
          <w:sz w:val="24"/>
          <w:szCs w:val="24"/>
        </w:rPr>
        <w:t>Česká republika vnímá vytvoření konceptu předběžných podmínek jako krok k dosahování vyšší efektivity prováděných intervencí z ESI fondů, vzhledem k tomu, že posiluje vazbu mezi financováním intervencí v rámci kohezní politiky a provádění reforem, legislativních změn či schvalování strategických dokumentů na úrovni členských států. Tyto požadavky ze strany Komise ne vždy jednoduše korespondují s institucionálním uspořádáním, legislativním prostředím nebo procesy vyžadujícími meziresortní koordinaci v České republice. Proto je naplňování některých předběžných podmínek plánováno v delším časovém horizontu. Z těchto důvodů jsou některé předběžné podmínky Českou republikou vnímány jako rizikové.</w:t>
      </w:r>
    </w:p>
    <w:p w:rsidR="004C78CE" w:rsidRPr="000B521F" w:rsidRDefault="004C78CE" w:rsidP="0059011D">
      <w:pPr>
        <w:spacing w:after="120" w:line="240" w:lineRule="auto"/>
        <w:jc w:val="both"/>
        <w:rPr>
          <w:rFonts w:ascii="Times New Roman" w:eastAsia="Arial Unicode MS" w:hAnsi="Times New Roman" w:cs="Times New Roman"/>
          <w:sz w:val="24"/>
          <w:szCs w:val="24"/>
        </w:rPr>
      </w:pPr>
      <w:r w:rsidRPr="000B521F">
        <w:rPr>
          <w:rFonts w:ascii="Times New Roman" w:eastAsia="Arial Unicode MS" w:hAnsi="Times New Roman" w:cs="Times New Roman"/>
          <w:sz w:val="24"/>
          <w:szCs w:val="24"/>
        </w:rPr>
        <w:t>Pro potřeby systému řízení a koordinace předběžných podmínek  MMR vede a průběžně aktualizuje Akční plán řízení a koordinace předběžných podmínek. Součástí Akčního plánu je mj. i sledování těch nejvíce rizikových předběžných podmínek, včetně analýzy problémovosti naplňování předběžných podmínek, uvedení rizik a bariér stojících v jejich naplňování, definování odpovědností jednotlivých gestorů apod. Rizikové předběžné podmínky jsou na základě Akčního plánu v pravidelných intervalech řešeny a mezi dotčenými subjekty vždy pod vedením gestora dotčené předběžné podmínky, ke které se riziko vztahuje, projednávány, z čehož plyne následné naplnění předběžných podmínek či aktualizace opatření vedoucích k jejich naplnění.</w:t>
      </w:r>
    </w:p>
    <w:p w:rsidR="004C78CE" w:rsidRPr="000B521F" w:rsidRDefault="004C78CE" w:rsidP="0059011D">
      <w:pPr>
        <w:spacing w:after="120" w:line="240" w:lineRule="auto"/>
        <w:jc w:val="both"/>
        <w:rPr>
          <w:rFonts w:ascii="Times New Roman" w:eastAsia="Arial Unicode MS" w:hAnsi="Times New Roman" w:cs="Times New Roman"/>
          <w:sz w:val="24"/>
          <w:szCs w:val="24"/>
        </w:rPr>
      </w:pPr>
      <w:r w:rsidRPr="000B521F">
        <w:rPr>
          <w:rFonts w:ascii="Times New Roman" w:eastAsia="Arial Unicode MS" w:hAnsi="Times New Roman" w:cs="Times New Roman"/>
          <w:sz w:val="24"/>
          <w:szCs w:val="24"/>
        </w:rPr>
        <w:t xml:space="preserve">Kromě rizik spojených s prováděním změn v legislativě či v oblasti reforem, lze za značné riziko obecně považovat doposud probíhající transpoziční a implementační proces u některých ze směrnic. Zároveň je třeba vzít v potaz i další rizika, která jsou spojená se zahájením řízení nebo porušení povinností členskou zemí. Konkrétní rizika Česká republika identifikuje ve vztahu k navrženým předběžným podmínkám v Akčním plánu </w:t>
      </w:r>
    </w:p>
    <w:p w:rsidR="004C78CE" w:rsidRPr="000B521F" w:rsidRDefault="004C78CE"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Většina předběžných podmínek je cílena také na zajištění existence strategických dokumentů. Rizikovost u strategických dokumentů spočívá v načasování schválení těchto dokumentů, v existenci více strategií pro jednu tematickou oblast apod. Tato oblast je rovněž řešena Akčním plánem.</w:t>
      </w:r>
    </w:p>
    <w:p w:rsidR="009A1CA8" w:rsidRPr="000B521F" w:rsidRDefault="004C78CE" w:rsidP="0059011D">
      <w:pPr>
        <w:pStyle w:val="DAVA"/>
        <w:rPr>
          <w:rFonts w:ascii="Times New Roman" w:hAnsi="Times New Roman"/>
          <w:szCs w:val="24"/>
        </w:rPr>
      </w:pPr>
      <w:r w:rsidRPr="000B521F">
        <w:rPr>
          <w:rFonts w:ascii="Times New Roman" w:hAnsi="Times New Roman"/>
          <w:szCs w:val="24"/>
        </w:rPr>
        <w:t>Některé předběžné podmínky se nevztahují vždy pouze na jeden program či prioritní osu daných programů, ale jejich uplatnitelnost zasahuje do více programů ESIF. S tím úzce souvisí zajištění předběžných podmínek i v situaci, kdy řídící orgán uplatňuje předběžnou podmínku v programu, ale není jejím gestorem. Zajištění věcné gesce je tak zásadním elementárním východiskem pro následné možné uplatnění pro dotčené programy (a to zejména u obecných předběžných podmínek, které jsou uplatňovány ve více programech).</w:t>
      </w:r>
    </w:p>
    <w:p w:rsidR="00507842" w:rsidRPr="000B521F" w:rsidRDefault="00507842" w:rsidP="0059011D">
      <w:pPr>
        <w:pStyle w:val="Nadpis2"/>
      </w:pPr>
      <w:bookmarkStart w:id="95" w:name="_Toc350333640"/>
      <w:bookmarkStart w:id="96" w:name="_Toc374702900"/>
      <w:r w:rsidRPr="000B521F">
        <w:t>Metodologie a mechanismus k zajištění konzistentnosti při fungování výkonnostního rámce v souladu s čl. 19 obecného nařízení</w:t>
      </w:r>
      <w:bookmarkEnd w:id="95"/>
      <w:bookmarkEnd w:id="96"/>
    </w:p>
    <w:p w:rsidR="00347B63" w:rsidRPr="000B521F" w:rsidRDefault="00347B63" w:rsidP="0059011D">
      <w:pPr>
        <w:spacing w:after="120" w:line="240" w:lineRule="auto"/>
        <w:jc w:val="both"/>
        <w:rPr>
          <w:rFonts w:ascii="Times New Roman" w:hAnsi="Times New Roman" w:cs="Times New Roman"/>
          <w:i/>
          <w:sz w:val="24"/>
          <w:szCs w:val="24"/>
        </w:rPr>
      </w:pPr>
      <w:r w:rsidRPr="000B521F">
        <w:rPr>
          <w:rFonts w:ascii="Times New Roman" w:hAnsi="Times New Roman" w:cs="Times New Roman"/>
          <w:sz w:val="24"/>
          <w:szCs w:val="24"/>
        </w:rPr>
        <w:t>Výkonnostní rámec je novým prvkem v nastavení intervencí programů ESI fondů. Je zaměřen na zvýšení výkonnosti programů a má za cíl lépe provázat intervence ESI fondů s naplňováním cílů strategie Evropa 2020a jejich orientaci na výsledky. Mechanismus koordinace při nastavování milníků a zajištění konzistentnosti při fungování výkonnostního rámce v souladu s čl. 19 obecného nařízení je popsán v Metodickém pokynu pro přípravu programových dokumentů v programovém období 2014</w:t>
      </w:r>
      <w:r w:rsidR="00183301">
        <w:rPr>
          <w:rFonts w:ascii="Times New Roman" w:hAnsi="Times New Roman" w:cs="Times New Roman"/>
          <w:color w:val="000000"/>
          <w:sz w:val="24"/>
          <w:szCs w:val="24"/>
        </w:rPr>
        <w:t>–</w:t>
      </w:r>
      <w:r w:rsidRPr="000B521F">
        <w:rPr>
          <w:rFonts w:ascii="Times New Roman" w:hAnsi="Times New Roman" w:cs="Times New Roman"/>
          <w:sz w:val="24"/>
          <w:szCs w:val="24"/>
        </w:rPr>
        <w:t>2020. Metodická doporučení pro nastavení výkonnostního rámce na národní úrovni reflektují a jsou průběžně upravována v závislosti na poskytování a aktualizaci podkladových materiálů k této problematice ze strany EK</w:t>
      </w:r>
      <w:r w:rsidRPr="000B521F">
        <w:rPr>
          <w:rStyle w:val="Znakapoznpodarou"/>
          <w:rFonts w:ascii="Times New Roman" w:hAnsi="Times New Roman" w:cs="Times New Roman"/>
          <w:sz w:val="24"/>
          <w:szCs w:val="24"/>
        </w:rPr>
        <w:footnoteReference w:id="85"/>
      </w:r>
      <w:r w:rsidRPr="000B521F">
        <w:rPr>
          <w:rFonts w:ascii="Times New Roman" w:hAnsi="Times New Roman" w:cs="Times New Roman"/>
          <w:sz w:val="24"/>
          <w:szCs w:val="24"/>
        </w:rPr>
        <w:t xml:space="preserve">. </w:t>
      </w:r>
      <w:r w:rsidRPr="000B521F">
        <w:rPr>
          <w:rFonts w:ascii="Times New Roman" w:hAnsi="Times New Roman" w:cs="Times New Roman"/>
          <w:i/>
          <w:sz w:val="24"/>
          <w:szCs w:val="24"/>
        </w:rPr>
        <w:t>Nástroje k nastavení milníků a cílů v podobě finančních ukazatelů</w:t>
      </w:r>
    </w:p>
    <w:p w:rsidR="00347B63" w:rsidRPr="000B521F" w:rsidRDefault="00347B63"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lastRenderedPageBreak/>
        <w:t>Při stanovování milníků a cílů v podobě finančního ukazatele jsou základním východiskem alokace na jednotlivé roky implementace, pravidlo n+3 a předběžné platby, od kterých se odvozuje tzv. limit čerpání pro daný rok implementace. Na základě tohoto limitu čerpání se následně stanovuje minimální objem finančních prostředků, které musí řídicí orgány předložit na Platební a certifikační orgán, a to dříve než v posledním čtvrtletí daného roku, a to z toho důvodu, aby</w:t>
      </w:r>
      <w:r w:rsidR="00652AE2" w:rsidRPr="000B521F">
        <w:rPr>
          <w:rFonts w:ascii="Times New Roman" w:hAnsi="Times New Roman" w:cs="Times New Roman"/>
          <w:sz w:val="24"/>
          <w:szCs w:val="24"/>
        </w:rPr>
        <w:t xml:space="preserve"> </w:t>
      </w:r>
      <w:r w:rsidRPr="000B521F">
        <w:rPr>
          <w:rFonts w:ascii="Times New Roman" w:hAnsi="Times New Roman" w:cs="Times New Roman"/>
          <w:sz w:val="24"/>
          <w:szCs w:val="24"/>
        </w:rPr>
        <w:t>byl zajištěn dostatečný časový prostor pro proces certifikace, zpracování a odeslání žádosti o platbu do EK. Při určování předpokládaného příspěvku prioritní osy / priority Unie k naplnění pravidla n+3 na úrovni programu budou zohledněny zejména</w:t>
      </w:r>
      <w:r w:rsidR="00652AE2" w:rsidRPr="000B521F">
        <w:rPr>
          <w:rFonts w:ascii="Times New Roman" w:hAnsi="Times New Roman" w:cs="Times New Roman"/>
          <w:sz w:val="24"/>
          <w:szCs w:val="24"/>
        </w:rPr>
        <w:t xml:space="preserve"> </w:t>
      </w:r>
      <w:r w:rsidRPr="000B521F">
        <w:rPr>
          <w:rFonts w:ascii="Times New Roman" w:hAnsi="Times New Roman" w:cs="Times New Roman"/>
          <w:sz w:val="24"/>
          <w:szCs w:val="24"/>
        </w:rPr>
        <w:t>charakter a typy operací, forma podpory (např. ex post, ex ante a kombinované financování), náročnost administrace jednotlivých operací včetně procesů a lhůt s tím souvisejících.</w:t>
      </w:r>
    </w:p>
    <w:p w:rsidR="008206A4" w:rsidRPr="000B521F" w:rsidRDefault="00347B63" w:rsidP="0059011D">
      <w:pPr>
        <w:pStyle w:val="Odstavecseseznamem"/>
        <w:numPr>
          <w:ilvl w:val="0"/>
          <w:numId w:val="13"/>
        </w:numPr>
        <w:spacing w:after="120" w:line="240" w:lineRule="auto"/>
        <w:jc w:val="both"/>
        <w:rPr>
          <w:rFonts w:ascii="Times New Roman" w:hAnsi="Times New Roman" w:cs="Times New Roman"/>
          <w:i/>
          <w:sz w:val="24"/>
          <w:szCs w:val="24"/>
        </w:rPr>
      </w:pPr>
      <w:r w:rsidRPr="000B521F">
        <w:rPr>
          <w:rFonts w:ascii="Times New Roman" w:hAnsi="Times New Roman" w:cs="Times New Roman"/>
          <w:i/>
          <w:sz w:val="24"/>
          <w:szCs w:val="24"/>
        </w:rPr>
        <w:t>Nástroje k nastavení milníků a cílů v podobě indikátorů výstupu a výsledku</w:t>
      </w:r>
    </w:p>
    <w:p w:rsidR="00347B63" w:rsidRPr="000B521F" w:rsidRDefault="00347B63"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Kromě finančních ukazatelů bude pro každou prioritní osu / prioritu Unie vybrán alespoň jeden indikátor výstupu nebo výsledku nebo klíčový implementační krok. Tyto ukazatele musí svým věcným zaměřením reflektovat intervenční logiku / teorii změny programu a většinu aktivit dané prioritní osy / priority Unie. Počty indikátorů výsledku nebo výstupu na každé prioritní ose / prioritě Unie jsou závislé na rozsahu respektive množství plánovaných aktivit. Nastavení indikátorových soustav a milníků se řídí metodickými pokyny definovanými ze strany EK a závaznými metodickými pokyny MMR-NOK. Jako hlavní nástroj pro koordinaci věcného monitorování bude vytvořen Národní číselník indikátorů pro programové období 2014</w:t>
      </w:r>
      <w:r w:rsidR="00183301">
        <w:rPr>
          <w:rFonts w:ascii="Times New Roman" w:hAnsi="Times New Roman" w:cs="Times New Roman"/>
          <w:color w:val="000000"/>
          <w:sz w:val="24"/>
          <w:szCs w:val="24"/>
        </w:rPr>
        <w:t>–</w:t>
      </w:r>
      <w:r w:rsidRPr="000B521F">
        <w:rPr>
          <w:rFonts w:ascii="Times New Roman" w:hAnsi="Times New Roman" w:cs="Times New Roman"/>
          <w:sz w:val="24"/>
          <w:szCs w:val="24"/>
        </w:rPr>
        <w:t>2020, který popisuje jednotnou a závaznou metodickou konstrukci všech indikátorů využívaných v rámci období 2014</w:t>
      </w:r>
      <w:r w:rsidR="00183301">
        <w:rPr>
          <w:rFonts w:ascii="Times New Roman" w:hAnsi="Times New Roman" w:cs="Times New Roman"/>
          <w:color w:val="000000"/>
          <w:sz w:val="24"/>
          <w:szCs w:val="24"/>
        </w:rPr>
        <w:t>–</w:t>
      </w:r>
      <w:r w:rsidRPr="000B521F">
        <w:rPr>
          <w:rFonts w:ascii="Times New Roman" w:hAnsi="Times New Roman" w:cs="Times New Roman"/>
          <w:sz w:val="24"/>
          <w:szCs w:val="24"/>
        </w:rPr>
        <w:t>2020 napříč programy SSR, tak aby na národní úrovni byl zajištěn metodický soulad monitorování a hodnocení výsledků intervencí. V rámci přípravy programů je na základě teorií změny pro každý specifický cíl navrhována indikátorová soustava v souladu s uvedenými pravidly jednotného metodického prostředí. Samotné stanovování cílových hodnot indikátorů a milníků bude nastaveno primárně na základě zkušeností období 2007</w:t>
      </w:r>
      <w:r w:rsidR="00183301">
        <w:rPr>
          <w:rFonts w:ascii="Times New Roman" w:hAnsi="Times New Roman" w:cs="Times New Roman"/>
          <w:color w:val="000000"/>
          <w:sz w:val="24"/>
          <w:szCs w:val="24"/>
        </w:rPr>
        <w:t>–</w:t>
      </w:r>
      <w:r w:rsidRPr="000B521F">
        <w:rPr>
          <w:rFonts w:ascii="Times New Roman" w:hAnsi="Times New Roman" w:cs="Times New Roman"/>
          <w:sz w:val="24"/>
          <w:szCs w:val="24"/>
        </w:rPr>
        <w:t xml:space="preserve">2013. </w:t>
      </w:r>
    </w:p>
    <w:p w:rsidR="008206A4" w:rsidRPr="000B521F" w:rsidRDefault="00347B63" w:rsidP="0059011D">
      <w:pPr>
        <w:pStyle w:val="Odstavecseseznamem"/>
        <w:numPr>
          <w:ilvl w:val="0"/>
          <w:numId w:val="13"/>
        </w:numPr>
        <w:spacing w:after="120" w:line="240" w:lineRule="auto"/>
        <w:jc w:val="both"/>
        <w:rPr>
          <w:rFonts w:ascii="Times New Roman" w:hAnsi="Times New Roman" w:cs="Times New Roman"/>
          <w:i/>
          <w:sz w:val="24"/>
          <w:szCs w:val="24"/>
        </w:rPr>
      </w:pPr>
      <w:r w:rsidRPr="000B521F">
        <w:rPr>
          <w:rFonts w:ascii="Times New Roman" w:hAnsi="Times New Roman" w:cs="Times New Roman"/>
          <w:i/>
          <w:sz w:val="24"/>
          <w:szCs w:val="24"/>
        </w:rPr>
        <w:t>Nastavení milníků a cílů v podobě klíčových implementačních kroků</w:t>
      </w:r>
    </w:p>
    <w:p w:rsidR="00347B63" w:rsidRPr="000B521F" w:rsidRDefault="00347B63"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U těch aktivit, kde lze předpokládat pomalou počáteční fázi realizace (např. oblast velkých projektů), budou místo milníků v podobě indikátorů využity tzv. klíčové implementační kroky, které budou monitorovat správný směr a rozsah plnění cílů.</w:t>
      </w:r>
    </w:p>
    <w:p w:rsidR="008206A4" w:rsidRPr="000B521F" w:rsidRDefault="00347B63" w:rsidP="0059011D">
      <w:pPr>
        <w:pStyle w:val="Odstavecseseznamem"/>
        <w:numPr>
          <w:ilvl w:val="0"/>
          <w:numId w:val="13"/>
        </w:numPr>
        <w:spacing w:after="120" w:line="240" w:lineRule="auto"/>
        <w:jc w:val="both"/>
        <w:rPr>
          <w:rFonts w:ascii="Times New Roman" w:hAnsi="Times New Roman" w:cs="Times New Roman"/>
          <w:i/>
          <w:sz w:val="24"/>
          <w:szCs w:val="24"/>
        </w:rPr>
      </w:pPr>
      <w:r w:rsidRPr="000B521F">
        <w:rPr>
          <w:rFonts w:ascii="Times New Roman" w:hAnsi="Times New Roman" w:cs="Times New Roman"/>
          <w:i/>
          <w:sz w:val="24"/>
          <w:szCs w:val="24"/>
        </w:rPr>
        <w:t>Monitorování a vyhodnocování plnění milníků a cílů</w:t>
      </w:r>
    </w:p>
    <w:p w:rsidR="00347B63" w:rsidRDefault="00347B63"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Řídicí orgány a NOK budou pravidelně monitorovat plnění milníků a cílů na základě srovnávání skutečného stavu a pokroku čerpání ve vztahu k hodnotám milníků a cílů. V případě finančních ukazatelů budou na národní úrovni nastaveny tzv. kontrolní hranice čerpání pro stav finančních prostředků předložených řídícím orgánem na Platební a certifikační orgán pro určité časové úseky jako mety, kterých je žádoucí dosáhnout, aby bylo naplněno pravidlo n+3, resp. milníky a cíle. Dále budou pravidelně zpracovávány predikce čerpání a bude hodnoceno jejich nastavení a plnění ve vztahu ke kontrolním hranicím čerpání, milníků a cílů. Ze strany NOK bude stav plnění milníků sledován čtvrtletně, v případě neplnění kontrolních hranic budou ze strany ŘO ve spolupráci s NOK nastavena v rámci procesu řízení rizik nápravná opatření. V případě indikátorů bude plnění věcných cílů sledováno pravidelně v rámci výročních zpráv a predikce očekávaného plnění věcných cílů budou vytvářeny z</w:t>
      </w:r>
      <w:r w:rsidR="00652AE2" w:rsidRPr="000B521F">
        <w:rPr>
          <w:rFonts w:ascii="Times New Roman" w:hAnsi="Times New Roman" w:cs="Times New Roman"/>
          <w:sz w:val="24"/>
          <w:szCs w:val="24"/>
        </w:rPr>
        <w:t> </w:t>
      </w:r>
      <w:r w:rsidRPr="000B521F">
        <w:rPr>
          <w:rFonts w:ascii="Times New Roman" w:hAnsi="Times New Roman" w:cs="Times New Roman"/>
          <w:sz w:val="24"/>
          <w:szCs w:val="24"/>
        </w:rPr>
        <w:t>detailních</w:t>
      </w:r>
      <w:r w:rsidR="00652AE2" w:rsidRPr="000B521F">
        <w:rPr>
          <w:rFonts w:ascii="Times New Roman" w:hAnsi="Times New Roman" w:cs="Times New Roman"/>
          <w:sz w:val="24"/>
          <w:szCs w:val="24"/>
        </w:rPr>
        <w:t xml:space="preserve"> </w:t>
      </w:r>
      <w:r w:rsidRPr="000B521F">
        <w:rPr>
          <w:rFonts w:ascii="Times New Roman" w:hAnsi="Times New Roman" w:cs="Times New Roman"/>
          <w:sz w:val="24"/>
          <w:szCs w:val="24"/>
        </w:rPr>
        <w:t>plánů výzev.</w:t>
      </w:r>
    </w:p>
    <w:p w:rsidR="00041452" w:rsidRPr="00347B63" w:rsidRDefault="00041452" w:rsidP="00041452">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V případě EZFRV bude výběr ukazatelů a stanovení milníků vycházet ze společného systému pro monitoring a hodnocení pro EZFRV ustanoveného ve specifických předpisech, a to včetně relevantního mechanismu monitoringu. Cíle budou určeny na základě analýzy a intervenční logiky Programu rozvoje venkova.  </w:t>
      </w:r>
    </w:p>
    <w:p w:rsidR="00041452" w:rsidRPr="000B521F" w:rsidRDefault="00041452" w:rsidP="0059011D">
      <w:pPr>
        <w:spacing w:after="120" w:line="240" w:lineRule="auto"/>
        <w:jc w:val="both"/>
        <w:rPr>
          <w:rFonts w:ascii="Times New Roman" w:hAnsi="Times New Roman" w:cs="Times New Roman"/>
          <w:sz w:val="24"/>
          <w:szCs w:val="24"/>
        </w:rPr>
      </w:pPr>
    </w:p>
    <w:p w:rsidR="00507842" w:rsidRPr="000B521F" w:rsidRDefault="00507842" w:rsidP="0059011D">
      <w:pPr>
        <w:pStyle w:val="Nadpis2"/>
      </w:pPr>
      <w:bookmarkStart w:id="97" w:name="_Toc350333641"/>
      <w:bookmarkStart w:id="98" w:name="_Toc374702901"/>
      <w:r w:rsidRPr="000B521F">
        <w:t>Vyhodnocení, zda existuje potřeba posílit administrativní kapacitu úřadů a případně příjemců, a kromě toho v odůvodněných případech souhrn opatření, která mají být přijata za tímto účelem.</w:t>
      </w:r>
      <w:bookmarkEnd w:id="97"/>
      <w:bookmarkEnd w:id="98"/>
    </w:p>
    <w:p w:rsidR="00395365" w:rsidRPr="00395365" w:rsidRDefault="00395365" w:rsidP="00395365">
      <w:pPr>
        <w:spacing w:after="120" w:line="240" w:lineRule="auto"/>
        <w:jc w:val="both"/>
        <w:rPr>
          <w:rFonts w:ascii="Times New Roman" w:hAnsi="Times New Roman" w:cs="Times New Roman"/>
          <w:sz w:val="24"/>
          <w:szCs w:val="24"/>
        </w:rPr>
      </w:pPr>
      <w:r w:rsidRPr="00395365">
        <w:rPr>
          <w:rFonts w:ascii="Times New Roman" w:hAnsi="Times New Roman" w:cs="Times New Roman"/>
          <w:sz w:val="24"/>
          <w:szCs w:val="24"/>
        </w:rPr>
        <w:t xml:space="preserve">V návaznosti na zkušenosti, slabé a silné stránky systému zajištění administrativní kapacity v programovém období 2007-2013, je nastaven systém řízení a rozvoje lidských zdrojů pro programové období 2014-2020. </w:t>
      </w:r>
    </w:p>
    <w:p w:rsidR="00395365" w:rsidRPr="00395365" w:rsidRDefault="00395365" w:rsidP="00395365">
      <w:pPr>
        <w:spacing w:after="120" w:line="240" w:lineRule="auto"/>
        <w:jc w:val="both"/>
        <w:rPr>
          <w:rFonts w:ascii="Times New Roman" w:hAnsi="Times New Roman" w:cs="Times New Roman"/>
          <w:sz w:val="24"/>
          <w:szCs w:val="24"/>
        </w:rPr>
      </w:pPr>
      <w:r w:rsidRPr="00395365">
        <w:rPr>
          <w:rFonts w:ascii="Times New Roman" w:hAnsi="Times New Roman" w:cs="Times New Roman"/>
          <w:sz w:val="24"/>
          <w:szCs w:val="24"/>
        </w:rPr>
        <w:t>Mezi silné stránky patří:</w:t>
      </w:r>
    </w:p>
    <w:p w:rsidR="00395365" w:rsidRPr="00395365" w:rsidRDefault="00395365" w:rsidP="00395365">
      <w:pPr>
        <w:pStyle w:val="Odstavecseseznamem"/>
        <w:numPr>
          <w:ilvl w:val="0"/>
          <w:numId w:val="155"/>
        </w:numPr>
        <w:spacing w:after="120" w:line="240" w:lineRule="auto"/>
        <w:jc w:val="both"/>
        <w:rPr>
          <w:rFonts w:ascii="Times New Roman" w:hAnsi="Times New Roman" w:cs="Times New Roman"/>
          <w:sz w:val="24"/>
          <w:szCs w:val="24"/>
        </w:rPr>
      </w:pPr>
      <w:r w:rsidRPr="00395365">
        <w:rPr>
          <w:rFonts w:ascii="Times New Roman" w:hAnsi="Times New Roman" w:cs="Times New Roman"/>
          <w:sz w:val="24"/>
          <w:szCs w:val="24"/>
        </w:rPr>
        <w:t>dobře nastavený systém vzdělávání, který umož</w:t>
      </w:r>
      <w:r>
        <w:rPr>
          <w:rFonts w:ascii="Times New Roman" w:hAnsi="Times New Roman" w:cs="Times New Roman"/>
          <w:sz w:val="24"/>
          <w:szCs w:val="24"/>
        </w:rPr>
        <w:t>ň</w:t>
      </w:r>
      <w:r w:rsidRPr="00395365">
        <w:rPr>
          <w:rFonts w:ascii="Times New Roman" w:hAnsi="Times New Roman" w:cs="Times New Roman"/>
          <w:sz w:val="24"/>
          <w:szCs w:val="24"/>
        </w:rPr>
        <w:t xml:space="preserve">uje centrální proškolení zaměstnanců EU fondů ve všech hlavních průřezových oblastech; </w:t>
      </w:r>
    </w:p>
    <w:p w:rsidR="00395365" w:rsidRPr="00395365" w:rsidRDefault="00395365" w:rsidP="00395365">
      <w:pPr>
        <w:pStyle w:val="Odstavecseseznamem"/>
        <w:numPr>
          <w:ilvl w:val="0"/>
          <w:numId w:val="155"/>
        </w:numPr>
        <w:spacing w:after="120" w:line="240" w:lineRule="auto"/>
        <w:jc w:val="both"/>
        <w:rPr>
          <w:rFonts w:ascii="Times New Roman" w:hAnsi="Times New Roman" w:cs="Times New Roman"/>
          <w:sz w:val="24"/>
          <w:szCs w:val="24"/>
        </w:rPr>
      </w:pPr>
      <w:r w:rsidRPr="00395365">
        <w:rPr>
          <w:rFonts w:ascii="Times New Roman" w:hAnsi="Times New Roman" w:cs="Times New Roman"/>
          <w:sz w:val="24"/>
          <w:szCs w:val="24"/>
        </w:rPr>
        <w:t>dobře nastavený a detailně propracovaný systém výběru zaměstnanců (viz UV č. 1332/2012), který ve zbylé části státní správy chybí a který zajišťuje v této oblasti transparentnost, rovný přístup a nediskriminaci;</w:t>
      </w:r>
    </w:p>
    <w:p w:rsidR="00395365" w:rsidRPr="00395365" w:rsidRDefault="00395365" w:rsidP="00395365">
      <w:pPr>
        <w:pStyle w:val="Odstavecseseznamem"/>
        <w:numPr>
          <w:ilvl w:val="0"/>
          <w:numId w:val="155"/>
        </w:numPr>
        <w:spacing w:after="120" w:line="240" w:lineRule="auto"/>
        <w:jc w:val="both"/>
        <w:rPr>
          <w:rFonts w:ascii="Times New Roman" w:hAnsi="Times New Roman" w:cs="Times New Roman"/>
          <w:sz w:val="24"/>
          <w:szCs w:val="24"/>
        </w:rPr>
      </w:pPr>
      <w:r w:rsidRPr="00395365">
        <w:rPr>
          <w:rFonts w:ascii="Times New Roman" w:hAnsi="Times New Roman" w:cs="Times New Roman"/>
          <w:sz w:val="24"/>
          <w:szCs w:val="24"/>
        </w:rPr>
        <w:t xml:space="preserve">finanční motivace, resp. kompenzace za náročnost vykonávaných činností ve fondech EU (viz bonusy stanovené v UV č. 818/2007 a č. 1332/2009) – zavedení jednotného rámce pro finanční motivaci v rámci implementační struktury mělo dobrý vliv na snižování míry fluktuace zaměstnanců; </w:t>
      </w:r>
    </w:p>
    <w:p w:rsidR="00395365" w:rsidRPr="00395365" w:rsidRDefault="00395365" w:rsidP="00395365">
      <w:pPr>
        <w:pStyle w:val="Odstavecseseznamem"/>
        <w:numPr>
          <w:ilvl w:val="0"/>
          <w:numId w:val="155"/>
        </w:numPr>
        <w:spacing w:after="120" w:line="240" w:lineRule="auto"/>
        <w:jc w:val="both"/>
        <w:rPr>
          <w:rFonts w:ascii="Times New Roman" w:hAnsi="Times New Roman" w:cs="Times New Roman"/>
          <w:sz w:val="24"/>
          <w:szCs w:val="24"/>
        </w:rPr>
      </w:pPr>
      <w:r w:rsidRPr="00395365">
        <w:rPr>
          <w:rFonts w:ascii="Times New Roman" w:hAnsi="Times New Roman" w:cs="Times New Roman"/>
          <w:sz w:val="24"/>
          <w:szCs w:val="24"/>
        </w:rPr>
        <w:t>systém typových pozic, včetně základního popisu činností v rámci implementace a požadavků na znalosti/vzdělání a kompetence.</w:t>
      </w:r>
    </w:p>
    <w:p w:rsidR="00395365" w:rsidRPr="00395365" w:rsidRDefault="00395365" w:rsidP="00395365">
      <w:pPr>
        <w:spacing w:after="120" w:line="240" w:lineRule="auto"/>
        <w:jc w:val="both"/>
        <w:rPr>
          <w:rFonts w:ascii="Times New Roman" w:hAnsi="Times New Roman" w:cs="Times New Roman"/>
          <w:sz w:val="24"/>
          <w:szCs w:val="24"/>
        </w:rPr>
      </w:pPr>
      <w:r w:rsidRPr="00395365">
        <w:rPr>
          <w:rFonts w:ascii="Times New Roman" w:hAnsi="Times New Roman" w:cs="Times New Roman"/>
          <w:sz w:val="24"/>
          <w:szCs w:val="24"/>
        </w:rPr>
        <w:t>Za slabé stránky byly považovány:</w:t>
      </w:r>
    </w:p>
    <w:p w:rsidR="00395365" w:rsidRPr="00395365" w:rsidRDefault="00395365" w:rsidP="00395365">
      <w:pPr>
        <w:pStyle w:val="Odstavecseseznamem"/>
        <w:numPr>
          <w:ilvl w:val="0"/>
          <w:numId w:val="156"/>
        </w:numPr>
        <w:spacing w:after="120" w:line="240" w:lineRule="auto"/>
        <w:jc w:val="both"/>
        <w:rPr>
          <w:rFonts w:ascii="Times New Roman" w:hAnsi="Times New Roman" w:cs="Times New Roman"/>
          <w:sz w:val="24"/>
          <w:szCs w:val="24"/>
        </w:rPr>
      </w:pPr>
      <w:r w:rsidRPr="00395365">
        <w:rPr>
          <w:rFonts w:ascii="Times New Roman" w:hAnsi="Times New Roman" w:cs="Times New Roman"/>
          <w:sz w:val="24"/>
          <w:szCs w:val="24"/>
        </w:rPr>
        <w:t xml:space="preserve">vysoká fluktuace, zejména v počátku programového období 2007-2013 - míra fluktuace se nicméně po přijetí opatření pro stabilizaci (mj. finanční motivace) postupně snižovala, nadále však existuje riziko vlivu personálních změn souvisejících s politickými změnami (obdobně jako v roce 2010) a dále riziko spojené s vyšší motivací zaměstnanců přecházet na práci pro programové období 2014-2020; </w:t>
      </w:r>
    </w:p>
    <w:p w:rsidR="00395365" w:rsidRPr="00395365" w:rsidRDefault="00395365" w:rsidP="00395365">
      <w:pPr>
        <w:pStyle w:val="Odstavecseseznamem"/>
        <w:numPr>
          <w:ilvl w:val="0"/>
          <w:numId w:val="156"/>
        </w:numPr>
        <w:spacing w:after="120" w:line="240" w:lineRule="auto"/>
        <w:jc w:val="both"/>
        <w:rPr>
          <w:rFonts w:ascii="Times New Roman" w:hAnsi="Times New Roman" w:cs="Times New Roman"/>
          <w:sz w:val="24"/>
          <w:szCs w:val="24"/>
        </w:rPr>
      </w:pPr>
      <w:r w:rsidRPr="00395365">
        <w:rPr>
          <w:rFonts w:ascii="Times New Roman" w:hAnsi="Times New Roman" w:cs="Times New Roman"/>
          <w:sz w:val="24"/>
          <w:szCs w:val="24"/>
        </w:rPr>
        <w:t xml:space="preserve">u některých OP se nastavení implementační struktury projevilo, vzhledem k pozdějšímu objemu činností, jako ne zcela dostatečné, z tohoto důvodu pak docházelo k využívání outsourcingu i v činnostech, které měly být zajištěny základními typovými pozicemi; </w:t>
      </w:r>
    </w:p>
    <w:p w:rsidR="00395365" w:rsidRPr="00395365" w:rsidRDefault="00395365" w:rsidP="00395365">
      <w:pPr>
        <w:pStyle w:val="Odstavecseseznamem"/>
        <w:numPr>
          <w:ilvl w:val="0"/>
          <w:numId w:val="156"/>
        </w:numPr>
        <w:spacing w:after="120" w:line="240" w:lineRule="auto"/>
        <w:jc w:val="both"/>
        <w:rPr>
          <w:rFonts w:ascii="Times New Roman" w:hAnsi="Times New Roman" w:cs="Times New Roman"/>
          <w:sz w:val="24"/>
          <w:szCs w:val="24"/>
        </w:rPr>
      </w:pPr>
      <w:r w:rsidRPr="00395365">
        <w:rPr>
          <w:rFonts w:ascii="Times New Roman" w:hAnsi="Times New Roman" w:cs="Times New Roman"/>
          <w:sz w:val="24"/>
          <w:szCs w:val="24"/>
        </w:rPr>
        <w:t>nedostatečné pokrytí procesů typovými pozicemi se projevilo též v přílišné pracovní zátěži (při vysoké náročnosti z hlediska kvalifikace na vykonávanou činnost);</w:t>
      </w:r>
    </w:p>
    <w:p w:rsidR="00395365" w:rsidRPr="00395365" w:rsidRDefault="00395365" w:rsidP="00395365">
      <w:pPr>
        <w:pStyle w:val="Odstavecseseznamem"/>
        <w:numPr>
          <w:ilvl w:val="0"/>
          <w:numId w:val="156"/>
        </w:numPr>
        <w:spacing w:after="120" w:line="240" w:lineRule="auto"/>
        <w:jc w:val="both"/>
        <w:rPr>
          <w:rFonts w:ascii="Times New Roman" w:hAnsi="Times New Roman" w:cs="Times New Roman"/>
          <w:sz w:val="24"/>
          <w:szCs w:val="24"/>
        </w:rPr>
      </w:pPr>
      <w:r w:rsidRPr="00395365">
        <w:rPr>
          <w:rFonts w:ascii="Times New Roman" w:hAnsi="Times New Roman" w:cs="Times New Roman"/>
          <w:sz w:val="24"/>
          <w:szCs w:val="24"/>
        </w:rPr>
        <w:t>chybějící jednotné metodické prostředí v oblasti administrativní kapacity, resp. ucelená metodika, která by řešila komplexnost na sebe navazujících procesů řízení a rozvoje lidských zdrojů.</w:t>
      </w:r>
    </w:p>
    <w:p w:rsidR="00395365" w:rsidRPr="00395365" w:rsidRDefault="00395365" w:rsidP="00395365">
      <w:pPr>
        <w:spacing w:after="120" w:line="240" w:lineRule="auto"/>
        <w:jc w:val="both"/>
        <w:rPr>
          <w:rFonts w:ascii="Times New Roman" w:hAnsi="Times New Roman" w:cs="Times New Roman"/>
          <w:sz w:val="24"/>
          <w:szCs w:val="24"/>
        </w:rPr>
      </w:pPr>
      <w:r w:rsidRPr="00395365">
        <w:rPr>
          <w:rFonts w:ascii="Times New Roman" w:hAnsi="Times New Roman" w:cs="Times New Roman"/>
          <w:sz w:val="24"/>
          <w:szCs w:val="24"/>
        </w:rPr>
        <w:t>Tyto zkušenosti, tedy silné i slabé stránky, jsou zohledněny v Metodickém pokynu k rozvoji lidských zdrojů v programovém období 2014-2020</w:t>
      </w:r>
      <w:r w:rsidRPr="00395365" w:rsidDel="00E338C9">
        <w:rPr>
          <w:rFonts w:ascii="Times New Roman" w:hAnsi="Times New Roman" w:cs="Times New Roman"/>
          <w:sz w:val="24"/>
          <w:szCs w:val="24"/>
        </w:rPr>
        <w:t xml:space="preserve"> </w:t>
      </w:r>
      <w:r w:rsidRPr="00395365">
        <w:rPr>
          <w:rFonts w:ascii="Times New Roman" w:hAnsi="Times New Roman" w:cs="Times New Roman"/>
          <w:sz w:val="24"/>
          <w:szCs w:val="24"/>
        </w:rPr>
        <w:t xml:space="preserve">a v programovém období 2007-2013 (dále jen MP lidské zdroje) a jsou důvodem pro zavedení některých opatření (podrobněji viz níže). Na úrovni systému implementace byla zkušenost z programového období 2007-2013 využita v rozhodnutí nezavádět nové instituce a nové prvky bez nebo jen s minimálními zkušenostmi s implementací evropských fondů do systému implementace pro programové období 2014–2020. S ohledem na potřebu zjednodušení a sjednocení systému implementace bylo přistoupeno ke snížení počtu programů, k čemuž došlo zejména na úrovni regionálních </w:t>
      </w:r>
      <w:r w:rsidRPr="00395365">
        <w:rPr>
          <w:rFonts w:ascii="Times New Roman" w:hAnsi="Times New Roman" w:cs="Times New Roman"/>
          <w:sz w:val="24"/>
          <w:szCs w:val="24"/>
        </w:rPr>
        <w:lastRenderedPageBreak/>
        <w:t>operačních programů. Zároveň však zůstává cílem v maximální míře využít lidské zdroje uvolněné z implementace vlivem rozhodnutí o nepokračování regionálních operačních programů.</w:t>
      </w:r>
    </w:p>
    <w:p w:rsidR="00395365" w:rsidRPr="00395365" w:rsidRDefault="00395365" w:rsidP="00395365">
      <w:pPr>
        <w:spacing w:after="120" w:line="240" w:lineRule="auto"/>
        <w:jc w:val="both"/>
        <w:rPr>
          <w:rFonts w:ascii="Times New Roman" w:eastAsia="Arial Unicode MS" w:hAnsi="Times New Roman" w:cs="Times New Roman"/>
          <w:color w:val="000000"/>
          <w:sz w:val="24"/>
          <w:szCs w:val="24"/>
          <w:u w:color="000000"/>
        </w:rPr>
      </w:pPr>
      <w:r w:rsidRPr="00395365">
        <w:rPr>
          <w:rFonts w:ascii="Times New Roman" w:hAnsi="Times New Roman" w:cs="Times New Roman"/>
          <w:sz w:val="24"/>
          <w:szCs w:val="24"/>
        </w:rPr>
        <w:t>MP lidské zdroje byl připraven s cílem komplexně nastavit jednotné požadavky na zajištění kvalitní, stabilní a kompetentní administrativní kapacity. Z</w:t>
      </w:r>
      <w:r w:rsidRPr="00395365">
        <w:rPr>
          <w:rFonts w:ascii="Times New Roman" w:eastAsia="Arial Unicode MS" w:hAnsi="Times New Roman" w:cs="Times New Roman"/>
          <w:color w:val="000000"/>
          <w:sz w:val="24"/>
          <w:szCs w:val="24"/>
          <w:u w:color="000000"/>
        </w:rPr>
        <w:t>ohledňuje připravovaný zákon o státních úřednících (o státní službě), resp. jeho návrh známý v době přípravy metodického pokynu. Text MP lidské zdroje bude po přijetí tohoto zákona, resp. v návaznosti na termín jeho účinnosti, aktualizován a uveden do souladu s jeho zněním. Nicméně nadále pro oblast implementace fondů EU stanoví pravidla a požadavky nad rámec tohoto zákona.</w:t>
      </w:r>
    </w:p>
    <w:p w:rsidR="00395365" w:rsidRPr="00395365" w:rsidRDefault="00395365" w:rsidP="00395365">
      <w:pPr>
        <w:spacing w:after="120" w:line="240" w:lineRule="auto"/>
        <w:jc w:val="both"/>
        <w:rPr>
          <w:rFonts w:ascii="Times New Roman" w:hAnsi="Times New Roman" w:cs="Times New Roman"/>
          <w:sz w:val="24"/>
          <w:szCs w:val="24"/>
        </w:rPr>
      </w:pPr>
      <w:r w:rsidRPr="00395365">
        <w:rPr>
          <w:rFonts w:ascii="Times New Roman" w:hAnsi="Times New Roman" w:cs="Times New Roman"/>
          <w:sz w:val="24"/>
          <w:szCs w:val="24"/>
        </w:rPr>
        <w:t xml:space="preserve">Přestože MP lidské zdroje upravuje postupy též pro období ukončování programového období 2007-2013, je pozornost soustředěna na přípravu nového programového období 2014-2020. Hlavním úkolem je v této souvislosti nastavit procesy vedoucí již od počátku k adekvátní realizaci cílů ESI fondů a jednotlivých činností při implementaci programů a zohlednit silné a slabé stránky systému implementace programového období 2007-2013 z pohledu administrativní kapacity, zjištěné na základě analýzy provedené MMR. </w:t>
      </w:r>
    </w:p>
    <w:p w:rsidR="00395365" w:rsidRPr="00395365" w:rsidRDefault="00395365" w:rsidP="00395365">
      <w:pPr>
        <w:spacing w:after="120" w:line="240" w:lineRule="auto"/>
        <w:jc w:val="both"/>
        <w:rPr>
          <w:rFonts w:ascii="Times New Roman" w:hAnsi="Times New Roman" w:cs="Times New Roman"/>
          <w:sz w:val="24"/>
          <w:szCs w:val="24"/>
        </w:rPr>
      </w:pPr>
      <w:r w:rsidRPr="00395365">
        <w:rPr>
          <w:rFonts w:ascii="Times New Roman" w:hAnsi="Times New Roman" w:cs="Times New Roman"/>
          <w:sz w:val="24"/>
          <w:szCs w:val="24"/>
        </w:rPr>
        <w:t xml:space="preserve">Metodický pokyn obsahuje procesy systému řízení a rozvoje lidských zdrojů, od personálního plánování, využívání outsourcovaných služeb, přes získávání, výběr i uvolňování zaměstnanců, jejich adaptaci, řízení a hodnocení, až po systém odměňování a vzdělávání. Celkově je kladen důraz na plynulý a postupný přechod administrativních kapacit mezi programovými obdobími. </w:t>
      </w:r>
    </w:p>
    <w:p w:rsidR="00395365" w:rsidRPr="00395365" w:rsidRDefault="00395365" w:rsidP="00395365">
      <w:pPr>
        <w:spacing w:after="120" w:line="240" w:lineRule="auto"/>
        <w:jc w:val="both"/>
        <w:rPr>
          <w:rFonts w:ascii="Times New Roman" w:hAnsi="Times New Roman" w:cs="Times New Roman"/>
          <w:sz w:val="24"/>
          <w:szCs w:val="24"/>
        </w:rPr>
      </w:pPr>
      <w:r w:rsidRPr="00395365">
        <w:rPr>
          <w:rFonts w:ascii="Times New Roman" w:hAnsi="Times New Roman" w:cs="Times New Roman"/>
          <w:sz w:val="24"/>
          <w:szCs w:val="24"/>
        </w:rPr>
        <w:t xml:space="preserve">Pro programové období 2014-2020 bude nastaven monitoring administrativní kapacity ze strany MMR a bude probíhat zejména prostřednictvím nového monitorovacího systému MS2014+. Subjekty implementace budou prostřednictvím monitorovacího systému předkládat dvakrát ročně zprávy, které poskytnou potřebná data a přehled ve všech důležitých aspektech administrativní kapacity, jako je např. přehled počtu zaměstnanců, plán pro další období, fluktuace, získávání a výběr zaměstnanců atd. Dále budou subjekty implementace předkládat přehled o absolvovaných vzdělávacích akcích svých zaměstnanců a požadavky na zajištění vzdělávacích akcí na horizontální úrovni. Jednotlivé části a položky monitoringu a povinnosti subjektů implementace jsou popsány v příslušném metodickém pokynu pro monitorování ESI fondů v ČR 2014-2020. </w:t>
      </w:r>
    </w:p>
    <w:p w:rsidR="00395365" w:rsidRPr="00395365" w:rsidRDefault="00395365" w:rsidP="00395365">
      <w:pPr>
        <w:spacing w:after="120" w:line="240" w:lineRule="auto"/>
        <w:jc w:val="both"/>
        <w:rPr>
          <w:rFonts w:ascii="Times New Roman" w:hAnsi="Times New Roman" w:cs="Times New Roman"/>
          <w:sz w:val="24"/>
          <w:szCs w:val="24"/>
        </w:rPr>
      </w:pPr>
      <w:r w:rsidRPr="00395365">
        <w:rPr>
          <w:rFonts w:ascii="Times New Roman" w:hAnsi="Times New Roman" w:cs="Times New Roman"/>
          <w:sz w:val="24"/>
          <w:szCs w:val="24"/>
        </w:rPr>
        <w:t>V MP lidské zdroje je kladen důraz na personální plánování, optimální a adekvátní nastavení implementační struktury a na ní navázané administrativní kapacity, v potřebné kvalitě i kvantitě, na jednotlivé roky implementace. Subjekty implementace při plánování administrativní kapacity navážou na procesní model, zapracují do své interní/řídicí dokumentace plán administrativních kapacit, včetně rozdělení a propočtu typových pozic, které pokryjí všechny potřebné oblasti činností. Toto nastavení pak pravidelně aktualizují.</w:t>
      </w:r>
    </w:p>
    <w:p w:rsidR="00395365" w:rsidRPr="00395365" w:rsidRDefault="00395365" w:rsidP="00395365">
      <w:pPr>
        <w:spacing w:after="120" w:line="240" w:lineRule="auto"/>
        <w:jc w:val="both"/>
        <w:rPr>
          <w:rFonts w:ascii="Times New Roman" w:hAnsi="Times New Roman" w:cs="Times New Roman"/>
          <w:sz w:val="24"/>
          <w:szCs w:val="24"/>
        </w:rPr>
      </w:pPr>
      <w:r w:rsidRPr="00395365">
        <w:rPr>
          <w:rFonts w:ascii="Times New Roman" w:hAnsi="Times New Roman" w:cs="Times New Roman"/>
          <w:sz w:val="24"/>
          <w:szCs w:val="24"/>
        </w:rPr>
        <w:t>Zohlední při tom především cíle a očekávané výsledky programu, nastavení procesů a organizační strukturu daného subjektu, odlišnosti vyplývající z povahy financování programu, alokaci programu a předpokládaný počet a charakter projektů. Doporučeno je zpracování kompetenčního modelu, případně kvalifikačních profilů pracovních míst a plánů nástupnictví pro klíčové pozice v systému implementace, a to na základě provedení analýzy administrativní kapacity. Důraz je následně kladen na limitované využívání outsourcingu, delegování klíčových činností na externí dodavatele, a jeho omezení na určité druhy činností a přednostní zajištění cílů implementace interní administrativní kapacitou subjektů implementace.</w:t>
      </w:r>
    </w:p>
    <w:p w:rsidR="00395365" w:rsidRPr="00395365" w:rsidRDefault="00395365" w:rsidP="00DF52B6">
      <w:pPr>
        <w:spacing w:after="120" w:line="240" w:lineRule="auto"/>
        <w:jc w:val="both"/>
        <w:rPr>
          <w:rFonts w:ascii="Times New Roman" w:hAnsi="Times New Roman" w:cs="Times New Roman"/>
          <w:sz w:val="24"/>
          <w:szCs w:val="24"/>
        </w:rPr>
      </w:pPr>
      <w:r w:rsidRPr="00395365">
        <w:rPr>
          <w:rFonts w:ascii="Times New Roman" w:hAnsi="Times New Roman" w:cs="Times New Roman"/>
          <w:sz w:val="24"/>
          <w:szCs w:val="24"/>
        </w:rPr>
        <w:t xml:space="preserve">Dále je v MP lidské zdroje řešena komplexně oblast získávání a výběru zaměstnanců, důraz je kladen na transparentnost a nediskriminaci při stanovení jednotných minimálních požadavků </w:t>
      </w:r>
      <w:r w:rsidRPr="00395365">
        <w:rPr>
          <w:rFonts w:ascii="Times New Roman" w:hAnsi="Times New Roman" w:cs="Times New Roman"/>
          <w:sz w:val="24"/>
          <w:szCs w:val="24"/>
        </w:rPr>
        <w:lastRenderedPageBreak/>
        <w:t>a standardů celého procesu. Dále je popsán proces adaptace nových zaměstnanců, včetně povinných požadavků na zpracování etického kodexu (vzor tohoto kodexu je součástí materiálu) a to v návaznosti na Strategii vlády v boji s</w:t>
      </w:r>
      <w:r w:rsidR="002005FE">
        <w:rPr>
          <w:rFonts w:ascii="Times New Roman" w:hAnsi="Times New Roman" w:cs="Times New Roman"/>
          <w:sz w:val="24"/>
          <w:szCs w:val="24"/>
        </w:rPr>
        <w:t> </w:t>
      </w:r>
      <w:r w:rsidRPr="00395365">
        <w:rPr>
          <w:rFonts w:ascii="Times New Roman" w:hAnsi="Times New Roman" w:cs="Times New Roman"/>
          <w:sz w:val="24"/>
          <w:szCs w:val="24"/>
        </w:rPr>
        <w:t>korupcí</w:t>
      </w:r>
      <w:r w:rsidR="002005FE">
        <w:rPr>
          <w:rFonts w:ascii="Times New Roman" w:hAnsi="Times New Roman" w:cs="Times New Roman"/>
          <w:sz w:val="24"/>
          <w:szCs w:val="24"/>
        </w:rPr>
        <w:t xml:space="preserve"> a také </w:t>
      </w:r>
      <w:r w:rsidR="00DF52B6" w:rsidRPr="00DF52B6">
        <w:rPr>
          <w:rFonts w:ascii="Times New Roman" w:hAnsi="Times New Roman" w:cs="Times New Roman"/>
          <w:sz w:val="24"/>
          <w:szCs w:val="24"/>
        </w:rPr>
        <w:t>Strategi</w:t>
      </w:r>
      <w:r w:rsidR="00FD39EC">
        <w:rPr>
          <w:rFonts w:ascii="Times New Roman" w:hAnsi="Times New Roman" w:cs="Times New Roman"/>
          <w:sz w:val="24"/>
          <w:szCs w:val="24"/>
        </w:rPr>
        <w:t>i</w:t>
      </w:r>
      <w:r w:rsidR="00DF52B6" w:rsidRPr="00DF52B6">
        <w:rPr>
          <w:rFonts w:ascii="Times New Roman" w:hAnsi="Times New Roman" w:cs="Times New Roman"/>
          <w:sz w:val="24"/>
          <w:szCs w:val="24"/>
        </w:rPr>
        <w:t xml:space="preserve"> pro boj s podvody a</w:t>
      </w:r>
      <w:r w:rsidR="00DF52B6">
        <w:rPr>
          <w:rFonts w:ascii="Times New Roman" w:hAnsi="Times New Roman" w:cs="Times New Roman"/>
          <w:sz w:val="24"/>
          <w:szCs w:val="24"/>
        </w:rPr>
        <w:t xml:space="preserve"> </w:t>
      </w:r>
      <w:r w:rsidR="00DF52B6" w:rsidRPr="00DF52B6">
        <w:rPr>
          <w:rFonts w:ascii="Times New Roman" w:hAnsi="Times New Roman" w:cs="Times New Roman"/>
          <w:sz w:val="24"/>
          <w:szCs w:val="24"/>
        </w:rPr>
        <w:t xml:space="preserve">korupcí v rámci čerpání </w:t>
      </w:r>
      <w:r w:rsidR="008A51B6">
        <w:rPr>
          <w:rFonts w:ascii="Times New Roman" w:hAnsi="Times New Roman" w:cs="Times New Roman"/>
          <w:sz w:val="24"/>
          <w:szCs w:val="24"/>
        </w:rPr>
        <w:t xml:space="preserve">ESI </w:t>
      </w:r>
      <w:r w:rsidR="00DF52B6" w:rsidRPr="00DF52B6">
        <w:rPr>
          <w:rFonts w:ascii="Times New Roman" w:hAnsi="Times New Roman" w:cs="Times New Roman"/>
          <w:sz w:val="24"/>
          <w:szCs w:val="24"/>
        </w:rPr>
        <w:t>fondů</w:t>
      </w:r>
      <w:r w:rsidR="00DF52B6">
        <w:rPr>
          <w:rFonts w:ascii="Times New Roman" w:hAnsi="Times New Roman" w:cs="Times New Roman"/>
          <w:sz w:val="24"/>
          <w:szCs w:val="24"/>
        </w:rPr>
        <w:t xml:space="preserve"> </w:t>
      </w:r>
      <w:r w:rsidR="008A51B6">
        <w:rPr>
          <w:rFonts w:ascii="Times New Roman" w:hAnsi="Times New Roman" w:cs="Times New Roman"/>
          <w:sz w:val="24"/>
          <w:szCs w:val="24"/>
        </w:rPr>
        <w:t>v</w:t>
      </w:r>
      <w:r w:rsidR="00DF52B6" w:rsidRPr="00DF52B6">
        <w:rPr>
          <w:rFonts w:ascii="Times New Roman" w:hAnsi="Times New Roman" w:cs="Times New Roman"/>
          <w:sz w:val="24"/>
          <w:szCs w:val="24"/>
        </w:rPr>
        <w:t xml:space="preserve"> období 2014 - 2020</w:t>
      </w:r>
      <w:r w:rsidRPr="00395365">
        <w:rPr>
          <w:rFonts w:ascii="Times New Roman" w:hAnsi="Times New Roman" w:cs="Times New Roman"/>
          <w:sz w:val="24"/>
          <w:szCs w:val="24"/>
        </w:rPr>
        <w:t>. Na proces adaptace navazuje systém řízení pracovního výkonu a hodnocení zaměstnanců, včetně tvorby individuálních vzdělávacích plánů. Z hlediska vzdělávání zaměstnanců pak bude na horizontální úrovni zajišťováno zejména odborné vzdělávání a dále vzdělávání v oblastech jako je nediskriminace, rovné příležitosti atd. Specifické vzdělávání, vč. jazykových a měkkých dovedností je ponecháno v kompetenci subjektů implementace.</w:t>
      </w:r>
    </w:p>
    <w:p w:rsidR="00395365" w:rsidRPr="00395365" w:rsidRDefault="00395365" w:rsidP="00395365">
      <w:pPr>
        <w:spacing w:after="120" w:line="240" w:lineRule="auto"/>
        <w:jc w:val="both"/>
        <w:rPr>
          <w:rFonts w:ascii="Times New Roman" w:hAnsi="Times New Roman" w:cs="Times New Roman"/>
          <w:sz w:val="24"/>
          <w:szCs w:val="24"/>
        </w:rPr>
      </w:pPr>
      <w:r w:rsidRPr="00395365">
        <w:rPr>
          <w:rFonts w:ascii="Times New Roman" w:hAnsi="Times New Roman" w:cs="Times New Roman"/>
          <w:sz w:val="24"/>
          <w:szCs w:val="24"/>
        </w:rPr>
        <w:t>Zvláštní pozornost je věnována také systému odměňování, vč. stanovení jednotného rámce pro finanční motivaci zaměstnanců. Právě zavedení tohoto systému mělo dříve pozitivní vliv mj. na míru fluktuace, resp. její snížení. Cílem je pokračovat v tomto trendu a při stanovení jednotného systému a limitů odměňování podpořit stabilizaci administrativní kapacity v rámci jednotlivých subjektů implementace a zároveň při odměňování zohlednit pravidelně prováděné hodnocení pracovního výkonu zaměstnance ze strany nadřízeného.</w:t>
      </w:r>
    </w:p>
    <w:p w:rsidR="00395365" w:rsidRPr="00395365" w:rsidRDefault="00395365" w:rsidP="00395365">
      <w:pPr>
        <w:spacing w:after="120" w:line="240" w:lineRule="auto"/>
        <w:jc w:val="both"/>
        <w:rPr>
          <w:rFonts w:ascii="Times New Roman" w:hAnsi="Times New Roman" w:cs="Times New Roman"/>
          <w:sz w:val="24"/>
          <w:szCs w:val="24"/>
        </w:rPr>
      </w:pPr>
      <w:r w:rsidRPr="00395365">
        <w:rPr>
          <w:rFonts w:ascii="Times New Roman" w:hAnsi="Times New Roman" w:cs="Times New Roman"/>
          <w:sz w:val="24"/>
          <w:szCs w:val="24"/>
        </w:rPr>
        <w:t>Zhodnocení nastavení systému administrativní kapacity proběhne formou dvou evaluací, jedné v polovině programového období 2014-2020, jedné na jeho závěru, přičemž v návaznosti na tyto výsledky a dále v návaznosti na aktuální potřeby v průběhu programového období budou pravidla MP lidské zdroje upravena a aktualizována.</w:t>
      </w:r>
    </w:p>
    <w:p w:rsidR="00507842" w:rsidRPr="000B521F" w:rsidRDefault="00507842" w:rsidP="0059011D">
      <w:pPr>
        <w:pStyle w:val="Nadpis2"/>
      </w:pPr>
      <w:bookmarkStart w:id="99" w:name="_Toc350333642"/>
      <w:bookmarkStart w:id="100" w:name="_Toc374702902"/>
      <w:r w:rsidRPr="000B521F">
        <w:t>Souhrn akcí plánovaných v rámci programů, včetně indikativního harmonogramu k dosažení snížení administrativní zátěže příjemců</w:t>
      </w:r>
      <w:bookmarkEnd w:id="99"/>
      <w:bookmarkEnd w:id="100"/>
    </w:p>
    <w:p w:rsidR="00363FB2" w:rsidRPr="000B521F" w:rsidRDefault="00363FB2" w:rsidP="0059011D">
      <w:pPr>
        <w:pStyle w:val="Odstavecseseznamem"/>
        <w:spacing w:after="0" w:line="240" w:lineRule="auto"/>
        <w:ind w:left="0"/>
        <w:contextualSpacing w:val="0"/>
        <w:jc w:val="both"/>
        <w:rPr>
          <w:rFonts w:ascii="Times New Roman" w:hAnsi="Times New Roman" w:cs="Times New Roman"/>
          <w:sz w:val="24"/>
          <w:szCs w:val="24"/>
        </w:rPr>
      </w:pPr>
      <w:r w:rsidRPr="000B521F">
        <w:rPr>
          <w:rFonts w:ascii="Times New Roman" w:hAnsi="Times New Roman" w:cs="Times New Roman"/>
          <w:sz w:val="24"/>
          <w:szCs w:val="24"/>
        </w:rPr>
        <w:t>Snížení administrativní zátěže příjemců podpory z  fondů SSR je jednou z priorit Ministerstva pro místní rozvoj, která vychází přímo z programového prohlášení</w:t>
      </w:r>
      <w:r w:rsidR="00652AE2" w:rsidRPr="000B521F">
        <w:rPr>
          <w:rFonts w:ascii="Times New Roman" w:hAnsi="Times New Roman" w:cs="Times New Roman"/>
          <w:sz w:val="24"/>
          <w:szCs w:val="24"/>
        </w:rPr>
        <w:t xml:space="preserve"> </w:t>
      </w:r>
      <w:r w:rsidRPr="000B521F">
        <w:rPr>
          <w:rFonts w:ascii="Times New Roman" w:hAnsi="Times New Roman" w:cs="Times New Roman"/>
          <w:sz w:val="24"/>
          <w:szCs w:val="24"/>
        </w:rPr>
        <w:t>vlády (důraz na zjednodušení administrativy při rozdělování finančních prostředků z fondů EU a zjednodušování požadavků, které stávající systém na žadatele a příjemce klade).</w:t>
      </w:r>
    </w:p>
    <w:p w:rsidR="00363FB2" w:rsidRPr="000B521F" w:rsidRDefault="00363FB2" w:rsidP="0059011D">
      <w:pPr>
        <w:pStyle w:val="Odstavecseseznamem"/>
        <w:spacing w:after="0" w:line="240" w:lineRule="auto"/>
        <w:ind w:left="0"/>
        <w:contextualSpacing w:val="0"/>
        <w:jc w:val="both"/>
        <w:rPr>
          <w:rFonts w:ascii="Times New Roman" w:hAnsi="Times New Roman" w:cs="Times New Roman"/>
          <w:sz w:val="24"/>
          <w:szCs w:val="24"/>
        </w:rPr>
      </w:pPr>
      <w:r w:rsidRPr="000B521F">
        <w:rPr>
          <w:rFonts w:ascii="Times New Roman" w:hAnsi="Times New Roman" w:cs="Times New Roman"/>
          <w:sz w:val="24"/>
          <w:szCs w:val="24"/>
        </w:rPr>
        <w:t>Při snižování administrativní zátěže byly zohledněny zkušenosti v rámci</w:t>
      </w:r>
      <w:r w:rsidR="00183301">
        <w:rPr>
          <w:rFonts w:ascii="Times New Roman" w:hAnsi="Times New Roman" w:cs="Times New Roman"/>
          <w:sz w:val="24"/>
          <w:szCs w:val="24"/>
        </w:rPr>
        <w:t xml:space="preserve"> dvou programových období (2004</w:t>
      </w:r>
      <w:r w:rsidR="00183301">
        <w:rPr>
          <w:rFonts w:ascii="Times New Roman" w:hAnsi="Times New Roman" w:cs="Times New Roman"/>
          <w:color w:val="000000"/>
          <w:sz w:val="24"/>
          <w:szCs w:val="24"/>
        </w:rPr>
        <w:t>–</w:t>
      </w:r>
      <w:r w:rsidRPr="000B521F">
        <w:rPr>
          <w:rFonts w:ascii="Times New Roman" w:hAnsi="Times New Roman" w:cs="Times New Roman"/>
          <w:sz w:val="24"/>
          <w:szCs w:val="24"/>
        </w:rPr>
        <w:t>2006 a 2007</w:t>
      </w:r>
      <w:r w:rsidR="00183301">
        <w:rPr>
          <w:rFonts w:ascii="Times New Roman" w:hAnsi="Times New Roman" w:cs="Times New Roman"/>
          <w:color w:val="000000"/>
          <w:sz w:val="24"/>
          <w:szCs w:val="24"/>
        </w:rPr>
        <w:t>–</w:t>
      </w:r>
      <w:r w:rsidRPr="000B521F">
        <w:rPr>
          <w:rFonts w:ascii="Times New Roman" w:hAnsi="Times New Roman" w:cs="Times New Roman"/>
          <w:sz w:val="24"/>
          <w:szCs w:val="24"/>
        </w:rPr>
        <w:t>2013). Důležitá zjištění a podněty ke snižování administrativní zátěže byly identifikovány v rámci Střednědobé evaluace NSRR programového období 2007</w:t>
      </w:r>
      <w:r w:rsidR="00183301">
        <w:rPr>
          <w:rFonts w:ascii="Times New Roman" w:hAnsi="Times New Roman" w:cs="Times New Roman"/>
          <w:color w:val="000000"/>
          <w:sz w:val="24"/>
          <w:szCs w:val="24"/>
        </w:rPr>
        <w:t>–</w:t>
      </w:r>
      <w:r w:rsidRPr="000B521F">
        <w:rPr>
          <w:rFonts w:ascii="Times New Roman" w:hAnsi="Times New Roman" w:cs="Times New Roman"/>
          <w:sz w:val="24"/>
          <w:szCs w:val="24"/>
        </w:rPr>
        <w:t>2013; dále specifických evaluací jednotlivých programů, dotazníkového šetření provedeného na úrovni řídicích orgánů, zprostředkujících subjektů a příjemců v roce 2011 a během partnerských diskuzí a veřejného projednávání návrhu na zajištění efektivního systému implementace programového období 2014</w:t>
      </w:r>
      <w:r w:rsidR="00183301">
        <w:rPr>
          <w:rFonts w:ascii="Times New Roman" w:hAnsi="Times New Roman" w:cs="Times New Roman"/>
          <w:color w:val="000000"/>
          <w:sz w:val="24"/>
          <w:szCs w:val="24"/>
        </w:rPr>
        <w:t>–</w:t>
      </w:r>
      <w:r w:rsidRPr="000B521F">
        <w:rPr>
          <w:rFonts w:ascii="Times New Roman" w:hAnsi="Times New Roman" w:cs="Times New Roman"/>
          <w:sz w:val="24"/>
          <w:szCs w:val="24"/>
        </w:rPr>
        <w:t xml:space="preserve">2020. </w:t>
      </w:r>
    </w:p>
    <w:p w:rsidR="00363FB2" w:rsidRPr="000B521F" w:rsidRDefault="00363FB2" w:rsidP="0059011D">
      <w:pPr>
        <w:pStyle w:val="Odstavecseseznamem"/>
        <w:spacing w:after="0" w:line="240" w:lineRule="auto"/>
        <w:ind w:left="0"/>
        <w:contextualSpacing w:val="0"/>
        <w:jc w:val="both"/>
        <w:rPr>
          <w:rFonts w:ascii="Times New Roman" w:hAnsi="Times New Roman" w:cs="Times New Roman"/>
          <w:sz w:val="24"/>
          <w:szCs w:val="24"/>
        </w:rPr>
      </w:pPr>
      <w:r w:rsidRPr="000B521F">
        <w:rPr>
          <w:rFonts w:ascii="Times New Roman" w:hAnsi="Times New Roman" w:cs="Times New Roman"/>
          <w:sz w:val="24"/>
          <w:szCs w:val="24"/>
        </w:rPr>
        <w:t>Snížení administrativní zátěže příjemců podpory z fondů SSR představuje jeden z cílů nastavovaného systému implementace Dohody o partnerství. K dosažení tohoto cíle nevede jedna přímočará cesta, ale celý soubor opatření, které jsou součástí všech procesů, které se přípravy implementačního systému dotýkají. V nejobecnější rovině lze proces přípravy implementačního systému rozdělit na několik základních oblastí:</w:t>
      </w:r>
    </w:p>
    <w:p w:rsidR="008206A4" w:rsidRPr="000B521F" w:rsidRDefault="00363FB2" w:rsidP="0059011D">
      <w:pPr>
        <w:pStyle w:val="Odstavecseseznamem"/>
        <w:numPr>
          <w:ilvl w:val="0"/>
          <w:numId w:val="78"/>
        </w:numPr>
        <w:spacing w:after="0" w:line="240" w:lineRule="auto"/>
        <w:ind w:left="709" w:hanging="283"/>
        <w:contextualSpacing w:val="0"/>
        <w:jc w:val="both"/>
        <w:rPr>
          <w:rFonts w:ascii="Times New Roman" w:hAnsi="Times New Roman" w:cs="Times New Roman"/>
          <w:sz w:val="24"/>
          <w:szCs w:val="24"/>
        </w:rPr>
      </w:pPr>
      <w:r w:rsidRPr="000B521F">
        <w:rPr>
          <w:rFonts w:ascii="Times New Roman" w:hAnsi="Times New Roman" w:cs="Times New Roman"/>
          <w:sz w:val="24"/>
          <w:szCs w:val="24"/>
        </w:rPr>
        <w:t>Odstraňování právních bariér a překážek implementace</w:t>
      </w:r>
      <w:r w:rsidR="00192939" w:rsidRPr="000B521F">
        <w:rPr>
          <w:rFonts w:ascii="Times New Roman" w:hAnsi="Times New Roman" w:cs="Times New Roman"/>
          <w:sz w:val="24"/>
          <w:szCs w:val="24"/>
        </w:rPr>
        <w:t>.</w:t>
      </w:r>
    </w:p>
    <w:p w:rsidR="008206A4" w:rsidRPr="000B521F" w:rsidRDefault="00363FB2" w:rsidP="0059011D">
      <w:pPr>
        <w:pStyle w:val="Odstavecseseznamem"/>
        <w:numPr>
          <w:ilvl w:val="0"/>
          <w:numId w:val="78"/>
        </w:numPr>
        <w:spacing w:after="0" w:line="240" w:lineRule="auto"/>
        <w:ind w:left="709" w:hanging="283"/>
        <w:contextualSpacing w:val="0"/>
        <w:jc w:val="both"/>
        <w:rPr>
          <w:rFonts w:ascii="Times New Roman" w:hAnsi="Times New Roman" w:cs="Times New Roman"/>
          <w:sz w:val="24"/>
          <w:szCs w:val="24"/>
        </w:rPr>
      </w:pPr>
      <w:r w:rsidRPr="000B521F">
        <w:rPr>
          <w:rFonts w:ascii="Times New Roman" w:hAnsi="Times New Roman" w:cs="Times New Roman"/>
          <w:sz w:val="24"/>
          <w:szCs w:val="24"/>
        </w:rPr>
        <w:t>Vymezení programů, jejich věcné zaměření (centralizace a tematická koncentrace) a nastavení architektury systému řízení</w:t>
      </w:r>
      <w:r w:rsidR="00192939" w:rsidRPr="000B521F">
        <w:rPr>
          <w:rFonts w:ascii="Times New Roman" w:hAnsi="Times New Roman" w:cs="Times New Roman"/>
          <w:sz w:val="24"/>
          <w:szCs w:val="24"/>
        </w:rPr>
        <w:t>.</w:t>
      </w:r>
    </w:p>
    <w:p w:rsidR="008206A4" w:rsidRPr="000B521F" w:rsidRDefault="00363FB2" w:rsidP="0059011D">
      <w:pPr>
        <w:pStyle w:val="Odstavecseseznamem"/>
        <w:numPr>
          <w:ilvl w:val="0"/>
          <w:numId w:val="78"/>
        </w:numPr>
        <w:spacing w:after="0" w:line="240" w:lineRule="auto"/>
        <w:ind w:left="709" w:hanging="283"/>
        <w:contextualSpacing w:val="0"/>
        <w:jc w:val="both"/>
        <w:rPr>
          <w:rFonts w:ascii="Times New Roman" w:hAnsi="Times New Roman" w:cs="Times New Roman"/>
          <w:sz w:val="24"/>
          <w:szCs w:val="24"/>
        </w:rPr>
      </w:pPr>
      <w:r w:rsidRPr="000B521F">
        <w:rPr>
          <w:rFonts w:ascii="Times New Roman" w:hAnsi="Times New Roman" w:cs="Times New Roman"/>
          <w:sz w:val="24"/>
          <w:szCs w:val="24"/>
        </w:rPr>
        <w:t>Sjednocování a harmonizace pravidel (jednotné metodické prostředí) vč. elektronizace administrace projektů</w:t>
      </w:r>
      <w:r w:rsidR="00192939" w:rsidRPr="000B521F">
        <w:rPr>
          <w:rFonts w:ascii="Times New Roman" w:hAnsi="Times New Roman" w:cs="Times New Roman"/>
          <w:sz w:val="24"/>
          <w:szCs w:val="24"/>
        </w:rPr>
        <w:t>.</w:t>
      </w:r>
    </w:p>
    <w:p w:rsidR="008206A4" w:rsidRPr="000B521F" w:rsidRDefault="00363FB2" w:rsidP="0059011D">
      <w:pPr>
        <w:pStyle w:val="Odstavecseseznamem"/>
        <w:numPr>
          <w:ilvl w:val="0"/>
          <w:numId w:val="78"/>
        </w:numPr>
        <w:spacing w:after="0" w:line="240" w:lineRule="auto"/>
        <w:ind w:left="709" w:hanging="283"/>
        <w:contextualSpacing w:val="0"/>
        <w:jc w:val="both"/>
        <w:rPr>
          <w:rFonts w:ascii="Times New Roman" w:hAnsi="Times New Roman" w:cs="Times New Roman"/>
          <w:sz w:val="24"/>
          <w:szCs w:val="24"/>
        </w:rPr>
      </w:pPr>
      <w:r w:rsidRPr="000B521F">
        <w:rPr>
          <w:rFonts w:ascii="Times New Roman" w:hAnsi="Times New Roman" w:cs="Times New Roman"/>
          <w:sz w:val="24"/>
          <w:szCs w:val="24"/>
        </w:rPr>
        <w:t>Zajištění odpovídající administrativní kapacity (viz kap. 2.5)</w:t>
      </w:r>
      <w:r w:rsidR="00192939" w:rsidRPr="000B521F">
        <w:rPr>
          <w:rFonts w:ascii="Times New Roman" w:hAnsi="Times New Roman" w:cs="Times New Roman"/>
          <w:sz w:val="24"/>
          <w:szCs w:val="24"/>
        </w:rPr>
        <w:t>.</w:t>
      </w:r>
    </w:p>
    <w:p w:rsidR="00363FB2" w:rsidRPr="000B521F" w:rsidRDefault="00363FB2" w:rsidP="0059011D">
      <w:pPr>
        <w:spacing w:after="120" w:line="240" w:lineRule="auto"/>
        <w:jc w:val="both"/>
        <w:rPr>
          <w:rFonts w:ascii="Times New Roman" w:hAnsi="Times New Roman" w:cs="Times New Roman"/>
          <w:sz w:val="24"/>
          <w:szCs w:val="24"/>
        </w:rPr>
      </w:pPr>
    </w:p>
    <w:p w:rsidR="00363FB2" w:rsidRPr="000B521F" w:rsidRDefault="00363FB2"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Ve vztahu k odstraňování právních bariér implementace bylo již od roku 2010 ze strany MMR jako Národního orgánu pro koordinaci předloženo vládě ČR ke schválení5 balíčků s návrhy legislativních a nelegislativních úprav vedoucích ke zjednodušení systému </w:t>
      </w:r>
      <w:r w:rsidRPr="000B521F">
        <w:rPr>
          <w:rFonts w:ascii="Times New Roman" w:hAnsi="Times New Roman" w:cs="Times New Roman"/>
          <w:sz w:val="24"/>
          <w:szCs w:val="24"/>
        </w:rPr>
        <w:lastRenderedPageBreak/>
        <w:t>administrace strukturálních fondů a Fondu soudržnosti</w:t>
      </w:r>
      <w:r w:rsidR="0016585F">
        <w:rPr>
          <w:rFonts w:ascii="Times New Roman" w:hAnsi="Times New Roman" w:cs="Times New Roman"/>
          <w:sz w:val="24"/>
          <w:szCs w:val="24"/>
        </w:rPr>
        <w:t xml:space="preserve"> </w:t>
      </w:r>
      <w:r w:rsidR="0016585F" w:rsidRPr="003F7D57">
        <w:rPr>
          <w:rFonts w:ascii="Times New Roman" w:hAnsi="Times New Roman" w:cs="Times New Roman"/>
          <w:sz w:val="24"/>
          <w:szCs w:val="24"/>
        </w:rPr>
        <w:t>a další je momentálně připravován</w:t>
      </w:r>
      <w:r w:rsidRPr="000B521F">
        <w:rPr>
          <w:rFonts w:ascii="Times New Roman" w:hAnsi="Times New Roman" w:cs="Times New Roman"/>
          <w:sz w:val="24"/>
          <w:szCs w:val="24"/>
        </w:rPr>
        <w:t>. Ve vztahu k přípravě nového programového období 2014</w:t>
      </w:r>
      <w:r w:rsidR="00183301">
        <w:rPr>
          <w:rFonts w:ascii="Times New Roman" w:hAnsi="Times New Roman" w:cs="Times New Roman"/>
          <w:color w:val="000000"/>
          <w:sz w:val="24"/>
          <w:szCs w:val="24"/>
        </w:rPr>
        <w:t>–</w:t>
      </w:r>
      <w:r w:rsidRPr="000B521F">
        <w:rPr>
          <w:rFonts w:ascii="Times New Roman" w:hAnsi="Times New Roman" w:cs="Times New Roman"/>
          <w:sz w:val="24"/>
          <w:szCs w:val="24"/>
        </w:rPr>
        <w:t>2020 vláda ČR usnesením ze dne 22. srpna 2012 č. 610 schválila opatření ke snížení legislativních bariér pro implementaci strukturálních fondů a Fondu soudržnosti v programovém období 2014</w:t>
      </w:r>
      <w:r w:rsidR="00183301">
        <w:rPr>
          <w:rFonts w:ascii="Times New Roman" w:hAnsi="Times New Roman" w:cs="Times New Roman"/>
          <w:color w:val="000000"/>
          <w:sz w:val="24"/>
          <w:szCs w:val="24"/>
        </w:rPr>
        <w:t>–</w:t>
      </w:r>
      <w:r w:rsidRPr="000B521F">
        <w:rPr>
          <w:rFonts w:ascii="Times New Roman" w:hAnsi="Times New Roman" w:cs="Times New Roman"/>
          <w:sz w:val="24"/>
          <w:szCs w:val="24"/>
        </w:rPr>
        <w:t xml:space="preserve">2020. Aktivity v této oblasti také navazují na nálezy českých a evropských auditních orgánů a souvisí pěti problematickými oblastmi ve fungování řídících a kontrolních systémů, na které ČR upozornila Evropská komise. Vzešlá doporučení směřují zejména do oblasti zjednodušení administrativních procedur, finančního řízení, kontroly. Tato doporučení jsou postupně promítána do připravovaných novel příslušných právních předpisů či metodických dokumentů. </w:t>
      </w:r>
    </w:p>
    <w:p w:rsidR="00363FB2" w:rsidRPr="000B521F" w:rsidRDefault="00363FB2"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Snížení počtu programů na základě rozhodnutí vlády č. 867 z 28. listopadu 2012, a s tím spojeným snížením počtu ŘO a také zprostředkujících subjektů vč. jasně vymezených vazeb mezi těmito subjekty, povede ke zvýšení přehlednosti celého systému poskytování dotací v ČR a odstranění některých duplicit ve výkonu a administrativní činnosti.</w:t>
      </w:r>
    </w:p>
    <w:p w:rsidR="00363FB2" w:rsidRDefault="00363FB2" w:rsidP="00260BC6">
      <w:pPr>
        <w:pStyle w:val="Odstavecseseznamem"/>
        <w:spacing w:after="0" w:line="240" w:lineRule="auto"/>
        <w:ind w:left="0"/>
        <w:contextualSpacing w:val="0"/>
        <w:jc w:val="both"/>
        <w:rPr>
          <w:rFonts w:ascii="Times New Roman" w:hAnsi="Times New Roman" w:cs="Times New Roman"/>
          <w:sz w:val="24"/>
          <w:szCs w:val="24"/>
        </w:rPr>
      </w:pPr>
      <w:r w:rsidRPr="000B521F">
        <w:rPr>
          <w:rFonts w:ascii="Times New Roman" w:hAnsi="Times New Roman" w:cs="Times New Roman"/>
          <w:sz w:val="24"/>
          <w:szCs w:val="24"/>
        </w:rPr>
        <w:t>S nastavením implementační struktury také do značné míry souvisí, jak budou nastavena pravidla a postupy pro využití fondů ESI. Na základě výsledků provedených evaluací a doporu</w:t>
      </w:r>
      <w:r w:rsidR="00183301">
        <w:rPr>
          <w:rFonts w:ascii="Times New Roman" w:hAnsi="Times New Roman" w:cs="Times New Roman"/>
          <w:sz w:val="24"/>
          <w:szCs w:val="24"/>
        </w:rPr>
        <w:t>čení z programového období 2007</w:t>
      </w:r>
      <w:r w:rsidR="00183301">
        <w:rPr>
          <w:rFonts w:ascii="Times New Roman" w:hAnsi="Times New Roman" w:cs="Times New Roman"/>
          <w:color w:val="000000"/>
          <w:sz w:val="24"/>
          <w:szCs w:val="24"/>
        </w:rPr>
        <w:t>–</w:t>
      </w:r>
      <w:r w:rsidRPr="000B521F">
        <w:rPr>
          <w:rFonts w:ascii="Times New Roman" w:hAnsi="Times New Roman" w:cs="Times New Roman"/>
          <w:sz w:val="24"/>
          <w:szCs w:val="24"/>
        </w:rPr>
        <w:t xml:space="preserve">2013 je na centrální úrovni zpracována Koncepci jednotného metodického prostředí (schválena usnesením vlády č. 345 ze dne 15. května 2013) a zní vycházející, sada metodických dokumentů, které jsou všechny subjekty podílející se na naplňování cílů Dohody o partnerství, tj. mimo jiné také pro řídící orgány závazné. Tyto metodické dokumenty také zohledňují specifika jednotlivých fondů. </w:t>
      </w:r>
    </w:p>
    <w:p w:rsidR="0016585F" w:rsidRDefault="0016585F" w:rsidP="00260BC6">
      <w:pPr>
        <w:spacing w:line="240" w:lineRule="auto"/>
        <w:jc w:val="both"/>
        <w:rPr>
          <w:rFonts w:ascii="Times New Roman" w:hAnsi="Times New Roman" w:cs="Times New Roman"/>
          <w:sz w:val="24"/>
          <w:szCs w:val="24"/>
        </w:rPr>
      </w:pPr>
      <w:r>
        <w:rPr>
          <w:rFonts w:ascii="Times New Roman" w:hAnsi="Times New Roman" w:cs="Times New Roman"/>
          <w:sz w:val="24"/>
          <w:szCs w:val="24"/>
        </w:rPr>
        <w:t>V této koncepci jsou uvedeny také hodnotitelné ukazatele, podle kterých se bude posuzováno naplnění jednotlivých cílů celé koncepce. Mezi tyto ukazatele patří například snížení míry chybovosti v kontrolních zprávách, naplňování indikátorů ve výzvách, maximální možná míra elektronizace, z</w:t>
      </w:r>
      <w:r w:rsidRPr="00240888">
        <w:rPr>
          <w:rFonts w:ascii="Times New Roman" w:hAnsi="Times New Roman" w:cs="Times New Roman"/>
          <w:sz w:val="24"/>
          <w:szCs w:val="24"/>
        </w:rPr>
        <w:t>avedené strategie rozvoje lidských zdrojů</w:t>
      </w:r>
      <w:r>
        <w:rPr>
          <w:rFonts w:ascii="Times New Roman" w:hAnsi="Times New Roman" w:cs="Times New Roman"/>
          <w:sz w:val="24"/>
          <w:szCs w:val="24"/>
        </w:rPr>
        <w:t xml:space="preserve">, </w:t>
      </w:r>
      <w:r w:rsidRPr="00240888">
        <w:rPr>
          <w:rFonts w:ascii="Times New Roman" w:hAnsi="Times New Roman" w:cs="Times New Roman"/>
          <w:sz w:val="24"/>
          <w:szCs w:val="24"/>
        </w:rPr>
        <w:t>procesní plán a systém průběžného hodnocení</w:t>
      </w:r>
      <w:r>
        <w:rPr>
          <w:rFonts w:ascii="Times New Roman" w:hAnsi="Times New Roman" w:cs="Times New Roman"/>
          <w:sz w:val="24"/>
          <w:szCs w:val="24"/>
        </w:rPr>
        <w:t>, s</w:t>
      </w:r>
      <w:r w:rsidRPr="00240888">
        <w:rPr>
          <w:rFonts w:ascii="Times New Roman" w:hAnsi="Times New Roman" w:cs="Times New Roman"/>
          <w:sz w:val="24"/>
          <w:szCs w:val="24"/>
        </w:rPr>
        <w:t>nížení počtu úprav metodických dokumentů</w:t>
      </w:r>
      <w:r>
        <w:rPr>
          <w:rFonts w:ascii="Times New Roman" w:hAnsi="Times New Roman" w:cs="Times New Roman"/>
          <w:sz w:val="24"/>
          <w:szCs w:val="24"/>
        </w:rPr>
        <w:t xml:space="preserve"> či stanovená míra, kolik </w:t>
      </w:r>
      <w:r w:rsidRPr="00240888">
        <w:rPr>
          <w:rFonts w:ascii="Times New Roman" w:hAnsi="Times New Roman" w:cs="Times New Roman"/>
          <w:sz w:val="24"/>
          <w:szCs w:val="24"/>
        </w:rPr>
        <w:t>předložených projektových žádostí splní formální požadavky a požadavky přijatelnosti</w:t>
      </w:r>
      <w:r>
        <w:rPr>
          <w:rFonts w:ascii="Times New Roman" w:hAnsi="Times New Roman" w:cs="Times New Roman"/>
          <w:sz w:val="24"/>
          <w:szCs w:val="24"/>
        </w:rPr>
        <w:t>.</w:t>
      </w:r>
    </w:p>
    <w:p w:rsidR="0016585F" w:rsidRPr="00CF6FAE" w:rsidRDefault="0016585F" w:rsidP="00260BC6">
      <w:pPr>
        <w:spacing w:line="240" w:lineRule="auto"/>
        <w:jc w:val="both"/>
        <w:rPr>
          <w:rFonts w:ascii="Times New Roman" w:hAnsi="Times New Roman" w:cs="Times New Roman"/>
          <w:sz w:val="24"/>
          <w:szCs w:val="24"/>
        </w:rPr>
      </w:pPr>
      <w:r w:rsidRPr="00D275C6">
        <w:rPr>
          <w:rFonts w:ascii="Times New Roman" w:hAnsi="Times New Roman" w:cs="Times New Roman"/>
          <w:sz w:val="24"/>
          <w:szCs w:val="24"/>
        </w:rPr>
        <w:t>Na základě výsledků evaluací</w:t>
      </w:r>
      <w:r>
        <w:rPr>
          <w:rFonts w:ascii="Times New Roman" w:hAnsi="Times New Roman" w:cs="Times New Roman"/>
          <w:sz w:val="24"/>
          <w:szCs w:val="24"/>
        </w:rPr>
        <w:t>, zejména s</w:t>
      </w:r>
      <w:r w:rsidRPr="00811768">
        <w:rPr>
          <w:rFonts w:ascii="Times New Roman" w:hAnsi="Times New Roman" w:cs="Times New Roman"/>
          <w:sz w:val="24"/>
          <w:szCs w:val="24"/>
        </w:rPr>
        <w:t xml:space="preserve">třednědobé hodnocení věcné a finanční realizace Národního strategického referenčního rámce - Programové období 2007 – 2013, </w:t>
      </w:r>
      <w:r>
        <w:rPr>
          <w:rFonts w:ascii="Times New Roman" w:hAnsi="Times New Roman" w:cs="Times New Roman"/>
          <w:sz w:val="24"/>
          <w:szCs w:val="24"/>
        </w:rPr>
        <w:t>p</w:t>
      </w:r>
      <w:r w:rsidRPr="00811768">
        <w:rPr>
          <w:rFonts w:ascii="Times New Roman" w:hAnsi="Times New Roman" w:cs="Times New Roman"/>
          <w:sz w:val="24"/>
          <w:szCs w:val="24"/>
        </w:rPr>
        <w:t xml:space="preserve">růběžné hodnocení Programu rozvoje venkova 2007-2013 – Zpráva o střednědobém hodnocení, </w:t>
      </w:r>
      <w:r>
        <w:rPr>
          <w:rFonts w:ascii="Times New Roman" w:hAnsi="Times New Roman" w:cs="Times New Roman"/>
          <w:sz w:val="24"/>
          <w:szCs w:val="24"/>
        </w:rPr>
        <w:t>s</w:t>
      </w:r>
      <w:r w:rsidRPr="00811768">
        <w:rPr>
          <w:rFonts w:ascii="Times New Roman" w:hAnsi="Times New Roman" w:cs="Times New Roman"/>
          <w:sz w:val="24"/>
          <w:szCs w:val="24"/>
        </w:rPr>
        <w:t>třednědobé hodnocení operačního programu Rybářství 2007-</w:t>
      </w:r>
      <w:r>
        <w:rPr>
          <w:rFonts w:ascii="Times New Roman" w:hAnsi="Times New Roman" w:cs="Times New Roman"/>
          <w:sz w:val="24"/>
          <w:szCs w:val="24"/>
        </w:rPr>
        <w:t xml:space="preserve"> </w:t>
      </w:r>
      <w:r w:rsidRPr="00811768">
        <w:rPr>
          <w:rFonts w:ascii="Times New Roman" w:hAnsi="Times New Roman" w:cs="Times New Roman"/>
          <w:sz w:val="24"/>
          <w:szCs w:val="24"/>
        </w:rPr>
        <w:t>2013</w:t>
      </w:r>
      <w:r>
        <w:rPr>
          <w:rFonts w:ascii="Times New Roman" w:hAnsi="Times New Roman" w:cs="Times New Roman"/>
          <w:sz w:val="24"/>
          <w:szCs w:val="24"/>
        </w:rPr>
        <w:t xml:space="preserve">, </w:t>
      </w:r>
      <w:r w:rsidRPr="00240888">
        <w:rPr>
          <w:rFonts w:ascii="Times New Roman" w:hAnsi="Times New Roman" w:cs="Times New Roman"/>
          <w:sz w:val="24"/>
          <w:szCs w:val="24"/>
        </w:rPr>
        <w:t>Evaluace a optimalizace nastavení systému hodnocení projektů operačních programů v programovém období 2007-2013</w:t>
      </w:r>
      <w:r>
        <w:rPr>
          <w:rFonts w:ascii="Times New Roman" w:hAnsi="Times New Roman" w:cs="Times New Roman"/>
          <w:sz w:val="24"/>
          <w:szCs w:val="24"/>
        </w:rPr>
        <w:t xml:space="preserve">, </w:t>
      </w:r>
      <w:r w:rsidRPr="00240888">
        <w:rPr>
          <w:rFonts w:ascii="Times New Roman" w:hAnsi="Times New Roman" w:cs="Times New Roman"/>
          <w:sz w:val="24"/>
          <w:szCs w:val="24"/>
        </w:rPr>
        <w:t>Ex post evaluace Rámce podpory Společenství a jednotných programových dokumentů z programového období 2004-2006 (2012)</w:t>
      </w:r>
      <w:r w:rsidRPr="00D275C6">
        <w:rPr>
          <w:rFonts w:ascii="Times New Roman" w:hAnsi="Times New Roman" w:cs="Times New Roman"/>
          <w:sz w:val="24"/>
          <w:szCs w:val="24"/>
        </w:rPr>
        <w:t>, které byly provedeny v programovém období 2007-2013, bylo identifikováno několik problematických aspektů, které měly negativní vliv na kvalitu systému čerpání podpory z fondů EU, a docházelo díky nim ke zvyšování administrativní zátěže</w:t>
      </w:r>
      <w:r>
        <w:rPr>
          <w:rFonts w:ascii="Times New Roman" w:hAnsi="Times New Roman" w:cs="Times New Roman"/>
          <w:sz w:val="24"/>
          <w:szCs w:val="24"/>
        </w:rPr>
        <w:t xml:space="preserve">. V oblasti </w:t>
      </w:r>
      <w:r w:rsidRPr="00CF6FAE">
        <w:rPr>
          <w:rFonts w:ascii="Times New Roman" w:hAnsi="Times New Roman" w:cs="Times New Roman"/>
          <w:sz w:val="24"/>
          <w:szCs w:val="24"/>
        </w:rPr>
        <w:t>strukturá</w:t>
      </w:r>
      <w:r>
        <w:rPr>
          <w:rFonts w:ascii="Times New Roman" w:hAnsi="Times New Roman" w:cs="Times New Roman"/>
          <w:sz w:val="24"/>
          <w:szCs w:val="24"/>
        </w:rPr>
        <w:t>lních fondů a Fondu soudržnosti se jednalo například o r</w:t>
      </w:r>
      <w:r w:rsidRPr="00CF6FAE">
        <w:rPr>
          <w:rFonts w:ascii="Times New Roman" w:hAnsi="Times New Roman" w:cs="Times New Roman"/>
          <w:sz w:val="24"/>
          <w:szCs w:val="24"/>
        </w:rPr>
        <w:t xml:space="preserve">ozsáhlé a komplikované nastavení implementační struktury (nezajištěny vztahy nadřízenosti a podřízenosti, vysoký počet zprostředkujících subjektů), které vedlo k nejednotnému způsobu poskytování dotací a řešení </w:t>
      </w:r>
      <w:r>
        <w:rPr>
          <w:rFonts w:ascii="Times New Roman" w:hAnsi="Times New Roman" w:cs="Times New Roman"/>
          <w:sz w:val="24"/>
          <w:szCs w:val="24"/>
        </w:rPr>
        <w:t>nesrovnalostí</w:t>
      </w:r>
      <w:r w:rsidRPr="00CF6FAE">
        <w:rPr>
          <w:rFonts w:ascii="Times New Roman" w:hAnsi="Times New Roman" w:cs="Times New Roman"/>
          <w:sz w:val="24"/>
          <w:szCs w:val="24"/>
        </w:rPr>
        <w:t>, snížení efektivity řízení operačních programů z důvodu nízké vymahatelnosti delegovaných funkcí</w:t>
      </w:r>
      <w:r>
        <w:rPr>
          <w:rFonts w:ascii="Times New Roman" w:hAnsi="Times New Roman" w:cs="Times New Roman"/>
          <w:sz w:val="24"/>
          <w:szCs w:val="24"/>
        </w:rPr>
        <w:t>, n</w:t>
      </w:r>
      <w:r w:rsidRPr="00CF6FAE">
        <w:rPr>
          <w:rFonts w:ascii="Times New Roman" w:hAnsi="Times New Roman" w:cs="Times New Roman"/>
          <w:sz w:val="24"/>
          <w:szCs w:val="24"/>
        </w:rPr>
        <w:t>eodůvodněně rozdíln</w:t>
      </w:r>
      <w:r>
        <w:rPr>
          <w:rFonts w:ascii="Times New Roman" w:hAnsi="Times New Roman" w:cs="Times New Roman"/>
          <w:sz w:val="24"/>
          <w:szCs w:val="24"/>
        </w:rPr>
        <w:t>ým</w:t>
      </w:r>
      <w:r w:rsidRPr="00CF6FAE">
        <w:rPr>
          <w:rFonts w:ascii="Times New Roman" w:hAnsi="Times New Roman" w:cs="Times New Roman"/>
          <w:sz w:val="24"/>
          <w:szCs w:val="24"/>
        </w:rPr>
        <w:t xml:space="preserve"> administrativní</w:t>
      </w:r>
      <w:r>
        <w:rPr>
          <w:rFonts w:ascii="Times New Roman" w:hAnsi="Times New Roman" w:cs="Times New Roman"/>
          <w:sz w:val="24"/>
          <w:szCs w:val="24"/>
        </w:rPr>
        <w:t>m</w:t>
      </w:r>
      <w:r w:rsidRPr="00CF6FAE">
        <w:rPr>
          <w:rFonts w:ascii="Times New Roman" w:hAnsi="Times New Roman" w:cs="Times New Roman"/>
          <w:sz w:val="24"/>
          <w:szCs w:val="24"/>
        </w:rPr>
        <w:t xml:space="preserve"> postup</w:t>
      </w:r>
      <w:r>
        <w:rPr>
          <w:rFonts w:ascii="Times New Roman" w:hAnsi="Times New Roman" w:cs="Times New Roman"/>
          <w:sz w:val="24"/>
          <w:szCs w:val="24"/>
        </w:rPr>
        <w:t>ům</w:t>
      </w:r>
      <w:r w:rsidRPr="00CF6FAE">
        <w:rPr>
          <w:rFonts w:ascii="Times New Roman" w:hAnsi="Times New Roman" w:cs="Times New Roman"/>
          <w:sz w:val="24"/>
          <w:szCs w:val="24"/>
        </w:rPr>
        <w:t xml:space="preserve"> s rozdílnými lhůtami v rámci operačn</w:t>
      </w:r>
      <w:r>
        <w:rPr>
          <w:rFonts w:ascii="Times New Roman" w:hAnsi="Times New Roman" w:cs="Times New Roman"/>
          <w:sz w:val="24"/>
          <w:szCs w:val="24"/>
        </w:rPr>
        <w:t>ích programů u běžných projektů, č</w:t>
      </w:r>
      <w:r w:rsidRPr="00CF6FAE">
        <w:rPr>
          <w:rFonts w:ascii="Times New Roman" w:hAnsi="Times New Roman" w:cs="Times New Roman"/>
          <w:sz w:val="24"/>
          <w:szCs w:val="24"/>
        </w:rPr>
        <w:t>ast</w:t>
      </w:r>
      <w:r>
        <w:rPr>
          <w:rFonts w:ascii="Times New Roman" w:hAnsi="Times New Roman" w:cs="Times New Roman"/>
          <w:sz w:val="24"/>
          <w:szCs w:val="24"/>
        </w:rPr>
        <w:t>ým</w:t>
      </w:r>
      <w:r w:rsidRPr="00CF6FAE">
        <w:rPr>
          <w:rFonts w:ascii="Times New Roman" w:hAnsi="Times New Roman" w:cs="Times New Roman"/>
          <w:sz w:val="24"/>
          <w:szCs w:val="24"/>
        </w:rPr>
        <w:t xml:space="preserve"> změn</w:t>
      </w:r>
      <w:r>
        <w:rPr>
          <w:rFonts w:ascii="Times New Roman" w:hAnsi="Times New Roman" w:cs="Times New Roman"/>
          <w:sz w:val="24"/>
          <w:szCs w:val="24"/>
        </w:rPr>
        <w:t>ám</w:t>
      </w:r>
      <w:r w:rsidRPr="00CF6FAE">
        <w:rPr>
          <w:rFonts w:ascii="Times New Roman" w:hAnsi="Times New Roman" w:cs="Times New Roman"/>
          <w:sz w:val="24"/>
          <w:szCs w:val="24"/>
        </w:rPr>
        <w:t xml:space="preserve"> dokumentace, příruček a metodik</w:t>
      </w:r>
      <w:r>
        <w:rPr>
          <w:rFonts w:ascii="Times New Roman" w:hAnsi="Times New Roman" w:cs="Times New Roman"/>
          <w:sz w:val="24"/>
          <w:szCs w:val="24"/>
        </w:rPr>
        <w:t xml:space="preserve"> U ENRF se jednalo zejména o v</w:t>
      </w:r>
      <w:r w:rsidRPr="00CF6FAE">
        <w:rPr>
          <w:rFonts w:ascii="Times New Roman" w:hAnsi="Times New Roman" w:cs="Times New Roman"/>
          <w:sz w:val="24"/>
          <w:szCs w:val="24"/>
        </w:rPr>
        <w:t>ysoké administrativní požadavky na žadatele související s příjmem žádosti o dotaci</w:t>
      </w:r>
      <w:r>
        <w:rPr>
          <w:rFonts w:ascii="Times New Roman" w:hAnsi="Times New Roman" w:cs="Times New Roman"/>
          <w:sz w:val="24"/>
          <w:szCs w:val="24"/>
        </w:rPr>
        <w:t xml:space="preserve"> a s</w:t>
      </w:r>
      <w:r w:rsidRPr="00CF6FAE">
        <w:rPr>
          <w:rFonts w:ascii="Times New Roman" w:hAnsi="Times New Roman" w:cs="Times New Roman"/>
          <w:sz w:val="24"/>
          <w:szCs w:val="24"/>
        </w:rPr>
        <w:t>ložit</w:t>
      </w:r>
      <w:r>
        <w:rPr>
          <w:rFonts w:ascii="Times New Roman" w:hAnsi="Times New Roman" w:cs="Times New Roman"/>
          <w:sz w:val="24"/>
          <w:szCs w:val="24"/>
        </w:rPr>
        <w:t>ou</w:t>
      </w:r>
      <w:r w:rsidRPr="00CF6FAE">
        <w:rPr>
          <w:rFonts w:ascii="Times New Roman" w:hAnsi="Times New Roman" w:cs="Times New Roman"/>
          <w:sz w:val="24"/>
          <w:szCs w:val="24"/>
        </w:rPr>
        <w:t xml:space="preserve"> administrativní kontrol</w:t>
      </w:r>
      <w:r>
        <w:rPr>
          <w:rFonts w:ascii="Times New Roman" w:hAnsi="Times New Roman" w:cs="Times New Roman"/>
          <w:sz w:val="24"/>
          <w:szCs w:val="24"/>
        </w:rPr>
        <w:t>u</w:t>
      </w:r>
      <w:r w:rsidRPr="00CF6FAE">
        <w:rPr>
          <w:rFonts w:ascii="Times New Roman" w:hAnsi="Times New Roman" w:cs="Times New Roman"/>
          <w:sz w:val="24"/>
          <w:szCs w:val="24"/>
        </w:rPr>
        <w:t>.</w:t>
      </w:r>
      <w:r>
        <w:rPr>
          <w:rFonts w:ascii="Times New Roman" w:hAnsi="Times New Roman" w:cs="Times New Roman"/>
          <w:sz w:val="24"/>
          <w:szCs w:val="24"/>
        </w:rPr>
        <w:t xml:space="preserve"> V oblasti </w:t>
      </w:r>
      <w:r w:rsidRPr="00CF6FAE">
        <w:rPr>
          <w:rFonts w:ascii="Times New Roman" w:hAnsi="Times New Roman" w:cs="Times New Roman"/>
          <w:sz w:val="24"/>
          <w:szCs w:val="24"/>
        </w:rPr>
        <w:t>EZFRV</w:t>
      </w:r>
      <w:r>
        <w:rPr>
          <w:rFonts w:ascii="Times New Roman" w:hAnsi="Times New Roman" w:cs="Times New Roman"/>
          <w:sz w:val="24"/>
          <w:szCs w:val="24"/>
        </w:rPr>
        <w:t xml:space="preserve"> pak šlo o v</w:t>
      </w:r>
      <w:r w:rsidRPr="00CF6FAE">
        <w:rPr>
          <w:rFonts w:ascii="Times New Roman" w:hAnsi="Times New Roman" w:cs="Times New Roman"/>
          <w:sz w:val="24"/>
          <w:szCs w:val="24"/>
        </w:rPr>
        <w:t>ysoké administrativní požadavky na žadatele související s příjmem žádosti o dotaci, a to zejména ve vztahu k žadatelům s malými vý</w:t>
      </w:r>
      <w:r>
        <w:rPr>
          <w:rFonts w:ascii="Times New Roman" w:hAnsi="Times New Roman" w:cs="Times New Roman"/>
          <w:sz w:val="24"/>
          <w:szCs w:val="24"/>
        </w:rPr>
        <w:t>měrami či nízkou částkou dotace, n</w:t>
      </w:r>
      <w:r w:rsidRPr="00CF6FAE">
        <w:rPr>
          <w:rFonts w:ascii="Times New Roman" w:hAnsi="Times New Roman" w:cs="Times New Roman"/>
          <w:sz w:val="24"/>
          <w:szCs w:val="24"/>
        </w:rPr>
        <w:t>ejednotný výklad některých pravidel na centrální a regionální úrovni i mezi jednotlivými regionálními úrovněmi</w:t>
      </w:r>
      <w:r>
        <w:rPr>
          <w:rFonts w:ascii="Times New Roman" w:hAnsi="Times New Roman" w:cs="Times New Roman"/>
          <w:sz w:val="24"/>
          <w:szCs w:val="24"/>
        </w:rPr>
        <w:t>, č</w:t>
      </w:r>
      <w:r w:rsidRPr="00CF6FAE">
        <w:rPr>
          <w:rFonts w:ascii="Times New Roman" w:hAnsi="Times New Roman" w:cs="Times New Roman"/>
          <w:sz w:val="24"/>
          <w:szCs w:val="24"/>
        </w:rPr>
        <w:t>ast</w:t>
      </w:r>
      <w:r>
        <w:rPr>
          <w:rFonts w:ascii="Times New Roman" w:hAnsi="Times New Roman" w:cs="Times New Roman"/>
          <w:sz w:val="24"/>
          <w:szCs w:val="24"/>
        </w:rPr>
        <w:t>é</w:t>
      </w:r>
      <w:r w:rsidRPr="00CF6FAE">
        <w:rPr>
          <w:rFonts w:ascii="Times New Roman" w:hAnsi="Times New Roman" w:cs="Times New Roman"/>
          <w:sz w:val="24"/>
          <w:szCs w:val="24"/>
        </w:rPr>
        <w:t xml:space="preserve"> </w:t>
      </w:r>
      <w:r w:rsidRPr="00CF6FAE">
        <w:rPr>
          <w:rFonts w:ascii="Times New Roman" w:hAnsi="Times New Roman" w:cs="Times New Roman"/>
          <w:sz w:val="24"/>
          <w:szCs w:val="24"/>
        </w:rPr>
        <w:lastRenderedPageBreak/>
        <w:t>změn</w:t>
      </w:r>
      <w:r>
        <w:rPr>
          <w:rFonts w:ascii="Times New Roman" w:hAnsi="Times New Roman" w:cs="Times New Roman"/>
          <w:sz w:val="24"/>
          <w:szCs w:val="24"/>
        </w:rPr>
        <w:t>y</w:t>
      </w:r>
      <w:r w:rsidRPr="00CF6FAE">
        <w:rPr>
          <w:rFonts w:ascii="Times New Roman" w:hAnsi="Times New Roman" w:cs="Times New Roman"/>
          <w:sz w:val="24"/>
          <w:szCs w:val="24"/>
        </w:rPr>
        <w:t xml:space="preserve"> pravidel podpor v průběhu implementace</w:t>
      </w:r>
      <w:r>
        <w:rPr>
          <w:rFonts w:ascii="Times New Roman" w:hAnsi="Times New Roman" w:cs="Times New Roman"/>
          <w:sz w:val="24"/>
          <w:szCs w:val="24"/>
        </w:rPr>
        <w:t xml:space="preserve"> či vysokou fluktuaci </w:t>
      </w:r>
      <w:r w:rsidRPr="00CF6FAE">
        <w:rPr>
          <w:rFonts w:ascii="Times New Roman" w:hAnsi="Times New Roman" w:cs="Times New Roman"/>
          <w:sz w:val="24"/>
          <w:szCs w:val="24"/>
        </w:rPr>
        <w:t>zaměstnanců v některých složkách řízení programu</w:t>
      </w:r>
      <w:r>
        <w:rPr>
          <w:rFonts w:ascii="Times New Roman" w:hAnsi="Times New Roman" w:cs="Times New Roman"/>
          <w:sz w:val="24"/>
          <w:szCs w:val="24"/>
        </w:rPr>
        <w:t>.</w:t>
      </w:r>
    </w:p>
    <w:p w:rsidR="0016585F" w:rsidRDefault="0016585F" w:rsidP="00260BC6">
      <w:pPr>
        <w:pStyle w:val="Odstavecseseznamem"/>
        <w:spacing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V roce 2012 byl dále z</w:t>
      </w:r>
      <w:r w:rsidRPr="00D275C6">
        <w:rPr>
          <w:rFonts w:ascii="Times New Roman" w:hAnsi="Times New Roman" w:cs="Times New Roman"/>
          <w:sz w:val="24"/>
          <w:szCs w:val="24"/>
        </w:rPr>
        <w:t xml:space="preserve">pracován samostatný komplexní dokument </w:t>
      </w:r>
      <w:r>
        <w:rPr>
          <w:rFonts w:ascii="Times New Roman" w:hAnsi="Times New Roman" w:cs="Times New Roman"/>
          <w:sz w:val="24"/>
          <w:szCs w:val="24"/>
        </w:rPr>
        <w:t xml:space="preserve">„Doporučení ke zjednodušení </w:t>
      </w:r>
      <w:r w:rsidRPr="00B045E1">
        <w:rPr>
          <w:rFonts w:ascii="Times New Roman" w:hAnsi="Times New Roman" w:cs="Times New Roman"/>
          <w:sz w:val="24"/>
          <w:szCs w:val="24"/>
        </w:rPr>
        <w:t>administrativní zátěže</w:t>
      </w:r>
      <w:r>
        <w:rPr>
          <w:rFonts w:ascii="Times New Roman" w:hAnsi="Times New Roman" w:cs="Times New Roman"/>
          <w:sz w:val="24"/>
          <w:szCs w:val="24"/>
        </w:rPr>
        <w:t xml:space="preserve"> pro žadatele a příjemce </w:t>
      </w:r>
      <w:r w:rsidRPr="00B045E1">
        <w:rPr>
          <w:rFonts w:ascii="Times New Roman" w:hAnsi="Times New Roman" w:cs="Times New Roman"/>
          <w:sz w:val="24"/>
          <w:szCs w:val="24"/>
        </w:rPr>
        <w:t>při čerpání finančních prostředků z fondů EU</w:t>
      </w:r>
      <w:r>
        <w:rPr>
          <w:rFonts w:ascii="Times New Roman" w:hAnsi="Times New Roman" w:cs="Times New Roman"/>
          <w:sz w:val="24"/>
          <w:szCs w:val="24"/>
        </w:rPr>
        <w:t xml:space="preserve"> </w:t>
      </w:r>
      <w:r w:rsidRPr="00B045E1">
        <w:rPr>
          <w:rFonts w:ascii="Times New Roman" w:hAnsi="Times New Roman" w:cs="Times New Roman"/>
          <w:sz w:val="24"/>
          <w:szCs w:val="24"/>
        </w:rPr>
        <w:t>v programovém období 2014–2020</w:t>
      </w:r>
      <w:r>
        <w:rPr>
          <w:rFonts w:ascii="Times New Roman" w:hAnsi="Times New Roman" w:cs="Times New Roman"/>
          <w:sz w:val="24"/>
          <w:szCs w:val="24"/>
        </w:rPr>
        <w:t xml:space="preserve">“ (dále „Doporučení“), který </w:t>
      </w:r>
      <w:r w:rsidRPr="00B045E1">
        <w:rPr>
          <w:rFonts w:ascii="Times New Roman" w:hAnsi="Times New Roman" w:cs="Times New Roman"/>
          <w:sz w:val="24"/>
          <w:szCs w:val="24"/>
        </w:rPr>
        <w:t>která vláda schválila v březnu 2012</w:t>
      </w:r>
      <w:r>
        <w:rPr>
          <w:rFonts w:ascii="Times New Roman" w:hAnsi="Times New Roman" w:cs="Times New Roman"/>
          <w:sz w:val="24"/>
          <w:szCs w:val="24"/>
        </w:rPr>
        <w:t xml:space="preserve"> pod usnesením vlády ČR č. 184. </w:t>
      </w:r>
      <w:r w:rsidRPr="00B045E1">
        <w:rPr>
          <w:rFonts w:ascii="Times New Roman" w:hAnsi="Times New Roman" w:cs="Times New Roman"/>
          <w:sz w:val="24"/>
          <w:szCs w:val="24"/>
        </w:rPr>
        <w:t>Tento materiál zkoumá administrativní procesy a jejich komplikovanost z hlediska</w:t>
      </w:r>
      <w:r>
        <w:rPr>
          <w:rFonts w:ascii="Times New Roman" w:hAnsi="Times New Roman" w:cs="Times New Roman"/>
          <w:sz w:val="24"/>
          <w:szCs w:val="24"/>
        </w:rPr>
        <w:t xml:space="preserve"> žadatele a příjemce a poskytuje ucelený pohled na problematiku administrativní zátěže a obsahuje </w:t>
      </w:r>
      <w:r w:rsidRPr="00B045E1">
        <w:rPr>
          <w:rFonts w:ascii="Times New Roman" w:hAnsi="Times New Roman" w:cs="Times New Roman"/>
          <w:sz w:val="24"/>
          <w:szCs w:val="24"/>
        </w:rPr>
        <w:t>návrhy doporučení na zjednodušení administrativní zátěže pro žadatele a příjemce v rámci přípravy budoucího programového období 2014–2020</w:t>
      </w:r>
      <w:r>
        <w:rPr>
          <w:rFonts w:ascii="Times New Roman" w:hAnsi="Times New Roman" w:cs="Times New Roman"/>
          <w:sz w:val="24"/>
          <w:szCs w:val="24"/>
        </w:rPr>
        <w:t xml:space="preserve">. </w:t>
      </w:r>
      <w:r w:rsidRPr="00B045E1">
        <w:rPr>
          <w:rFonts w:ascii="Times New Roman" w:hAnsi="Times New Roman" w:cs="Times New Roman"/>
          <w:sz w:val="24"/>
          <w:szCs w:val="24"/>
        </w:rPr>
        <w:t>Materiál vznikl v úzké spolupráci se všemi partnery, velká pozornost byla věnována zejména žadatelům a příjemcům. Dokument byl rovněž diskutován s dalšími odborníky či pracovníky, kteří se zabývají implementací SF. Tvorbě materiálu předcházelo dotazníkové šetření a také semináře, na jejichž základě byly analyzovány základní problematické oblasti a tyto dále rozpracovány.</w:t>
      </w:r>
      <w:r>
        <w:rPr>
          <w:rFonts w:ascii="Times New Roman" w:hAnsi="Times New Roman" w:cs="Times New Roman"/>
          <w:sz w:val="24"/>
          <w:szCs w:val="24"/>
        </w:rPr>
        <w:t xml:space="preserve"> Zohledněna byla v rámci nastavení opatření pro zjednodušení také studie EK</w:t>
      </w:r>
      <w:r w:rsidRPr="00B045E1">
        <w:rPr>
          <w:rFonts w:ascii="Times New Roman" w:hAnsi="Times New Roman" w:cs="Times New Roman"/>
          <w:sz w:val="24"/>
          <w:szCs w:val="24"/>
        </w:rPr>
        <w:t xml:space="preserve"> “Comparative study of the project selection process applied in cohesion policy programmes 2007–2013 in a number of member states”</w:t>
      </w:r>
      <w:r>
        <w:rPr>
          <w:rFonts w:ascii="Times New Roman" w:hAnsi="Times New Roman" w:cs="Times New Roman"/>
          <w:sz w:val="24"/>
          <w:szCs w:val="24"/>
        </w:rPr>
        <w:t>. Z</w:t>
      </w:r>
      <w:r w:rsidRPr="00B045E1">
        <w:rPr>
          <w:rFonts w:ascii="Times New Roman" w:hAnsi="Times New Roman" w:cs="Times New Roman"/>
          <w:sz w:val="24"/>
          <w:szCs w:val="24"/>
        </w:rPr>
        <w:t xml:space="preserve">ávěry z této studie se shodují s některými doporučeními, která jsou uvedena </w:t>
      </w:r>
      <w:r>
        <w:rPr>
          <w:rFonts w:ascii="Times New Roman" w:hAnsi="Times New Roman" w:cs="Times New Roman"/>
          <w:sz w:val="24"/>
          <w:szCs w:val="24"/>
        </w:rPr>
        <w:t xml:space="preserve">níže. </w:t>
      </w:r>
      <w:r w:rsidRPr="00B045E1">
        <w:rPr>
          <w:rFonts w:ascii="Times New Roman" w:hAnsi="Times New Roman" w:cs="Times New Roman"/>
          <w:sz w:val="24"/>
          <w:szCs w:val="24"/>
        </w:rPr>
        <w:t>.</w:t>
      </w:r>
      <w:r>
        <w:rPr>
          <w:rFonts w:ascii="Times New Roman" w:hAnsi="Times New Roman" w:cs="Times New Roman"/>
          <w:sz w:val="24"/>
          <w:szCs w:val="24"/>
        </w:rPr>
        <w:t xml:space="preserve"> </w:t>
      </w:r>
    </w:p>
    <w:p w:rsidR="0016585F" w:rsidRPr="000B521F" w:rsidRDefault="0016585F" w:rsidP="0059011D">
      <w:pPr>
        <w:pStyle w:val="Odstavecseseznamem"/>
        <w:spacing w:after="0" w:line="240" w:lineRule="auto"/>
        <w:ind w:left="0"/>
        <w:contextualSpacing w:val="0"/>
        <w:jc w:val="both"/>
        <w:rPr>
          <w:rFonts w:ascii="Times New Roman" w:hAnsi="Times New Roman" w:cs="Times New Roman"/>
          <w:sz w:val="24"/>
          <w:szCs w:val="24"/>
        </w:rPr>
      </w:pPr>
    </w:p>
    <w:p w:rsidR="00363FB2" w:rsidRPr="000B521F" w:rsidRDefault="00363FB2" w:rsidP="0059011D">
      <w:pPr>
        <w:pStyle w:val="Odstavecseseznamem"/>
        <w:spacing w:after="0" w:line="240" w:lineRule="auto"/>
        <w:ind w:left="0"/>
        <w:contextualSpacing w:val="0"/>
        <w:jc w:val="both"/>
        <w:rPr>
          <w:rFonts w:ascii="Times New Roman" w:hAnsi="Times New Roman" w:cs="Times New Roman"/>
          <w:sz w:val="24"/>
          <w:szCs w:val="24"/>
        </w:rPr>
      </w:pPr>
      <w:r w:rsidRPr="000B521F">
        <w:rPr>
          <w:rFonts w:ascii="Times New Roman" w:hAnsi="Times New Roman" w:cs="Times New Roman"/>
          <w:sz w:val="24"/>
          <w:szCs w:val="24"/>
        </w:rPr>
        <w:t>Pro potřeby zjednodušení procesů pro žadatele a příjemce při čerpání evropských prostředků v programovém období 2014</w:t>
      </w:r>
      <w:r w:rsidR="00183301">
        <w:rPr>
          <w:rFonts w:ascii="Times New Roman" w:hAnsi="Times New Roman" w:cs="Times New Roman"/>
          <w:color w:val="000000"/>
          <w:sz w:val="24"/>
          <w:szCs w:val="24"/>
        </w:rPr>
        <w:t>–</w:t>
      </w:r>
      <w:r w:rsidRPr="000B521F">
        <w:rPr>
          <w:rFonts w:ascii="Times New Roman" w:hAnsi="Times New Roman" w:cs="Times New Roman"/>
          <w:sz w:val="24"/>
          <w:szCs w:val="24"/>
        </w:rPr>
        <w:t>2020 byly identifikovány čtyři základní fáze, které charakterizují projektový cyklus v implementačním systému a mají významný vliv na komfort žadatele a příjemce, v rámci nichž budou implementována následující opatření:</w:t>
      </w:r>
    </w:p>
    <w:p w:rsidR="00363FB2" w:rsidRPr="000B521F" w:rsidRDefault="00363FB2" w:rsidP="0059011D">
      <w:pPr>
        <w:pStyle w:val="Odstavecseseznamem"/>
        <w:spacing w:after="0" w:line="240" w:lineRule="auto"/>
        <w:ind w:left="0"/>
        <w:contextualSpacing w:val="0"/>
        <w:jc w:val="both"/>
        <w:rPr>
          <w:rFonts w:ascii="Times New Roman" w:hAnsi="Times New Roman" w:cs="Times New Roman"/>
          <w:sz w:val="24"/>
          <w:szCs w:val="24"/>
        </w:rPr>
      </w:pPr>
    </w:p>
    <w:p w:rsidR="008206A4" w:rsidRPr="000B521F" w:rsidRDefault="00363FB2" w:rsidP="0059011D">
      <w:pPr>
        <w:pStyle w:val="Odstavecseseznamem"/>
        <w:numPr>
          <w:ilvl w:val="0"/>
          <w:numId w:val="7"/>
        </w:numPr>
        <w:spacing w:after="0" w:line="240" w:lineRule="auto"/>
        <w:ind w:left="360" w:hanging="360"/>
        <w:jc w:val="both"/>
        <w:rPr>
          <w:rFonts w:ascii="Times New Roman" w:hAnsi="Times New Roman" w:cs="Times New Roman"/>
          <w:sz w:val="24"/>
          <w:szCs w:val="24"/>
        </w:rPr>
      </w:pPr>
      <w:r w:rsidRPr="000B521F">
        <w:rPr>
          <w:rFonts w:ascii="Times New Roman" w:hAnsi="Times New Roman" w:cs="Times New Roman"/>
          <w:sz w:val="24"/>
          <w:szCs w:val="24"/>
        </w:rPr>
        <w:t xml:space="preserve">Výzvy pro předkládání projektových žádostí – přístupy k vyhlašování a řízení výzev. </w:t>
      </w:r>
    </w:p>
    <w:p w:rsidR="008206A4" w:rsidRPr="000B521F" w:rsidRDefault="00363FB2" w:rsidP="0059011D">
      <w:pPr>
        <w:pStyle w:val="Odstavecseseznamem"/>
        <w:numPr>
          <w:ilvl w:val="0"/>
          <w:numId w:val="11"/>
        </w:numPr>
        <w:spacing w:after="0" w:line="240" w:lineRule="auto"/>
        <w:ind w:left="357" w:hanging="357"/>
        <w:contextualSpacing w:val="0"/>
        <w:jc w:val="both"/>
        <w:rPr>
          <w:rFonts w:ascii="Times New Roman" w:hAnsi="Times New Roman" w:cs="Times New Roman"/>
          <w:sz w:val="24"/>
          <w:szCs w:val="24"/>
        </w:rPr>
      </w:pPr>
      <w:r w:rsidRPr="000B521F">
        <w:rPr>
          <w:rFonts w:ascii="Times New Roman" w:hAnsi="Times New Roman" w:cs="Times New Roman"/>
          <w:sz w:val="24"/>
          <w:szCs w:val="24"/>
        </w:rPr>
        <w:t>Jednotný webový portál ESI fondů s informacemi o jednotlivých programech a možnostech čerpání</w:t>
      </w:r>
      <w:r w:rsidR="00183301">
        <w:rPr>
          <w:rFonts w:ascii="Times New Roman" w:hAnsi="Times New Roman" w:cs="Times New Roman"/>
          <w:sz w:val="24"/>
          <w:szCs w:val="24"/>
        </w:rPr>
        <w:t xml:space="preserve"> </w:t>
      </w:r>
      <w:r w:rsidRPr="000B521F">
        <w:rPr>
          <w:rFonts w:ascii="Times New Roman" w:hAnsi="Times New Roman" w:cs="Times New Roman"/>
          <w:sz w:val="24"/>
          <w:szCs w:val="24"/>
        </w:rPr>
        <w:t>– jednotné místo pro žadatele k získání aktuálních informací</w:t>
      </w:r>
      <w:r w:rsidR="00192939" w:rsidRPr="000B521F">
        <w:rPr>
          <w:rFonts w:ascii="Times New Roman" w:hAnsi="Times New Roman" w:cs="Times New Roman"/>
          <w:sz w:val="24"/>
          <w:szCs w:val="24"/>
        </w:rPr>
        <w:t>.</w:t>
      </w:r>
    </w:p>
    <w:p w:rsidR="008206A4" w:rsidRPr="000B521F" w:rsidRDefault="00363FB2" w:rsidP="0059011D">
      <w:pPr>
        <w:pStyle w:val="Odstavecseseznamem"/>
        <w:numPr>
          <w:ilvl w:val="0"/>
          <w:numId w:val="11"/>
        </w:numPr>
        <w:spacing w:after="0" w:line="240" w:lineRule="auto"/>
        <w:ind w:left="357" w:hanging="357"/>
        <w:contextualSpacing w:val="0"/>
        <w:jc w:val="both"/>
        <w:rPr>
          <w:rFonts w:ascii="Times New Roman" w:hAnsi="Times New Roman" w:cs="Times New Roman"/>
          <w:sz w:val="24"/>
          <w:szCs w:val="24"/>
        </w:rPr>
      </w:pPr>
      <w:r w:rsidRPr="000B521F">
        <w:rPr>
          <w:rFonts w:ascii="Times New Roman" w:hAnsi="Times New Roman" w:cs="Times New Roman"/>
          <w:color w:val="000000"/>
          <w:sz w:val="24"/>
          <w:szCs w:val="24"/>
        </w:rPr>
        <w:t>Povinné vytváření harmonogramů vyhlašování výzev v jednotném formátu na rok dopředu a jejich uveřejnění</w:t>
      </w:r>
      <w:r w:rsidR="00183301">
        <w:rPr>
          <w:rFonts w:ascii="Times New Roman" w:hAnsi="Times New Roman" w:cs="Times New Roman"/>
          <w:color w:val="000000"/>
          <w:sz w:val="24"/>
          <w:szCs w:val="24"/>
        </w:rPr>
        <w:t xml:space="preserve"> </w:t>
      </w:r>
      <w:r w:rsidRPr="000B521F">
        <w:rPr>
          <w:rFonts w:ascii="Times New Roman" w:hAnsi="Times New Roman" w:cs="Times New Roman"/>
          <w:color w:val="000000"/>
          <w:sz w:val="24"/>
          <w:szCs w:val="24"/>
        </w:rPr>
        <w:t xml:space="preserve"> – dostatečný čas pro žadatele k přípravě kvalitních projektů.</w:t>
      </w:r>
    </w:p>
    <w:p w:rsidR="008206A4" w:rsidRPr="000B521F" w:rsidRDefault="00363FB2" w:rsidP="0059011D">
      <w:pPr>
        <w:pStyle w:val="Odstavecseseznamem"/>
        <w:numPr>
          <w:ilvl w:val="0"/>
          <w:numId w:val="11"/>
        </w:numPr>
        <w:spacing w:after="0" w:line="240" w:lineRule="auto"/>
        <w:ind w:left="357" w:hanging="357"/>
        <w:jc w:val="both"/>
        <w:rPr>
          <w:rFonts w:ascii="Times New Roman" w:hAnsi="Times New Roman" w:cs="Times New Roman"/>
          <w:sz w:val="24"/>
          <w:szCs w:val="24"/>
        </w:rPr>
      </w:pPr>
      <w:r w:rsidRPr="000B521F">
        <w:rPr>
          <w:rFonts w:ascii="Times New Roman" w:hAnsi="Times New Roman" w:cs="Times New Roman"/>
          <w:color w:val="000000"/>
          <w:sz w:val="24"/>
          <w:szCs w:val="24"/>
        </w:rPr>
        <w:t>Povinný minimální obsah výzev společný pro všechny programy – transparentnost vůči všem potenciálním žadatelům/ příjemcům</w:t>
      </w:r>
      <w:r w:rsidR="00192939" w:rsidRPr="000B521F">
        <w:rPr>
          <w:rFonts w:ascii="Times New Roman" w:hAnsi="Times New Roman" w:cs="Times New Roman"/>
          <w:color w:val="000000"/>
          <w:sz w:val="24"/>
          <w:szCs w:val="24"/>
        </w:rPr>
        <w:t>.</w:t>
      </w:r>
    </w:p>
    <w:p w:rsidR="008206A4" w:rsidRPr="000B521F" w:rsidRDefault="00363FB2" w:rsidP="0059011D">
      <w:pPr>
        <w:pStyle w:val="Odstavecseseznamem"/>
        <w:numPr>
          <w:ilvl w:val="0"/>
          <w:numId w:val="11"/>
        </w:numPr>
        <w:spacing w:after="0" w:line="240" w:lineRule="auto"/>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Používání jednotné terminologie při přípravě dokumentace pro žadatele a příjemce napříč programy – přehlednost a vyšší srozumitelnost dokumentů.</w:t>
      </w:r>
    </w:p>
    <w:p w:rsidR="00363FB2" w:rsidRPr="000B521F" w:rsidRDefault="00363FB2" w:rsidP="0059011D">
      <w:pPr>
        <w:spacing w:after="120" w:line="240" w:lineRule="auto"/>
        <w:ind w:left="357" w:hanging="357"/>
        <w:jc w:val="both"/>
        <w:rPr>
          <w:rFonts w:ascii="Times New Roman" w:hAnsi="Times New Roman" w:cs="Times New Roman"/>
          <w:sz w:val="24"/>
          <w:szCs w:val="24"/>
        </w:rPr>
      </w:pPr>
    </w:p>
    <w:p w:rsidR="00363FB2" w:rsidRPr="000B521F" w:rsidRDefault="00363FB2"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II. Podání projektové žádosti – možnosti při podání projektové žádosti.</w:t>
      </w:r>
    </w:p>
    <w:p w:rsidR="008206A4" w:rsidRPr="000B521F" w:rsidRDefault="00363FB2" w:rsidP="0059011D">
      <w:pPr>
        <w:pStyle w:val="Odstavecseseznamem"/>
        <w:numPr>
          <w:ilvl w:val="0"/>
          <w:numId w:val="11"/>
        </w:numPr>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Omezení údajů vkládaných žadatelem, automatizace při práci s daty a práce s registry pro automatické získávání dat</w:t>
      </w:r>
      <w:r w:rsidR="00192939" w:rsidRPr="000B521F">
        <w:rPr>
          <w:rFonts w:ascii="Times New Roman" w:hAnsi="Times New Roman" w:cs="Times New Roman"/>
          <w:sz w:val="24"/>
          <w:szCs w:val="24"/>
        </w:rPr>
        <w:t>.</w:t>
      </w:r>
    </w:p>
    <w:p w:rsidR="008206A4" w:rsidRPr="000B521F" w:rsidRDefault="00363FB2" w:rsidP="0059011D">
      <w:pPr>
        <w:pStyle w:val="Odstavecseseznamem"/>
        <w:numPr>
          <w:ilvl w:val="0"/>
          <w:numId w:val="11"/>
        </w:numPr>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Elektronické podávání žádosti o podporu – zejména v rámci fondů EFRR, ESF a FS.</w:t>
      </w:r>
    </w:p>
    <w:p w:rsidR="00363FB2" w:rsidRPr="000B521F" w:rsidRDefault="00363FB2" w:rsidP="0059011D">
      <w:pPr>
        <w:spacing w:after="120" w:line="240" w:lineRule="auto"/>
        <w:jc w:val="both"/>
        <w:rPr>
          <w:rFonts w:ascii="Times New Roman" w:hAnsi="Times New Roman" w:cs="Times New Roman"/>
          <w:sz w:val="24"/>
          <w:szCs w:val="24"/>
        </w:rPr>
      </w:pPr>
    </w:p>
    <w:p w:rsidR="00363FB2" w:rsidRPr="000B521F" w:rsidRDefault="00363FB2"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III. Výběr projektu a jeho hodnocení – proces hodnocení projektu a jeho pravidla.</w:t>
      </w:r>
    </w:p>
    <w:p w:rsidR="008206A4" w:rsidRPr="000B521F" w:rsidRDefault="00192939" w:rsidP="0059011D">
      <w:pPr>
        <w:pStyle w:val="Odstavecseseznamem"/>
        <w:numPr>
          <w:ilvl w:val="0"/>
          <w:numId w:val="11"/>
        </w:numPr>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J</w:t>
      </w:r>
      <w:r w:rsidR="00363FB2" w:rsidRPr="000B521F">
        <w:rPr>
          <w:rFonts w:ascii="Times New Roman" w:hAnsi="Times New Roman" w:cs="Times New Roman"/>
          <w:sz w:val="24"/>
          <w:szCs w:val="24"/>
        </w:rPr>
        <w:t>e kladen větší důraz na dvoukolové hodnocení</w:t>
      </w:r>
      <w:r w:rsidR="00183301">
        <w:rPr>
          <w:rFonts w:ascii="Times New Roman" w:hAnsi="Times New Roman" w:cs="Times New Roman"/>
          <w:sz w:val="24"/>
          <w:szCs w:val="24"/>
        </w:rPr>
        <w:t xml:space="preserve"> </w:t>
      </w:r>
      <w:r w:rsidR="00363FB2" w:rsidRPr="000B521F">
        <w:rPr>
          <w:rFonts w:ascii="Times New Roman" w:hAnsi="Times New Roman" w:cs="Times New Roman"/>
          <w:sz w:val="24"/>
          <w:szCs w:val="24"/>
        </w:rPr>
        <w:t>(cílem je zejména ušetřit náklady žadatelů na zpracování žádostí, možnost dopracování velkých a komplexnějších projektů ve druhé fázi hodnocení) a proces negociace tak, kde je to možné</w:t>
      </w:r>
      <w:r w:rsidRPr="000B521F">
        <w:rPr>
          <w:rFonts w:ascii="Times New Roman" w:hAnsi="Times New Roman" w:cs="Times New Roman"/>
          <w:sz w:val="24"/>
          <w:szCs w:val="24"/>
        </w:rPr>
        <w:t>.</w:t>
      </w:r>
    </w:p>
    <w:p w:rsidR="008206A4" w:rsidRPr="000B521F" w:rsidRDefault="00192939" w:rsidP="0059011D">
      <w:pPr>
        <w:pStyle w:val="Odstavecseseznamem"/>
        <w:numPr>
          <w:ilvl w:val="0"/>
          <w:numId w:val="11"/>
        </w:numPr>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V</w:t>
      </w:r>
      <w:r w:rsidR="00363FB2" w:rsidRPr="000B521F">
        <w:rPr>
          <w:rFonts w:ascii="Times New Roman" w:hAnsi="Times New Roman" w:cs="Times New Roman"/>
          <w:sz w:val="24"/>
          <w:szCs w:val="24"/>
        </w:rPr>
        <w:t>ětší míra využití nástrojů hodnocení</w:t>
      </w:r>
      <w:r w:rsidR="00652AE2" w:rsidRPr="000B521F">
        <w:rPr>
          <w:rFonts w:ascii="Times New Roman" w:hAnsi="Times New Roman" w:cs="Times New Roman"/>
          <w:sz w:val="24"/>
          <w:szCs w:val="24"/>
        </w:rPr>
        <w:t xml:space="preserve"> </w:t>
      </w:r>
      <w:r w:rsidR="00363FB2" w:rsidRPr="000B521F">
        <w:rPr>
          <w:rFonts w:ascii="Times New Roman" w:hAnsi="Times New Roman" w:cs="Times New Roman"/>
          <w:sz w:val="24"/>
          <w:szCs w:val="24"/>
        </w:rPr>
        <w:t>investic a efektivity výdajů prostřednictvím nástroje eCBA, který je využitelný napříč programy pro vybrané typy projektů</w:t>
      </w:r>
      <w:r w:rsidR="00652AE2" w:rsidRPr="000B521F">
        <w:rPr>
          <w:rFonts w:ascii="Times New Roman" w:hAnsi="Times New Roman" w:cs="Times New Roman"/>
          <w:sz w:val="24"/>
          <w:szCs w:val="24"/>
        </w:rPr>
        <w:t xml:space="preserve"> </w:t>
      </w:r>
      <w:r w:rsidR="00363FB2" w:rsidRPr="000B521F">
        <w:rPr>
          <w:rFonts w:ascii="Times New Roman" w:hAnsi="Times New Roman" w:cs="Times New Roman"/>
          <w:sz w:val="24"/>
          <w:szCs w:val="24"/>
        </w:rPr>
        <w:t>a dostupný pro žadatele/ příjemce.</w:t>
      </w:r>
    </w:p>
    <w:p w:rsidR="008206A4" w:rsidRPr="000B521F" w:rsidRDefault="00192939" w:rsidP="0059011D">
      <w:pPr>
        <w:pStyle w:val="Odstavecseseznamem"/>
        <w:numPr>
          <w:ilvl w:val="0"/>
          <w:numId w:val="11"/>
        </w:numPr>
        <w:spacing w:after="0" w:line="240" w:lineRule="auto"/>
        <w:jc w:val="both"/>
        <w:rPr>
          <w:rFonts w:ascii="Times New Roman" w:hAnsi="Times New Roman" w:cs="Times New Roman"/>
          <w:b/>
          <w:sz w:val="24"/>
          <w:szCs w:val="24"/>
        </w:rPr>
      </w:pPr>
      <w:r w:rsidRPr="000B521F">
        <w:rPr>
          <w:rFonts w:ascii="Times New Roman" w:hAnsi="Times New Roman" w:cs="Times New Roman"/>
          <w:sz w:val="24"/>
          <w:szCs w:val="24"/>
        </w:rPr>
        <w:t>N</w:t>
      </w:r>
      <w:r w:rsidR="00363FB2" w:rsidRPr="000B521F">
        <w:rPr>
          <w:rFonts w:ascii="Times New Roman" w:hAnsi="Times New Roman" w:cs="Times New Roman"/>
          <w:sz w:val="24"/>
          <w:szCs w:val="24"/>
        </w:rPr>
        <w:t>astavena jednotná a maximální lhůta trvání procesu hodnocení a výběru projektů napříč programy.</w:t>
      </w:r>
    </w:p>
    <w:p w:rsidR="00363FB2" w:rsidRPr="000B521F" w:rsidRDefault="00363FB2" w:rsidP="0059011D">
      <w:pPr>
        <w:spacing w:after="120" w:line="240" w:lineRule="auto"/>
        <w:jc w:val="both"/>
        <w:rPr>
          <w:rFonts w:ascii="Times New Roman" w:hAnsi="Times New Roman" w:cs="Times New Roman"/>
          <w:sz w:val="24"/>
          <w:szCs w:val="24"/>
        </w:rPr>
      </w:pPr>
    </w:p>
    <w:p w:rsidR="00363FB2" w:rsidRPr="000B521F" w:rsidRDefault="00363FB2"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lastRenderedPageBreak/>
        <w:t>IV. Realizace projektu, žádost o platbu a proplácení, kontroly – realizace projektu a jeho proplácení.</w:t>
      </w:r>
    </w:p>
    <w:p w:rsidR="008206A4" w:rsidRPr="000B521F" w:rsidRDefault="00192939" w:rsidP="0059011D">
      <w:pPr>
        <w:pStyle w:val="Odstavecseseznamem"/>
        <w:numPr>
          <w:ilvl w:val="0"/>
          <w:numId w:val="11"/>
        </w:numPr>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K</w:t>
      </w:r>
      <w:r w:rsidR="00363FB2" w:rsidRPr="000B521F">
        <w:rPr>
          <w:rFonts w:ascii="Times New Roman" w:hAnsi="Times New Roman" w:cs="Times New Roman"/>
          <w:sz w:val="24"/>
          <w:szCs w:val="24"/>
        </w:rPr>
        <w:t xml:space="preserve">laden důraz na e-komunikaci prostřednictvím MS 2014+ </w:t>
      </w:r>
      <w:r w:rsidR="00183301">
        <w:rPr>
          <w:rFonts w:ascii="Times New Roman" w:hAnsi="Times New Roman" w:cs="Times New Roman"/>
          <w:color w:val="000000"/>
          <w:sz w:val="24"/>
          <w:szCs w:val="24"/>
        </w:rPr>
        <w:t>–</w:t>
      </w:r>
      <w:r w:rsidR="00363FB2" w:rsidRPr="000B521F">
        <w:rPr>
          <w:rFonts w:ascii="Times New Roman" w:hAnsi="Times New Roman" w:cs="Times New Roman"/>
          <w:sz w:val="24"/>
          <w:szCs w:val="24"/>
        </w:rPr>
        <w:t xml:space="preserve"> zejména v rámci fondů EFRR, ESF a FS</w:t>
      </w:r>
      <w:r w:rsidRPr="000B521F">
        <w:rPr>
          <w:rFonts w:ascii="Times New Roman" w:hAnsi="Times New Roman" w:cs="Times New Roman"/>
          <w:sz w:val="24"/>
          <w:szCs w:val="24"/>
        </w:rPr>
        <w:t>.</w:t>
      </w:r>
    </w:p>
    <w:p w:rsidR="008206A4" w:rsidRPr="000B521F" w:rsidRDefault="00192939" w:rsidP="0059011D">
      <w:pPr>
        <w:pStyle w:val="Odstavecseseznamem"/>
        <w:numPr>
          <w:ilvl w:val="0"/>
          <w:numId w:val="11"/>
        </w:numPr>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E</w:t>
      </w:r>
      <w:r w:rsidR="00363FB2" w:rsidRPr="000B521F">
        <w:rPr>
          <w:rFonts w:ascii="Times New Roman" w:hAnsi="Times New Roman" w:cs="Times New Roman"/>
          <w:sz w:val="24"/>
          <w:szCs w:val="24"/>
        </w:rPr>
        <w:t>lektronické předávání zpráv ze strany příjemce s využitím elektronického podpisu a elektronického oběhu dokumentů</w:t>
      </w:r>
      <w:r w:rsidRPr="000B521F">
        <w:rPr>
          <w:rFonts w:ascii="Times New Roman" w:hAnsi="Times New Roman" w:cs="Times New Roman"/>
          <w:sz w:val="24"/>
          <w:szCs w:val="24"/>
        </w:rPr>
        <w:t>.</w:t>
      </w:r>
    </w:p>
    <w:p w:rsidR="008206A4" w:rsidRPr="000B521F" w:rsidRDefault="00192939" w:rsidP="0059011D">
      <w:pPr>
        <w:pStyle w:val="Odstavecseseznamem"/>
        <w:numPr>
          <w:ilvl w:val="0"/>
          <w:numId w:val="11"/>
        </w:numPr>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Z</w:t>
      </w:r>
      <w:r w:rsidR="00363FB2" w:rsidRPr="000B521F">
        <w:rPr>
          <w:rFonts w:ascii="Times New Roman" w:hAnsi="Times New Roman" w:cs="Times New Roman"/>
          <w:sz w:val="24"/>
          <w:szCs w:val="24"/>
        </w:rPr>
        <w:t>pracování vzorových dokumentů pro využití v oblasti veřejného zadávání</w:t>
      </w:r>
      <w:r w:rsidRPr="000B521F">
        <w:rPr>
          <w:rFonts w:ascii="Times New Roman" w:hAnsi="Times New Roman" w:cs="Times New Roman"/>
          <w:sz w:val="24"/>
          <w:szCs w:val="24"/>
        </w:rPr>
        <w:t>.</w:t>
      </w:r>
    </w:p>
    <w:p w:rsidR="008206A4" w:rsidRPr="000B521F" w:rsidRDefault="00192939" w:rsidP="0059011D">
      <w:pPr>
        <w:pStyle w:val="Odstavecseseznamem"/>
        <w:numPr>
          <w:ilvl w:val="0"/>
          <w:numId w:val="11"/>
        </w:numPr>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R</w:t>
      </w:r>
      <w:r w:rsidR="00363FB2" w:rsidRPr="000B521F">
        <w:rPr>
          <w:rFonts w:ascii="Times New Roman" w:hAnsi="Times New Roman" w:cs="Times New Roman"/>
          <w:sz w:val="24"/>
          <w:szCs w:val="24"/>
        </w:rPr>
        <w:t>ozšíření využívání modifikovaných ex-ante plateb a snížení finanční zátěže příjemců – zkrácení lhůty pro převod prostředků mezi poskytovatelem dotace a příjemce</w:t>
      </w:r>
      <w:r w:rsidRPr="000B521F">
        <w:rPr>
          <w:rFonts w:ascii="Times New Roman" w:hAnsi="Times New Roman" w:cs="Times New Roman"/>
          <w:sz w:val="24"/>
          <w:szCs w:val="24"/>
        </w:rPr>
        <w:t>.</w:t>
      </w:r>
    </w:p>
    <w:p w:rsidR="008206A4" w:rsidRPr="000B521F" w:rsidRDefault="00192939" w:rsidP="0059011D">
      <w:pPr>
        <w:pStyle w:val="Odstavecseseznamem"/>
        <w:numPr>
          <w:ilvl w:val="0"/>
          <w:numId w:val="11"/>
        </w:numPr>
        <w:spacing w:after="0" w:line="240" w:lineRule="auto"/>
        <w:contextualSpacing w:val="0"/>
        <w:jc w:val="both"/>
        <w:rPr>
          <w:rFonts w:ascii="Times New Roman" w:hAnsi="Times New Roman" w:cs="Times New Roman"/>
          <w:sz w:val="24"/>
          <w:szCs w:val="24"/>
        </w:rPr>
      </w:pPr>
      <w:r w:rsidRPr="000B521F">
        <w:rPr>
          <w:rFonts w:ascii="Times New Roman" w:hAnsi="Times New Roman" w:cs="Times New Roman"/>
          <w:sz w:val="24"/>
          <w:szCs w:val="24"/>
        </w:rPr>
        <w:t>Z</w:t>
      </w:r>
      <w:r w:rsidR="00363FB2" w:rsidRPr="000B521F">
        <w:rPr>
          <w:rFonts w:ascii="Times New Roman" w:hAnsi="Times New Roman" w:cs="Times New Roman"/>
          <w:sz w:val="24"/>
          <w:szCs w:val="24"/>
        </w:rPr>
        <w:t>avedení centrálního plánování finančních kontrol tak, aby byly minimalizovány duplicity výkonu finančních kontrol a příjemce nebyl zatěžován několika paralelními kontrolami.</w:t>
      </w:r>
    </w:p>
    <w:p w:rsidR="00363FB2" w:rsidRPr="000B521F" w:rsidRDefault="00363FB2" w:rsidP="0059011D">
      <w:pPr>
        <w:spacing w:after="120" w:line="240" w:lineRule="auto"/>
        <w:jc w:val="both"/>
        <w:rPr>
          <w:rFonts w:ascii="Times New Roman" w:hAnsi="Times New Roman" w:cs="Times New Roman"/>
          <w:sz w:val="24"/>
          <w:szCs w:val="24"/>
        </w:rPr>
      </w:pPr>
    </w:p>
    <w:p w:rsidR="00363FB2" w:rsidRPr="000B521F" w:rsidRDefault="00363FB2"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Je plánováno také širší využití zjednodušených metod vykazování v rámci realizaci projektů, a to zejména těch, které jsou financovány z ESF. Pro nové programové období bude čerpáno zejména ze zkušeností z programového období 2007</w:t>
      </w:r>
      <w:r w:rsidR="00183301">
        <w:rPr>
          <w:rFonts w:ascii="Times New Roman" w:hAnsi="Times New Roman" w:cs="Times New Roman"/>
          <w:color w:val="000000"/>
          <w:sz w:val="24"/>
          <w:szCs w:val="24"/>
        </w:rPr>
        <w:t>–</w:t>
      </w:r>
      <w:r w:rsidRPr="000B521F">
        <w:rPr>
          <w:rFonts w:ascii="Times New Roman" w:hAnsi="Times New Roman" w:cs="Times New Roman"/>
          <w:sz w:val="24"/>
          <w:szCs w:val="24"/>
        </w:rPr>
        <w:t>2013. Zkušenosti s nepřímými náklady jsou převážně pozitivní, a to jak mezi příjemci, tak mezi vyhlašovateli výzev. Lze předpokládat, že nejrozšířenější metodou bude použití flatrate. Svým charakterem bude nejvíce využívána v oblasti zaměstnanost tak kde je to vhodné a proveditelné(např. vzdělávání zaměstnanců podniků, výdaje na administraci projektů, sociální služby, apod.), Využití unit costů lze očekávat stejně, jako tomu bylo v programovém období 2007</w:t>
      </w:r>
      <w:r w:rsidR="00183301">
        <w:rPr>
          <w:rFonts w:ascii="Times New Roman" w:hAnsi="Times New Roman" w:cs="Times New Roman"/>
          <w:color w:val="000000"/>
          <w:sz w:val="24"/>
          <w:szCs w:val="24"/>
        </w:rPr>
        <w:t>–</w:t>
      </w:r>
      <w:r w:rsidRPr="000B521F">
        <w:rPr>
          <w:rFonts w:ascii="Times New Roman" w:hAnsi="Times New Roman" w:cs="Times New Roman"/>
          <w:sz w:val="24"/>
          <w:szCs w:val="24"/>
        </w:rPr>
        <w:t>2013 v oblasti vzdělávání na úrovni mateřských, základních a středních škol, či schémat zabývajících se podporou mobility (například podpoře mezisektorové a mezinárodní mobility, například studentů, akademických či výzkumných pracovníků). Z pohledu využití zjednodušených metod vykazování v rámci projektů financovaných z ERDF je spatřovat možnost využít těchto nástrojů v oblasti intervencí zaměřených na ochranu péče o krajinu a přírodu.</w:t>
      </w:r>
    </w:p>
    <w:p w:rsidR="00363FB2" w:rsidRPr="000B521F" w:rsidRDefault="00363FB2" w:rsidP="0059011D">
      <w:pPr>
        <w:spacing w:after="120" w:line="240" w:lineRule="auto"/>
        <w:rPr>
          <w:rFonts w:ascii="Times New Roman" w:hAnsi="Times New Roman" w:cs="Times New Roman"/>
          <w:sz w:val="24"/>
          <w:szCs w:val="24"/>
          <w:lang w:eastAsia="cs-CZ"/>
        </w:rPr>
      </w:pPr>
    </w:p>
    <w:p w:rsidR="00363FB2" w:rsidRPr="000B521F" w:rsidRDefault="00363FB2"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Časový indikativní rámec realizace opatření ke snížení administrativní zátěže:</w:t>
      </w:r>
    </w:p>
    <w:p w:rsidR="008206A4" w:rsidRPr="000B521F" w:rsidRDefault="00363FB2" w:rsidP="0059011D">
      <w:pPr>
        <w:pStyle w:val="Odstavecseseznamem"/>
        <w:numPr>
          <w:ilvl w:val="0"/>
          <w:numId w:val="11"/>
        </w:numPr>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Během 1. poloviny roku 2013 byla připravena ve spolupráci s</w:t>
      </w:r>
      <w:r w:rsidR="00652AE2" w:rsidRPr="000B521F">
        <w:rPr>
          <w:rFonts w:ascii="Times New Roman" w:hAnsi="Times New Roman" w:cs="Times New Roman"/>
          <w:sz w:val="24"/>
          <w:szCs w:val="24"/>
        </w:rPr>
        <w:t> </w:t>
      </w:r>
      <w:r w:rsidRPr="000B521F">
        <w:rPr>
          <w:rFonts w:ascii="Times New Roman" w:hAnsi="Times New Roman" w:cs="Times New Roman"/>
          <w:sz w:val="24"/>
          <w:szCs w:val="24"/>
        </w:rPr>
        <w:t>řídícími</w:t>
      </w:r>
      <w:r w:rsidR="00652AE2" w:rsidRPr="000B521F">
        <w:rPr>
          <w:rFonts w:ascii="Times New Roman" w:hAnsi="Times New Roman" w:cs="Times New Roman"/>
          <w:sz w:val="24"/>
          <w:szCs w:val="24"/>
        </w:rPr>
        <w:t xml:space="preserve"> </w:t>
      </w:r>
      <w:r w:rsidRPr="000B521F">
        <w:rPr>
          <w:rFonts w:ascii="Times New Roman" w:hAnsi="Times New Roman" w:cs="Times New Roman"/>
          <w:sz w:val="24"/>
          <w:szCs w:val="24"/>
        </w:rPr>
        <w:t>orgány sada metodických dokumentů na národní úrovni. Ve druhé polovině roku 2013 byla tato sada metodických dokumentů průběžně konzultována se zástupci hospodářských a sociálních partnerů, zástupci neziskového sektoru a vládních organizací, obcí a měst, tj. potenciálními</w:t>
      </w:r>
      <w:r w:rsidR="00652AE2" w:rsidRPr="000B521F">
        <w:rPr>
          <w:rFonts w:ascii="Times New Roman" w:hAnsi="Times New Roman" w:cs="Times New Roman"/>
          <w:sz w:val="24"/>
          <w:szCs w:val="24"/>
        </w:rPr>
        <w:t xml:space="preserve"> </w:t>
      </w:r>
      <w:r w:rsidRPr="000B521F">
        <w:rPr>
          <w:rFonts w:ascii="Times New Roman" w:hAnsi="Times New Roman" w:cs="Times New Roman"/>
          <w:sz w:val="24"/>
          <w:szCs w:val="24"/>
        </w:rPr>
        <w:t xml:space="preserve">žadateli a příjemci podpory z fondů ESI. </w:t>
      </w:r>
    </w:p>
    <w:p w:rsidR="008206A4" w:rsidRPr="000B521F" w:rsidRDefault="00363FB2" w:rsidP="0059011D">
      <w:pPr>
        <w:pStyle w:val="Odstavecseseznamem"/>
        <w:numPr>
          <w:ilvl w:val="0"/>
          <w:numId w:val="11"/>
        </w:numPr>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Do konce roku 2013 byla vládou ČR schválena sada metodických dokumentů definující opatření ke snížení zátěže v oblasti vyhlašování výzev, výběru a hodnocení projektů</w:t>
      </w:r>
      <w:r w:rsidR="008E2F4D" w:rsidRPr="000B521F">
        <w:rPr>
          <w:rFonts w:ascii="Times New Roman" w:hAnsi="Times New Roman" w:cs="Times New Roman"/>
          <w:sz w:val="24"/>
          <w:szCs w:val="24"/>
        </w:rPr>
        <w:t>.</w:t>
      </w:r>
    </w:p>
    <w:p w:rsidR="008206A4" w:rsidRPr="000B521F" w:rsidRDefault="00363FB2" w:rsidP="0059011D">
      <w:pPr>
        <w:pStyle w:val="Odstavecseseznamem"/>
        <w:numPr>
          <w:ilvl w:val="0"/>
          <w:numId w:val="11"/>
        </w:numPr>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Od 1.</w:t>
      </w:r>
      <w:r w:rsidR="00183301">
        <w:rPr>
          <w:rFonts w:ascii="Times New Roman" w:hAnsi="Times New Roman" w:cs="Times New Roman"/>
          <w:sz w:val="24"/>
          <w:szCs w:val="24"/>
        </w:rPr>
        <w:t xml:space="preserve"> </w:t>
      </w:r>
      <w:r w:rsidRPr="000B521F">
        <w:rPr>
          <w:rFonts w:ascii="Times New Roman" w:hAnsi="Times New Roman" w:cs="Times New Roman"/>
          <w:sz w:val="24"/>
          <w:szCs w:val="24"/>
        </w:rPr>
        <w:t>1.</w:t>
      </w:r>
      <w:r w:rsidR="00183301">
        <w:rPr>
          <w:rFonts w:ascii="Times New Roman" w:hAnsi="Times New Roman" w:cs="Times New Roman"/>
          <w:sz w:val="24"/>
          <w:szCs w:val="24"/>
        </w:rPr>
        <w:t xml:space="preserve"> </w:t>
      </w:r>
      <w:r w:rsidRPr="000B521F">
        <w:rPr>
          <w:rFonts w:ascii="Times New Roman" w:hAnsi="Times New Roman" w:cs="Times New Roman"/>
          <w:sz w:val="24"/>
          <w:szCs w:val="24"/>
        </w:rPr>
        <w:t>2014 bude připraven monitorovací systém MS2014+ a implementovány prvky zjednodušení v oblasti vyhlašování výzev a podávání projektových žádostí, plné dokončení procesu elektronizace je předpokládáno ve 2. pol</w:t>
      </w:r>
      <w:r w:rsidR="00041452">
        <w:rPr>
          <w:rFonts w:ascii="Times New Roman" w:hAnsi="Times New Roman" w:cs="Times New Roman"/>
          <w:sz w:val="24"/>
          <w:szCs w:val="24"/>
        </w:rPr>
        <w:t>.</w:t>
      </w:r>
      <w:r w:rsidRPr="000B521F">
        <w:rPr>
          <w:rFonts w:ascii="Times New Roman" w:hAnsi="Times New Roman" w:cs="Times New Roman"/>
          <w:sz w:val="24"/>
          <w:szCs w:val="24"/>
        </w:rPr>
        <w:t xml:space="preserve"> 2014</w:t>
      </w:r>
      <w:r w:rsidR="008E2F4D" w:rsidRPr="000B521F">
        <w:rPr>
          <w:rFonts w:ascii="Times New Roman" w:hAnsi="Times New Roman" w:cs="Times New Roman"/>
          <w:sz w:val="24"/>
          <w:szCs w:val="24"/>
        </w:rPr>
        <w:t>.</w:t>
      </w:r>
    </w:p>
    <w:p w:rsidR="008206A4" w:rsidRPr="000B521F" w:rsidRDefault="00363FB2" w:rsidP="0059011D">
      <w:pPr>
        <w:pStyle w:val="Odstavecseseznamem"/>
        <w:numPr>
          <w:ilvl w:val="0"/>
          <w:numId w:val="11"/>
        </w:numPr>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Do konce 1</w:t>
      </w:r>
      <w:r w:rsidR="00183301">
        <w:rPr>
          <w:rFonts w:ascii="Times New Roman" w:hAnsi="Times New Roman" w:cs="Times New Roman"/>
          <w:sz w:val="24"/>
          <w:szCs w:val="24"/>
        </w:rPr>
        <w:t xml:space="preserve">. </w:t>
      </w:r>
      <w:r w:rsidRPr="000B521F">
        <w:rPr>
          <w:rFonts w:ascii="Times New Roman" w:hAnsi="Times New Roman" w:cs="Times New Roman"/>
          <w:sz w:val="24"/>
          <w:szCs w:val="24"/>
        </w:rPr>
        <w:t xml:space="preserve"> pol</w:t>
      </w:r>
      <w:r w:rsidR="00183301">
        <w:rPr>
          <w:rFonts w:ascii="Times New Roman" w:hAnsi="Times New Roman" w:cs="Times New Roman"/>
          <w:sz w:val="24"/>
          <w:szCs w:val="24"/>
        </w:rPr>
        <w:t>oviny</w:t>
      </w:r>
      <w:r w:rsidRPr="000B521F">
        <w:rPr>
          <w:rFonts w:ascii="Times New Roman" w:hAnsi="Times New Roman" w:cs="Times New Roman"/>
          <w:sz w:val="24"/>
          <w:szCs w:val="24"/>
        </w:rPr>
        <w:t xml:space="preserve"> 2014 očekáváme schválení zbylé sady metodických dokumentů ze strany vlády ČR a jejich následné promítnutí do řídící dokumentace programů v průběhu 2. </w:t>
      </w:r>
      <w:r w:rsidR="00183301">
        <w:rPr>
          <w:rFonts w:ascii="Times New Roman" w:hAnsi="Times New Roman" w:cs="Times New Roman"/>
          <w:sz w:val="24"/>
          <w:szCs w:val="24"/>
        </w:rPr>
        <w:t>polovině</w:t>
      </w:r>
      <w:r w:rsidRPr="000B521F">
        <w:rPr>
          <w:rFonts w:ascii="Times New Roman" w:hAnsi="Times New Roman" w:cs="Times New Roman"/>
          <w:sz w:val="24"/>
          <w:szCs w:val="24"/>
        </w:rPr>
        <w:t xml:space="preserve"> roku 2014.</w:t>
      </w:r>
    </w:p>
    <w:p w:rsidR="00363FB2" w:rsidRPr="000B521F" w:rsidRDefault="00363FB2" w:rsidP="0059011D">
      <w:pPr>
        <w:spacing w:after="120" w:line="240" w:lineRule="auto"/>
        <w:jc w:val="both"/>
        <w:rPr>
          <w:rFonts w:ascii="Times New Roman" w:hAnsi="Times New Roman" w:cs="Times New Roman"/>
          <w:sz w:val="24"/>
          <w:szCs w:val="24"/>
        </w:rPr>
      </w:pPr>
    </w:p>
    <w:p w:rsidR="00363FB2" w:rsidRPr="000B521F" w:rsidRDefault="00363FB2"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Jak bylo výše již několikrát uvedeno – opatření pro snížení administrativní zátěže příjemců jsou do značné míry postavena na elektronizaci procesů a postupů. K tomuto účelu budou využity podpůrné nástroje v podobě informačních systémů.</w:t>
      </w:r>
    </w:p>
    <w:p w:rsidR="00363FB2" w:rsidRPr="000B521F" w:rsidRDefault="00363FB2"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Vláda ČR dne 8. září 2011 svým usnesením č. 664 schválila základní koncepci řešení monitorovacího systému strukturálních fondů EU a Fondu soudržnosti na programové období </w:t>
      </w:r>
      <w:r w:rsidRPr="000B521F">
        <w:rPr>
          <w:rFonts w:ascii="Times New Roman" w:hAnsi="Times New Roman" w:cs="Times New Roman"/>
          <w:sz w:val="24"/>
          <w:szCs w:val="24"/>
        </w:rPr>
        <w:lastRenderedPageBreak/>
        <w:t>2014-2020 (dále MS2014+). Současně schválila rámcový harmonogram dalšího postupu jeho přípravy. Komplexní řešení MS2014+ je tvořeno následujícími základními pilíři:</w:t>
      </w:r>
    </w:p>
    <w:p w:rsidR="008206A4" w:rsidRPr="000B521F" w:rsidRDefault="00363FB2" w:rsidP="0059011D">
      <w:pPr>
        <w:pStyle w:val="Odstavecseseznamem"/>
        <w:numPr>
          <w:ilvl w:val="0"/>
          <w:numId w:val="8"/>
        </w:numPr>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Pořízení Aplikace MS2014+</w:t>
      </w:r>
      <w:r w:rsidR="008E2F4D" w:rsidRPr="000B521F">
        <w:rPr>
          <w:rFonts w:ascii="Times New Roman" w:hAnsi="Times New Roman" w:cs="Times New Roman"/>
          <w:sz w:val="24"/>
          <w:szCs w:val="24"/>
        </w:rPr>
        <w:t>.</w:t>
      </w:r>
    </w:p>
    <w:p w:rsidR="008206A4" w:rsidRPr="000B521F" w:rsidRDefault="00363FB2" w:rsidP="0059011D">
      <w:pPr>
        <w:pStyle w:val="Odstavecseseznamem"/>
        <w:numPr>
          <w:ilvl w:val="0"/>
          <w:numId w:val="8"/>
        </w:numPr>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Pořízení HW a SW infrastruktury včetně provozních služeb pro MS2014+k zajištění testovacího, pilotního a rutinního provozu aplikace</w:t>
      </w:r>
      <w:r w:rsidR="008E2F4D" w:rsidRPr="000B521F">
        <w:rPr>
          <w:rFonts w:ascii="Times New Roman" w:hAnsi="Times New Roman" w:cs="Times New Roman"/>
          <w:sz w:val="24"/>
          <w:szCs w:val="24"/>
        </w:rPr>
        <w:t>.</w:t>
      </w:r>
    </w:p>
    <w:p w:rsidR="008206A4" w:rsidRPr="000B521F" w:rsidRDefault="00363FB2" w:rsidP="0059011D">
      <w:pPr>
        <w:pStyle w:val="Odstavecseseznamem"/>
        <w:numPr>
          <w:ilvl w:val="0"/>
          <w:numId w:val="8"/>
        </w:numPr>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Služby spojené s provozováním infrastruktury serverovny pro MS2014+</w:t>
      </w:r>
      <w:r w:rsidR="008E2F4D" w:rsidRPr="000B521F">
        <w:rPr>
          <w:rFonts w:ascii="Times New Roman" w:hAnsi="Times New Roman" w:cs="Times New Roman"/>
          <w:sz w:val="24"/>
          <w:szCs w:val="24"/>
        </w:rPr>
        <w:t>.</w:t>
      </w:r>
    </w:p>
    <w:p w:rsidR="008206A4" w:rsidRPr="000B521F" w:rsidRDefault="00363FB2" w:rsidP="0059011D">
      <w:pPr>
        <w:pStyle w:val="Odstavecseseznamem"/>
        <w:numPr>
          <w:ilvl w:val="0"/>
          <w:numId w:val="8"/>
        </w:numPr>
        <w:spacing w:after="0" w:line="240" w:lineRule="auto"/>
        <w:jc w:val="both"/>
        <w:rPr>
          <w:rFonts w:ascii="Times New Roman" w:hAnsi="Times New Roman" w:cs="Times New Roman"/>
          <w:sz w:val="24"/>
          <w:szCs w:val="24"/>
        </w:rPr>
      </w:pPr>
      <w:r w:rsidRPr="000B521F">
        <w:rPr>
          <w:rFonts w:ascii="Times New Roman" w:hAnsi="Times New Roman" w:cs="Times New Roman"/>
          <w:sz w:val="24"/>
          <w:szCs w:val="24"/>
        </w:rPr>
        <w:t>Zajištění služby Bezpečnostního dohledu</w:t>
      </w:r>
      <w:r w:rsidR="008E2F4D" w:rsidRPr="000B521F">
        <w:rPr>
          <w:rFonts w:ascii="Times New Roman" w:hAnsi="Times New Roman" w:cs="Times New Roman"/>
          <w:sz w:val="24"/>
          <w:szCs w:val="24"/>
        </w:rPr>
        <w:t>.</w:t>
      </w:r>
    </w:p>
    <w:p w:rsidR="00363FB2" w:rsidRPr="000B521F" w:rsidRDefault="00363FB2" w:rsidP="0059011D">
      <w:pPr>
        <w:spacing w:after="120" w:line="240" w:lineRule="auto"/>
        <w:jc w:val="both"/>
        <w:rPr>
          <w:rFonts w:ascii="Times New Roman" w:hAnsi="Times New Roman" w:cs="Times New Roman"/>
          <w:sz w:val="24"/>
          <w:szCs w:val="24"/>
        </w:rPr>
      </w:pPr>
    </w:p>
    <w:p w:rsidR="00363FB2" w:rsidRPr="000B521F" w:rsidRDefault="00363FB2" w:rsidP="0059011D">
      <w:pPr>
        <w:tabs>
          <w:tab w:val="left" w:pos="0"/>
        </w:tabs>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Prvním z realizačních kroků je zajištění technické a metodické přípravy a realizaceMS2014+ do 1. ledna 2014, a to na základě rámcového harmonogramu dalšího postupu uvedeného v bodě II/2 usnesení vlády č. 664/2013.Tento realizační krok je určen na úrovni Dohody o partnerství pro celou implementační strukturu ČR programového období 2014</w:t>
      </w:r>
      <w:r w:rsidR="00183301">
        <w:rPr>
          <w:rFonts w:ascii="Times New Roman" w:hAnsi="Times New Roman" w:cs="Times New Roman"/>
          <w:color w:val="000000"/>
          <w:sz w:val="24"/>
          <w:szCs w:val="24"/>
        </w:rPr>
        <w:t>–</w:t>
      </w:r>
      <w:r w:rsidRPr="000B521F">
        <w:rPr>
          <w:rFonts w:ascii="Times New Roman" w:hAnsi="Times New Roman" w:cs="Times New Roman"/>
          <w:sz w:val="24"/>
          <w:szCs w:val="24"/>
        </w:rPr>
        <w:t>2020. Smluvní závazek s vítězným uchazečem byl podepsán 6.</w:t>
      </w:r>
      <w:r w:rsidR="00183301">
        <w:rPr>
          <w:rFonts w:ascii="Times New Roman" w:hAnsi="Times New Roman" w:cs="Times New Roman"/>
          <w:sz w:val="24"/>
          <w:szCs w:val="24"/>
        </w:rPr>
        <w:t xml:space="preserve"> </w:t>
      </w:r>
      <w:r w:rsidRPr="000B521F">
        <w:rPr>
          <w:rFonts w:ascii="Times New Roman" w:hAnsi="Times New Roman" w:cs="Times New Roman"/>
          <w:sz w:val="24"/>
          <w:szCs w:val="24"/>
        </w:rPr>
        <w:t>6.</w:t>
      </w:r>
      <w:r w:rsidR="00183301">
        <w:rPr>
          <w:rFonts w:ascii="Times New Roman" w:hAnsi="Times New Roman" w:cs="Times New Roman"/>
          <w:sz w:val="24"/>
          <w:szCs w:val="24"/>
        </w:rPr>
        <w:t xml:space="preserve"> </w:t>
      </w:r>
      <w:r w:rsidRPr="000B521F">
        <w:rPr>
          <w:rFonts w:ascii="Times New Roman" w:hAnsi="Times New Roman" w:cs="Times New Roman"/>
          <w:sz w:val="24"/>
          <w:szCs w:val="24"/>
        </w:rPr>
        <w:t>2013, následně byly zahájeny kroky organizačního a procesního charakteru, které povedou k naplnění potřeb řádné implementace podle pravidel projektového řízeni. Pro zabezpečení potřeb, které byly definovány v zadávací dokumentaci, a potřeb, které jsou obsahem budoucích Nařízení, byl připraven harmonogram, který plně reflektuje potřeby národního gestora pro přípravu Dohody o partnerství, ale také potřeby všech řídících orgánů jednotlivých programů.</w:t>
      </w:r>
    </w:p>
    <w:p w:rsidR="00363FB2" w:rsidRPr="000B521F" w:rsidRDefault="00363FB2" w:rsidP="0059011D">
      <w:pPr>
        <w:tabs>
          <w:tab w:val="left" w:pos="0"/>
        </w:tabs>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Pro úroveň plánování, řízení a kontroly naplňování cílů Dohody o partnerství bude do aplikační části systému MS2014+ připravena platforma, která umožní na základě předávaných vstupů (otevřený formát strukturovaných dat)z programů spolufinancovaných z ENRF a EZFRV doplňovat údaje s cílem získávání souhrnných přehledů o prostředcích fondů SSR s možností je následně vyhodnocovat na úrovni Dohody o partnerství jako celku, a zároveň tak umožní vyhodnocovat jednotlivé tematické cíle a strategické cíle a priority financování Dohody a tyto výstupy předávat do systému Evropské komise.</w:t>
      </w:r>
    </w:p>
    <w:p w:rsidR="00363FB2" w:rsidRPr="000B521F" w:rsidRDefault="00363FB2" w:rsidP="0059011D">
      <w:pPr>
        <w:tabs>
          <w:tab w:val="left" w:pos="0"/>
        </w:tabs>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V rámci etapizace jednotlivých aktivit pro pořízení Aplikace MS2014+ se stal klíčových milníkem 1.</w:t>
      </w:r>
      <w:r w:rsidR="00183301">
        <w:rPr>
          <w:rFonts w:ascii="Times New Roman" w:hAnsi="Times New Roman" w:cs="Times New Roman"/>
          <w:sz w:val="24"/>
          <w:szCs w:val="24"/>
        </w:rPr>
        <w:t xml:space="preserve"> </w:t>
      </w:r>
      <w:r w:rsidRPr="000B521F">
        <w:rPr>
          <w:rFonts w:ascii="Times New Roman" w:hAnsi="Times New Roman" w:cs="Times New Roman"/>
          <w:sz w:val="24"/>
          <w:szCs w:val="24"/>
        </w:rPr>
        <w:t>1.</w:t>
      </w:r>
      <w:r w:rsidR="00183301">
        <w:rPr>
          <w:rFonts w:ascii="Times New Roman" w:hAnsi="Times New Roman" w:cs="Times New Roman"/>
          <w:sz w:val="24"/>
          <w:szCs w:val="24"/>
        </w:rPr>
        <w:t xml:space="preserve"> </w:t>
      </w:r>
      <w:r w:rsidRPr="000B521F">
        <w:rPr>
          <w:rFonts w:ascii="Times New Roman" w:hAnsi="Times New Roman" w:cs="Times New Roman"/>
          <w:sz w:val="24"/>
          <w:szCs w:val="24"/>
        </w:rPr>
        <w:t xml:space="preserve">2014. K tomuto datu připravuje MMR pro účely odsouhlasení Dohody o Partnerství nástroje určené pro přípravu vstupů pro celý proces Dohody, ale také pro navazující procesy na úrovni programů a celé hierarchické a tematické struktury. </w:t>
      </w:r>
    </w:p>
    <w:p w:rsidR="00363FB2" w:rsidRPr="000B521F" w:rsidRDefault="00363FB2" w:rsidP="0059011D">
      <w:pPr>
        <w:tabs>
          <w:tab w:val="left" w:pos="0"/>
        </w:tabs>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K 1.</w:t>
      </w:r>
      <w:r w:rsidR="00183301">
        <w:rPr>
          <w:rFonts w:ascii="Times New Roman" w:hAnsi="Times New Roman" w:cs="Times New Roman"/>
          <w:sz w:val="24"/>
          <w:szCs w:val="24"/>
        </w:rPr>
        <w:t xml:space="preserve"> </w:t>
      </w:r>
      <w:r w:rsidRPr="000B521F">
        <w:rPr>
          <w:rFonts w:ascii="Times New Roman" w:hAnsi="Times New Roman" w:cs="Times New Roman"/>
          <w:sz w:val="24"/>
          <w:szCs w:val="24"/>
        </w:rPr>
        <w:t>1.</w:t>
      </w:r>
      <w:r w:rsidR="00183301">
        <w:rPr>
          <w:rFonts w:ascii="Times New Roman" w:hAnsi="Times New Roman" w:cs="Times New Roman"/>
          <w:sz w:val="24"/>
          <w:szCs w:val="24"/>
        </w:rPr>
        <w:t xml:space="preserve"> </w:t>
      </w:r>
      <w:r w:rsidRPr="000B521F">
        <w:rPr>
          <w:rFonts w:ascii="Times New Roman" w:hAnsi="Times New Roman" w:cs="Times New Roman"/>
          <w:sz w:val="24"/>
          <w:szCs w:val="24"/>
        </w:rPr>
        <w:t>2014 bude podle stanoveného harmonogramu připraven i nástroj pro žadatele/příjemce, kteří budou na základě definovaných vstupů a parametrů ze strany ŘO OP schopni zahájit přípravné aktivity na úrovni žádostí o dotaci. Veškeré realizační aktivity plně vycházejí z požadavků na zajištění snížení administrativní zátěže žadatelů/příjemců.</w:t>
      </w:r>
    </w:p>
    <w:p w:rsidR="00363FB2" w:rsidRPr="000B521F" w:rsidRDefault="00363FB2" w:rsidP="0059011D">
      <w:pPr>
        <w:tabs>
          <w:tab w:val="left" w:pos="0"/>
        </w:tabs>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Dalším klíčovým milníkem je 1.</w:t>
      </w:r>
      <w:r w:rsidR="00601B25">
        <w:rPr>
          <w:rFonts w:ascii="Times New Roman" w:hAnsi="Times New Roman" w:cs="Times New Roman"/>
          <w:sz w:val="24"/>
          <w:szCs w:val="24"/>
        </w:rPr>
        <w:t xml:space="preserve"> </w:t>
      </w:r>
      <w:r w:rsidRPr="000B521F">
        <w:rPr>
          <w:rFonts w:ascii="Times New Roman" w:hAnsi="Times New Roman" w:cs="Times New Roman"/>
          <w:sz w:val="24"/>
          <w:szCs w:val="24"/>
        </w:rPr>
        <w:t>9. 2014, kdy by měl být připraven celý upravený implementační proces na úrovni potřeb žadatele/příjemce a potřeb řídícího orgánu a národního koordinátora pro plánování, řízení a vyhodnocování Dohody o partnerství. Samozřejmou realizační aktivitou bude i naplnění požadavků na zajištění přenosu strukturovaných dat mezi členským státem a EK.</w:t>
      </w:r>
    </w:p>
    <w:p w:rsidR="00363FB2" w:rsidRPr="000B521F" w:rsidRDefault="00363FB2" w:rsidP="0059011D">
      <w:pPr>
        <w:autoSpaceDE w:val="0"/>
        <w:autoSpaceDN w:val="0"/>
        <w:adjustRightInd w:val="0"/>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V rámci realizace nového systému MS2014+ byly požadovány úpravy vybraných klíčových funkcionalit a procesů, které již musí splňovat požadavky fiche č. 6 (elektronická výměna informací s žadateli) k e-Cohesion a fiche č. 7 (výměna informací mezi členským státem a komisí) k SFC2014 , tzn. požadavky na elektronizaci procesů implementace, bezpapírovou komunikaci, využití elektronického podpisu, vkládání datových zdrojů pouze jednou, sdílení informací a datových zdrojů v rámci celé implementační struktury a zajištění dlouhodobého důvěryhodného archivu.</w:t>
      </w:r>
    </w:p>
    <w:p w:rsidR="000B521F" w:rsidRDefault="00363FB2" w:rsidP="0059011D">
      <w:pPr>
        <w:autoSpaceDE w:val="0"/>
        <w:autoSpaceDN w:val="0"/>
        <w:adjustRightInd w:val="0"/>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Všechny tato požadavky jsou i základním vstupem pro realizované úpravy procesních kroků pro implementační strukturu i pro žadatele/příjemce, pro plánování, řízení, kontrolu a audit nad jednotnou datovou základnou a s klíčovými validačními procesy s využitím nástrojů, které v současné době poskytují služby e-Governmentu České republiky prostřednictvím Základních registrů a dále informací ze Státní pokladny. Dalším nástrojem, který by mohl sloužit pro zjednodušení procesů, je i záměr na změnu vnitřních postupů implementace s využitím státem garantovaného nástroje přenosu informací Datové schránky.</w:t>
      </w:r>
      <w:bookmarkStart w:id="101" w:name="_Toc350333643"/>
    </w:p>
    <w:p w:rsidR="00507842" w:rsidRPr="000B521F" w:rsidRDefault="000B521F" w:rsidP="0059011D">
      <w:pPr>
        <w:pStyle w:val="Nadpis1"/>
        <w:spacing w:before="0" w:after="240"/>
      </w:pPr>
      <w:r>
        <w:rPr>
          <w:sz w:val="24"/>
          <w:szCs w:val="24"/>
        </w:rPr>
        <w:br w:type="page"/>
      </w:r>
      <w:bookmarkStart w:id="102" w:name="_Toc374702903"/>
      <w:r w:rsidR="00507842" w:rsidRPr="000B521F">
        <w:t xml:space="preserve">Popis integrovaného přístupu k územnímu rozvoji, podporovanému fondy nebo shrnutí integrovaných přístupů k územnímu rozvoji na základě obsahu programů podle čl. 14 (2,A) </w:t>
      </w:r>
      <w:bookmarkEnd w:id="101"/>
      <w:r w:rsidR="006D53EC" w:rsidRPr="000B521F">
        <w:t>obecného nařízení</w:t>
      </w:r>
      <w:bookmarkEnd w:id="102"/>
    </w:p>
    <w:p w:rsidR="00DD6209" w:rsidRPr="000B521F" w:rsidRDefault="007413C9" w:rsidP="0059011D">
      <w:pPr>
        <w:spacing w:after="120" w:line="240" w:lineRule="auto"/>
        <w:jc w:val="both"/>
        <w:rPr>
          <w:rFonts w:ascii="Times New Roman" w:hAnsi="Times New Roman" w:cs="Times New Roman"/>
          <w:sz w:val="24"/>
          <w:szCs w:val="24"/>
        </w:rPr>
      </w:pPr>
      <w:bookmarkStart w:id="103" w:name="_Toc350333648"/>
      <w:r w:rsidRPr="000B521F">
        <w:rPr>
          <w:rFonts w:ascii="Times New Roman" w:hAnsi="Times New Roman" w:cs="Times New Roman"/>
          <w:sz w:val="24"/>
          <w:szCs w:val="24"/>
        </w:rPr>
        <w:t>Základním východiskem pro uplatnění integrovaných přístupů k teritoriálnímu rozvoji v ČR je Strategie regionálního rozvoje ČR 2014</w:t>
      </w:r>
      <w:r w:rsidR="00A95E6F">
        <w:rPr>
          <w:rFonts w:ascii="Times New Roman" w:hAnsi="Times New Roman" w:cs="Times New Roman"/>
          <w:color w:val="000000"/>
          <w:sz w:val="24"/>
          <w:szCs w:val="24"/>
        </w:rPr>
        <w:t>–</w:t>
      </w:r>
      <w:r w:rsidRPr="000B521F">
        <w:rPr>
          <w:rFonts w:ascii="Times New Roman" w:hAnsi="Times New Roman" w:cs="Times New Roman"/>
          <w:sz w:val="24"/>
          <w:szCs w:val="24"/>
        </w:rPr>
        <w:t>2020</w:t>
      </w:r>
      <w:r w:rsidR="006F62D3" w:rsidRPr="000B521F">
        <w:rPr>
          <w:rFonts w:ascii="Times New Roman" w:hAnsi="Times New Roman" w:cs="Times New Roman"/>
          <w:sz w:val="24"/>
          <w:szCs w:val="24"/>
        </w:rPr>
        <w:t xml:space="preserve"> (SRR) a v ní obsažený návrh územní dimenze.</w:t>
      </w:r>
      <w:r w:rsidRPr="000B521F">
        <w:rPr>
          <w:rFonts w:ascii="Times New Roman" w:hAnsi="Times New Roman" w:cs="Times New Roman"/>
          <w:sz w:val="24"/>
          <w:szCs w:val="24"/>
        </w:rPr>
        <w:t xml:space="preserve"> </w:t>
      </w:r>
      <w:r w:rsidRPr="000B521F">
        <w:rPr>
          <w:rStyle w:val="Znakapoznpodarou"/>
          <w:rFonts w:ascii="Times New Roman" w:hAnsi="Times New Roman" w:cs="Times New Roman"/>
          <w:sz w:val="24"/>
          <w:szCs w:val="24"/>
        </w:rPr>
        <w:footnoteReference w:id="86"/>
      </w:r>
      <w:r w:rsidR="00DD6209" w:rsidRPr="000B521F">
        <w:rPr>
          <w:rFonts w:ascii="Times New Roman" w:hAnsi="Times New Roman" w:cs="Times New Roman"/>
          <w:sz w:val="24"/>
          <w:szCs w:val="24"/>
        </w:rPr>
        <w:t xml:space="preserve"> </w:t>
      </w:r>
      <w:r w:rsidR="006F62D3" w:rsidRPr="000B521F">
        <w:rPr>
          <w:rFonts w:ascii="Times New Roman" w:hAnsi="Times New Roman" w:cs="Times New Roman"/>
          <w:sz w:val="24"/>
          <w:szCs w:val="24"/>
        </w:rPr>
        <w:t>Prosazení územní dimenze v programovém období 2014</w:t>
      </w:r>
      <w:r w:rsidR="00A95E6F">
        <w:rPr>
          <w:rFonts w:ascii="Times New Roman" w:hAnsi="Times New Roman" w:cs="Times New Roman"/>
          <w:color w:val="000000"/>
          <w:sz w:val="24"/>
          <w:szCs w:val="24"/>
        </w:rPr>
        <w:t>–</w:t>
      </w:r>
      <w:r w:rsidR="006F62D3" w:rsidRPr="000B521F">
        <w:rPr>
          <w:rFonts w:ascii="Times New Roman" w:hAnsi="Times New Roman" w:cs="Times New Roman"/>
          <w:sz w:val="24"/>
          <w:szCs w:val="24"/>
        </w:rPr>
        <w:t xml:space="preserve">2020 umožní reflektovat specifické územní problémy a potřeby, řešit regionální rozdíly a využití územního potenciálu. </w:t>
      </w:r>
    </w:p>
    <w:p w:rsidR="007413C9" w:rsidRPr="000B521F" w:rsidDel="00753A97" w:rsidRDefault="007413C9"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Teritoriální rozvojová strategie obsažená ve schválené SRR</w:t>
      </w:r>
      <w:r w:rsidR="00EB53D1">
        <w:rPr>
          <w:rFonts w:ascii="Times New Roman" w:hAnsi="Times New Roman" w:cs="Times New Roman"/>
          <w:sz w:val="24"/>
          <w:szCs w:val="24"/>
        </w:rPr>
        <w:t xml:space="preserve"> </w:t>
      </w:r>
      <w:r w:rsidR="00EB53D1">
        <w:rPr>
          <w:rFonts w:ascii="Times New Roman" w:hAnsi="Times New Roman" w:cs="Times New Roman"/>
          <w:sz w:val="26"/>
          <w:szCs w:val="24"/>
        </w:rPr>
        <w:t>(</w:t>
      </w:r>
      <w:r w:rsidR="00842329" w:rsidRPr="00842329">
        <w:rPr>
          <w:rFonts w:ascii="Times New Roman" w:hAnsi="Times New Roman" w:cs="Times New Roman"/>
          <w:sz w:val="24"/>
          <w:szCs w:val="24"/>
        </w:rPr>
        <w:t>vychází z analytických závěrů a vývojových tendencí v oblasti regionálního rozvoje</w:t>
      </w:r>
      <w:r w:rsidR="00EB53D1">
        <w:rPr>
          <w:rFonts w:ascii="Times New Roman" w:hAnsi="Times New Roman" w:cs="Times New Roman"/>
          <w:sz w:val="24"/>
          <w:szCs w:val="24"/>
        </w:rPr>
        <w:t>)</w:t>
      </w:r>
      <w:r w:rsidRPr="00EB53D1">
        <w:rPr>
          <w:rFonts w:ascii="Times New Roman" w:hAnsi="Times New Roman" w:cs="Times New Roman"/>
          <w:sz w:val="24"/>
          <w:szCs w:val="24"/>
        </w:rPr>
        <w:t xml:space="preserve"> </w:t>
      </w:r>
      <w:r w:rsidR="00EB53D1">
        <w:rPr>
          <w:rFonts w:ascii="Times New Roman" w:hAnsi="Times New Roman" w:cs="Times New Roman"/>
          <w:sz w:val="24"/>
          <w:szCs w:val="24"/>
        </w:rPr>
        <w:t>stanovuje</w:t>
      </w:r>
      <w:r w:rsidR="00EB53D1" w:rsidRPr="000B521F">
        <w:rPr>
          <w:rFonts w:ascii="Times New Roman" w:hAnsi="Times New Roman" w:cs="Times New Roman"/>
          <w:sz w:val="24"/>
          <w:szCs w:val="24"/>
        </w:rPr>
        <w:t xml:space="preserve"> </w:t>
      </w:r>
      <w:r w:rsidRPr="000B521F">
        <w:rPr>
          <w:rFonts w:ascii="Times New Roman" w:hAnsi="Times New Roman" w:cs="Times New Roman"/>
          <w:sz w:val="24"/>
          <w:szCs w:val="24"/>
        </w:rPr>
        <w:t>základní cíle a priority regionální politiky</w:t>
      </w:r>
      <w:r w:rsidR="00701B4C" w:rsidRPr="000B521F">
        <w:rPr>
          <w:rFonts w:ascii="Times New Roman" w:hAnsi="Times New Roman" w:cs="Times New Roman"/>
          <w:sz w:val="24"/>
          <w:szCs w:val="24"/>
        </w:rPr>
        <w:t xml:space="preserve"> ČR</w:t>
      </w:r>
      <w:r w:rsidRPr="000B521F">
        <w:rPr>
          <w:rFonts w:ascii="Times New Roman" w:hAnsi="Times New Roman" w:cs="Times New Roman"/>
          <w:sz w:val="24"/>
          <w:szCs w:val="24"/>
        </w:rPr>
        <w:t xml:space="preserve">. </w:t>
      </w:r>
    </w:p>
    <w:p w:rsidR="008206A4" w:rsidRPr="000B521F" w:rsidRDefault="007413C9" w:rsidP="0059011D">
      <w:pPr>
        <w:pStyle w:val="Odstavecseseznamem"/>
        <w:numPr>
          <w:ilvl w:val="0"/>
          <w:numId w:val="107"/>
        </w:numPr>
        <w:spacing w:before="100" w:beforeAutospacing="1" w:after="100" w:afterAutospacing="1" w:line="240" w:lineRule="auto"/>
        <w:ind w:left="567" w:hanging="283"/>
        <w:contextualSpacing w:val="0"/>
        <w:jc w:val="both"/>
        <w:rPr>
          <w:rFonts w:ascii="Times New Roman" w:hAnsi="Times New Roman" w:cs="Times New Roman"/>
          <w:sz w:val="24"/>
          <w:szCs w:val="24"/>
        </w:rPr>
      </w:pPr>
      <w:r w:rsidRPr="000B521F">
        <w:rPr>
          <w:rFonts w:ascii="Times New Roman" w:hAnsi="Times New Roman" w:cs="Times New Roman"/>
          <w:bCs/>
          <w:sz w:val="24"/>
          <w:szCs w:val="24"/>
        </w:rPr>
        <w:t xml:space="preserve">Prioritní oblast </w:t>
      </w:r>
      <w:r w:rsidR="005D6CA1" w:rsidRPr="000B521F">
        <w:rPr>
          <w:rFonts w:ascii="Times New Roman" w:hAnsi="Times New Roman" w:cs="Times New Roman"/>
          <w:b/>
          <w:bCs/>
          <w:sz w:val="24"/>
          <w:szCs w:val="24"/>
        </w:rPr>
        <w:t>regionální konkurenceschopnost</w:t>
      </w:r>
      <w:r w:rsidRPr="000B521F">
        <w:rPr>
          <w:rFonts w:ascii="Times New Roman" w:hAnsi="Times New Roman" w:cs="Times New Roman"/>
          <w:sz w:val="24"/>
          <w:szCs w:val="24"/>
        </w:rPr>
        <w:t xml:space="preserve"> je zaměřena na území s dostatečným potenciálem na realizaci stanovených cílů a zahrnuje klíčová témata inovací, spolupráce podnikatelského sektoru s výzkumnými a vývojovými pracovišti, zvýšení kvality vysokoškolského vzdělávání, flexibility pracovního trhu reagujícího na místní potřeby a v neposlední řadě téma dostatečné a kvalitní infrastruktury dopravní i technické</w:t>
      </w:r>
      <w:r w:rsidR="00E12604" w:rsidRPr="000B521F">
        <w:rPr>
          <w:rFonts w:ascii="Times New Roman" w:hAnsi="Times New Roman" w:cs="Times New Roman"/>
          <w:sz w:val="24"/>
          <w:szCs w:val="24"/>
        </w:rPr>
        <w:t xml:space="preserve"> - </w:t>
      </w:r>
      <w:r w:rsidRPr="000B521F">
        <w:rPr>
          <w:rFonts w:ascii="Times New Roman" w:hAnsi="Times New Roman" w:cs="Times New Roman"/>
          <w:sz w:val="24"/>
          <w:szCs w:val="24"/>
        </w:rPr>
        <w:t xml:space="preserve">konkurenceschopnosti daného území. </w:t>
      </w:r>
    </w:p>
    <w:p w:rsidR="008206A4" w:rsidRPr="000B521F" w:rsidRDefault="007413C9" w:rsidP="0059011D">
      <w:pPr>
        <w:pStyle w:val="Odstavecseseznamem"/>
        <w:numPr>
          <w:ilvl w:val="0"/>
          <w:numId w:val="107"/>
        </w:numPr>
        <w:spacing w:before="100" w:beforeAutospacing="1" w:after="100" w:afterAutospacing="1" w:line="240" w:lineRule="auto"/>
        <w:ind w:left="567" w:hanging="283"/>
        <w:contextualSpacing w:val="0"/>
        <w:jc w:val="both"/>
        <w:rPr>
          <w:rFonts w:ascii="Times New Roman" w:hAnsi="Times New Roman" w:cs="Times New Roman"/>
          <w:sz w:val="24"/>
          <w:szCs w:val="24"/>
        </w:rPr>
      </w:pPr>
      <w:r w:rsidRPr="000B521F">
        <w:rPr>
          <w:rFonts w:ascii="Times New Roman" w:hAnsi="Times New Roman" w:cs="Times New Roman"/>
          <w:bCs/>
          <w:sz w:val="24"/>
          <w:szCs w:val="24"/>
        </w:rPr>
        <w:t>Druhá prioritní oblast územní soudržnost</w:t>
      </w:r>
      <w:r w:rsidRPr="000B521F">
        <w:rPr>
          <w:rFonts w:ascii="Times New Roman" w:hAnsi="Times New Roman" w:cs="Times New Roman"/>
          <w:sz w:val="24"/>
          <w:szCs w:val="24"/>
        </w:rPr>
        <w:t xml:space="preserve"> je zaměřena na </w:t>
      </w:r>
      <w:r w:rsidR="005D6CA1" w:rsidRPr="000B521F">
        <w:rPr>
          <w:rFonts w:ascii="Times New Roman" w:hAnsi="Times New Roman" w:cs="Times New Roman"/>
          <w:b/>
          <w:sz w:val="24"/>
          <w:szCs w:val="24"/>
        </w:rPr>
        <w:t>snížení disparit</w:t>
      </w:r>
      <w:r w:rsidRPr="000B521F">
        <w:rPr>
          <w:rFonts w:ascii="Times New Roman" w:hAnsi="Times New Roman" w:cs="Times New Roman"/>
          <w:sz w:val="24"/>
          <w:szCs w:val="24"/>
        </w:rPr>
        <w:t xml:space="preserve"> v území a mezi hlavní témata patří infrastruktura veřejných služeb, podpora integrace sociálně vyloučených a sociálním vyloučením ohrožených skupin obyvatelstva, částečně pak kultura, cestovní ruch a bydlení a v periferních územích také podpora lokální ekonomiky.</w:t>
      </w:r>
    </w:p>
    <w:p w:rsidR="008206A4" w:rsidRPr="000B521F" w:rsidRDefault="007413C9" w:rsidP="0059011D">
      <w:pPr>
        <w:pStyle w:val="Odstavecseseznamem"/>
        <w:numPr>
          <w:ilvl w:val="0"/>
          <w:numId w:val="107"/>
        </w:numPr>
        <w:spacing w:before="100" w:beforeAutospacing="1" w:after="100" w:afterAutospacing="1" w:line="240" w:lineRule="auto"/>
        <w:ind w:left="567" w:hanging="283"/>
        <w:contextualSpacing w:val="0"/>
        <w:jc w:val="both"/>
        <w:rPr>
          <w:rFonts w:ascii="Times New Roman" w:hAnsi="Times New Roman" w:cs="Times New Roman"/>
          <w:sz w:val="24"/>
          <w:szCs w:val="24"/>
        </w:rPr>
      </w:pPr>
      <w:r w:rsidRPr="000B521F">
        <w:rPr>
          <w:rFonts w:ascii="Times New Roman" w:hAnsi="Times New Roman" w:cs="Times New Roman"/>
          <w:bCs/>
          <w:sz w:val="24"/>
          <w:szCs w:val="24"/>
        </w:rPr>
        <w:t xml:space="preserve">Prioritní oblast </w:t>
      </w:r>
      <w:r w:rsidR="005D6CA1" w:rsidRPr="000B521F">
        <w:rPr>
          <w:rFonts w:ascii="Times New Roman" w:hAnsi="Times New Roman" w:cs="Times New Roman"/>
          <w:b/>
          <w:bCs/>
          <w:sz w:val="24"/>
          <w:szCs w:val="24"/>
        </w:rPr>
        <w:t>environmentální udržitelnost</w:t>
      </w:r>
      <w:r w:rsidRPr="000B521F">
        <w:rPr>
          <w:rFonts w:ascii="Times New Roman" w:hAnsi="Times New Roman" w:cs="Times New Roman"/>
          <w:sz w:val="24"/>
          <w:szCs w:val="24"/>
        </w:rPr>
        <w:t xml:space="preserve"> představuje v širších souvislostech témata, která mají přispět ke zlepšení životního prostředí a života obyvatel v něm a soustřeďuje se především na odstraňování ekologických zátěží, omezování vlivu dopravy na krajinu, lepší hospodaření s přírodními zdroji a využívání moderních technologií ve vodním i odpadovém hospodářství. Rovněž nepomíjí ani prevenci a případnou likvidaci škod při živelních pohromách. </w:t>
      </w:r>
    </w:p>
    <w:p w:rsidR="008206A4" w:rsidRPr="000B521F" w:rsidRDefault="007413C9" w:rsidP="0059011D">
      <w:pPr>
        <w:pStyle w:val="Odstavecseseznamem"/>
        <w:numPr>
          <w:ilvl w:val="0"/>
          <w:numId w:val="107"/>
        </w:numPr>
        <w:spacing w:before="100" w:beforeAutospacing="1" w:after="100" w:afterAutospacing="1" w:line="240" w:lineRule="auto"/>
        <w:ind w:left="567" w:hanging="283"/>
        <w:contextualSpacing w:val="0"/>
        <w:jc w:val="both"/>
        <w:rPr>
          <w:rFonts w:ascii="Times New Roman" w:hAnsi="Times New Roman" w:cs="Times New Roman"/>
          <w:sz w:val="24"/>
          <w:szCs w:val="24"/>
        </w:rPr>
      </w:pPr>
      <w:r w:rsidRPr="000B521F">
        <w:rPr>
          <w:rFonts w:ascii="Times New Roman" w:hAnsi="Times New Roman" w:cs="Times New Roman"/>
          <w:bCs/>
          <w:sz w:val="24"/>
          <w:szCs w:val="24"/>
        </w:rPr>
        <w:t xml:space="preserve">Čtvrtou prioritní oblastí je </w:t>
      </w:r>
      <w:r w:rsidR="005D6CA1" w:rsidRPr="000B521F">
        <w:rPr>
          <w:rFonts w:ascii="Times New Roman" w:hAnsi="Times New Roman" w:cs="Times New Roman"/>
          <w:b/>
          <w:bCs/>
          <w:sz w:val="24"/>
          <w:szCs w:val="24"/>
        </w:rPr>
        <w:t>veřejná správa</w:t>
      </w:r>
      <w:r w:rsidRPr="000B521F">
        <w:rPr>
          <w:rFonts w:ascii="Times New Roman" w:hAnsi="Times New Roman" w:cs="Times New Roman"/>
          <w:sz w:val="24"/>
          <w:szCs w:val="24"/>
        </w:rPr>
        <w:t>, jež musí vytvářet legislativní i administrativní základnu a naplňovat podporu pro realizaci všech výše jmenovaných témat.</w:t>
      </w:r>
    </w:p>
    <w:p w:rsidR="008206A4" w:rsidRPr="000B521F" w:rsidRDefault="006F62D3" w:rsidP="0059011D">
      <w:pPr>
        <w:pStyle w:val="Odstavecseseznamem"/>
        <w:spacing w:before="100" w:beforeAutospacing="1" w:after="100" w:afterAutospacing="1" w:line="240" w:lineRule="auto"/>
        <w:ind w:left="0"/>
        <w:jc w:val="both"/>
        <w:rPr>
          <w:rFonts w:ascii="Times New Roman" w:hAnsi="Times New Roman" w:cs="Times New Roman"/>
          <w:sz w:val="24"/>
          <w:szCs w:val="24"/>
        </w:rPr>
      </w:pPr>
      <w:r w:rsidRPr="000B521F">
        <w:rPr>
          <w:rFonts w:ascii="Times New Roman" w:hAnsi="Times New Roman" w:cs="Times New Roman"/>
          <w:sz w:val="24"/>
          <w:szCs w:val="24"/>
        </w:rPr>
        <w:t xml:space="preserve">Územní průmět realizace uvedených prioritních oblastí je dán typologií území ČR, která na základě multikriteriální analýzy rozděluje území </w:t>
      </w:r>
      <w:r w:rsidR="00E12604" w:rsidRPr="000B521F">
        <w:rPr>
          <w:rFonts w:ascii="Times New Roman" w:hAnsi="Times New Roman" w:cs="Times New Roman"/>
          <w:sz w:val="24"/>
          <w:szCs w:val="24"/>
        </w:rPr>
        <w:t xml:space="preserve">ČR </w:t>
      </w:r>
      <w:r w:rsidRPr="000B521F">
        <w:rPr>
          <w:rFonts w:ascii="Times New Roman" w:hAnsi="Times New Roman" w:cs="Times New Roman"/>
          <w:sz w:val="24"/>
          <w:szCs w:val="24"/>
        </w:rPr>
        <w:t>na (i) rozvojová (ii) stabilizovaná a (iii) periferní území</w:t>
      </w:r>
      <w:r w:rsidR="00EB53D1">
        <w:rPr>
          <w:rFonts w:ascii="Times New Roman" w:hAnsi="Times New Roman" w:cs="Times New Roman"/>
          <w:sz w:val="24"/>
          <w:szCs w:val="24"/>
        </w:rPr>
        <w:t xml:space="preserve"> a byl zohledněn při definování problémových oblastí v kapitole 1.1. </w:t>
      </w:r>
      <w:r w:rsidRPr="000B521F">
        <w:rPr>
          <w:rFonts w:ascii="Times New Roman" w:hAnsi="Times New Roman" w:cs="Times New Roman"/>
          <w:sz w:val="24"/>
          <w:szCs w:val="24"/>
        </w:rPr>
        <w:t xml:space="preserve"> </w:t>
      </w:r>
      <w:r w:rsidR="00E12604" w:rsidRPr="000B521F">
        <w:rPr>
          <w:rFonts w:ascii="Times New Roman" w:hAnsi="Times New Roman" w:cs="Times New Roman"/>
          <w:sz w:val="24"/>
          <w:szCs w:val="24"/>
        </w:rPr>
        <w:t>Specifickým typem území jsou pak státem podporované regiony</w:t>
      </w:r>
      <w:r w:rsidR="00E12604" w:rsidRPr="000B521F">
        <w:rPr>
          <w:rFonts w:ascii="Times New Roman" w:hAnsi="Times New Roman" w:cs="Times New Roman"/>
          <w:bCs/>
          <w:sz w:val="24"/>
          <w:szCs w:val="24"/>
        </w:rPr>
        <w:t xml:space="preserve">, </w:t>
      </w:r>
      <w:r w:rsidR="005D6CA1" w:rsidRPr="000B521F">
        <w:rPr>
          <w:rFonts w:ascii="Times New Roman" w:hAnsi="Times New Roman" w:cs="Times New Roman"/>
          <w:bCs/>
          <w:sz w:val="24"/>
          <w:szCs w:val="24"/>
        </w:rPr>
        <w:t>, které ve svém sociálně ekonomickém rozvoji významně zaostávají za ostatními územními celky</w:t>
      </w:r>
      <w:r w:rsidR="00E12604" w:rsidRPr="000B521F">
        <w:rPr>
          <w:rFonts w:ascii="Times New Roman" w:hAnsi="Times New Roman" w:cs="Times New Roman"/>
          <w:bCs/>
          <w:sz w:val="24"/>
          <w:szCs w:val="24"/>
        </w:rPr>
        <w:t xml:space="preserve"> a</w:t>
      </w:r>
      <w:r w:rsidR="005D6CA1" w:rsidRPr="000B521F">
        <w:rPr>
          <w:rFonts w:ascii="Times New Roman" w:hAnsi="Times New Roman" w:cs="Times New Roman"/>
          <w:bCs/>
          <w:sz w:val="24"/>
          <w:szCs w:val="24"/>
        </w:rPr>
        <w:t xml:space="preserve"> musí řešit specifické problémy, jejichž zvládnutí je s ohledem na příčiny problémů obtížné a nelze je zvládnout bez širší, koordinované spolupráce</w:t>
      </w:r>
      <w:r w:rsidR="00E12604" w:rsidRPr="000B521F">
        <w:rPr>
          <w:rFonts w:ascii="Times New Roman" w:hAnsi="Times New Roman" w:cs="Times New Roman"/>
          <w:bCs/>
          <w:sz w:val="24"/>
          <w:szCs w:val="24"/>
        </w:rPr>
        <w:t>.</w:t>
      </w:r>
    </w:p>
    <w:p w:rsidR="007413C9" w:rsidRPr="000B521F" w:rsidRDefault="007413C9" w:rsidP="0059011D">
      <w:pPr>
        <w:tabs>
          <w:tab w:val="left" w:pos="0"/>
        </w:tabs>
        <w:autoSpaceDE w:val="0"/>
        <w:autoSpaceDN w:val="0"/>
        <w:adjustRightInd w:val="0"/>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Charakter regionální a sídelní struktury v ČR je vhodný pro široké uplatnění integrovaných přístupů právě v územní dimenzi. Vysoká roztříštěnost sídelní struktury (6 250 obcí, z nichž zhruba 80 % má méně než 1 000 obyvatel) vede k velmi intenzivním vazbám mezi městy</w:t>
      </w:r>
      <w:r w:rsidR="0096113B" w:rsidRPr="000B521F">
        <w:rPr>
          <w:rFonts w:ascii="Times New Roman" w:hAnsi="Times New Roman" w:cs="Times New Roman"/>
          <w:sz w:val="24"/>
          <w:szCs w:val="24"/>
        </w:rPr>
        <w:t xml:space="preserve"> navzájem</w:t>
      </w:r>
      <w:r w:rsidRPr="000B521F">
        <w:rPr>
          <w:rFonts w:ascii="Times New Roman" w:hAnsi="Times New Roman" w:cs="Times New Roman"/>
          <w:sz w:val="24"/>
          <w:szCs w:val="24"/>
        </w:rPr>
        <w:t xml:space="preserve"> a </w:t>
      </w:r>
      <w:r w:rsidR="0096113B" w:rsidRPr="000B521F">
        <w:rPr>
          <w:rFonts w:ascii="Times New Roman" w:hAnsi="Times New Roman" w:cs="Times New Roman"/>
          <w:sz w:val="24"/>
          <w:szCs w:val="24"/>
        </w:rPr>
        <w:t xml:space="preserve">mezi městy a </w:t>
      </w:r>
      <w:r w:rsidRPr="000B521F">
        <w:rPr>
          <w:rFonts w:ascii="Times New Roman" w:hAnsi="Times New Roman" w:cs="Times New Roman"/>
          <w:sz w:val="24"/>
          <w:szCs w:val="24"/>
        </w:rPr>
        <w:t>venkovem</w:t>
      </w:r>
      <w:r w:rsidR="0096113B" w:rsidRPr="000B521F">
        <w:rPr>
          <w:rFonts w:ascii="Times New Roman" w:hAnsi="Times New Roman" w:cs="Times New Roman"/>
          <w:sz w:val="24"/>
          <w:szCs w:val="24"/>
        </w:rPr>
        <w:t>, který tvoří přirozené zázemí regionálních center</w:t>
      </w:r>
      <w:r w:rsidRPr="000B521F">
        <w:rPr>
          <w:rFonts w:ascii="Times New Roman" w:hAnsi="Times New Roman" w:cs="Times New Roman"/>
          <w:sz w:val="24"/>
          <w:szCs w:val="24"/>
        </w:rPr>
        <w:t xml:space="preserve"> (viz analytická část návrhu Dohody). Nutnost vyšší míry meziobecní a regionální spolupráce za účelem zlepšení životních podmínek a synergického využití lokálně omezeného potenciálu dokumentuje existence cca 175 místních akčních skupin a kolem 500 mikroregionů, které s výjimkou největších měst pokrývají prakticky celé území ČR. Analýza SRR rovněž dokumentuje potřebu vyšší územní integrace jádrových prostorů nejvýznamnějších metropolitních oblastí a aglomerací s jejich širším zázemím za účelem efektivního využití jejich ekonomického a lidského potenciálu. </w:t>
      </w:r>
    </w:p>
    <w:p w:rsidR="0096113B" w:rsidRPr="000B521F" w:rsidRDefault="0096113B" w:rsidP="0059011D">
      <w:pPr>
        <w:tabs>
          <w:tab w:val="left" w:pos="0"/>
        </w:tabs>
        <w:autoSpaceDE w:val="0"/>
        <w:autoSpaceDN w:val="0"/>
        <w:adjustRightInd w:val="0"/>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Plánované intervence ESI Fondů v území ČR odpovídají územním souvislostem a funkčním vazbám a uplatňují tak tzv. place based approach. </w:t>
      </w:r>
      <w:r w:rsidR="007413C9" w:rsidRPr="000B521F">
        <w:rPr>
          <w:rFonts w:ascii="Times New Roman" w:hAnsi="Times New Roman" w:cs="Times New Roman"/>
          <w:sz w:val="24"/>
          <w:szCs w:val="24"/>
        </w:rPr>
        <w:t>Cílem uplatnění integrovaných přístupů z pohledu regionálního rozvoje je zejména dosažení vyšší kvality strategického plánování a řízení a efektivnějšího vynakládání finančních prostředků v</w:t>
      </w:r>
      <w:r w:rsidRPr="000B521F">
        <w:rPr>
          <w:rFonts w:ascii="Times New Roman" w:hAnsi="Times New Roman" w:cs="Times New Roman"/>
          <w:sz w:val="24"/>
          <w:szCs w:val="24"/>
        </w:rPr>
        <w:t> </w:t>
      </w:r>
      <w:r w:rsidR="007413C9" w:rsidRPr="000B521F">
        <w:rPr>
          <w:rFonts w:ascii="Times New Roman" w:hAnsi="Times New Roman" w:cs="Times New Roman"/>
          <w:sz w:val="24"/>
          <w:szCs w:val="24"/>
        </w:rPr>
        <w:t>území</w:t>
      </w:r>
      <w:r w:rsidRPr="000B521F">
        <w:rPr>
          <w:rFonts w:ascii="Times New Roman" w:hAnsi="Times New Roman" w:cs="Times New Roman"/>
          <w:sz w:val="24"/>
          <w:szCs w:val="24"/>
        </w:rPr>
        <w:t>, což v důsledku přispěje ke zvýšení konkurenceschopnosti a zvýšení kvality života obyvatel.</w:t>
      </w:r>
    </w:p>
    <w:p w:rsidR="008206A4" w:rsidRPr="000B521F" w:rsidRDefault="007413C9" w:rsidP="0059011D">
      <w:pPr>
        <w:tabs>
          <w:tab w:val="left" w:pos="0"/>
        </w:tabs>
        <w:autoSpaceDE w:val="0"/>
        <w:autoSpaceDN w:val="0"/>
        <w:adjustRightInd w:val="0"/>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Základním principem pro uplatnění integrovaných přístupů bude </w:t>
      </w:r>
      <w:r w:rsidRPr="000B521F">
        <w:rPr>
          <w:rFonts w:ascii="Times New Roman" w:hAnsi="Times New Roman" w:cs="Times New Roman"/>
          <w:b/>
          <w:bCs/>
          <w:sz w:val="24"/>
          <w:szCs w:val="24"/>
        </w:rPr>
        <w:t>věcná</w:t>
      </w:r>
      <w:r w:rsidRPr="000B521F">
        <w:rPr>
          <w:rFonts w:ascii="Times New Roman" w:hAnsi="Times New Roman" w:cs="Times New Roman"/>
          <w:sz w:val="24"/>
          <w:szCs w:val="24"/>
        </w:rPr>
        <w:t xml:space="preserve"> (vhodně a logicky provázané a potřebné tematické/sektorové intervence), </w:t>
      </w:r>
      <w:r w:rsidRPr="000B521F">
        <w:rPr>
          <w:rFonts w:ascii="Times New Roman" w:hAnsi="Times New Roman" w:cs="Times New Roman"/>
          <w:b/>
          <w:bCs/>
          <w:sz w:val="24"/>
          <w:szCs w:val="24"/>
        </w:rPr>
        <w:t>územní</w:t>
      </w:r>
      <w:r w:rsidRPr="000B521F">
        <w:rPr>
          <w:rFonts w:ascii="Times New Roman" w:hAnsi="Times New Roman" w:cs="Times New Roman"/>
          <w:sz w:val="24"/>
          <w:szCs w:val="24"/>
        </w:rPr>
        <w:t xml:space="preserve"> (realizace intervencí ve vhodném, geograficky a ekonomicky spojeném území) a </w:t>
      </w:r>
      <w:r w:rsidRPr="000B521F">
        <w:rPr>
          <w:rFonts w:ascii="Times New Roman" w:hAnsi="Times New Roman" w:cs="Times New Roman"/>
          <w:b/>
          <w:bCs/>
          <w:sz w:val="24"/>
          <w:szCs w:val="24"/>
        </w:rPr>
        <w:t>časová</w:t>
      </w:r>
      <w:r w:rsidRPr="000B521F">
        <w:rPr>
          <w:rFonts w:ascii="Times New Roman" w:hAnsi="Times New Roman" w:cs="Times New Roman"/>
          <w:sz w:val="24"/>
          <w:szCs w:val="24"/>
        </w:rPr>
        <w:t xml:space="preserve"> (realisticky připravený harmonogram a časové a věcné sladění předpokládaných intervencí) </w:t>
      </w:r>
      <w:r w:rsidRPr="000B521F">
        <w:rPr>
          <w:rFonts w:ascii="Times New Roman" w:hAnsi="Times New Roman" w:cs="Times New Roman"/>
          <w:b/>
          <w:bCs/>
          <w:sz w:val="24"/>
          <w:szCs w:val="24"/>
        </w:rPr>
        <w:t>provázanost</w:t>
      </w:r>
      <w:r w:rsidRPr="000B521F">
        <w:rPr>
          <w:rFonts w:ascii="Times New Roman" w:hAnsi="Times New Roman" w:cs="Times New Roman"/>
          <w:sz w:val="24"/>
          <w:szCs w:val="24"/>
        </w:rPr>
        <w:t xml:space="preserve"> intervencí realizovaná na základě kvalitní </w:t>
      </w:r>
      <w:r w:rsidRPr="000B521F">
        <w:rPr>
          <w:rFonts w:ascii="Times New Roman" w:hAnsi="Times New Roman" w:cs="Times New Roman"/>
          <w:b/>
          <w:bCs/>
          <w:sz w:val="24"/>
          <w:szCs w:val="24"/>
        </w:rPr>
        <w:t>strategie</w:t>
      </w:r>
      <w:r w:rsidRPr="000B521F">
        <w:rPr>
          <w:rFonts w:ascii="Times New Roman" w:hAnsi="Times New Roman" w:cs="Times New Roman"/>
          <w:sz w:val="24"/>
          <w:szCs w:val="24"/>
        </w:rPr>
        <w:t xml:space="preserve"> rozvoje území. </w:t>
      </w:r>
    </w:p>
    <w:p w:rsidR="0023522F" w:rsidRPr="000B521F" w:rsidRDefault="005D6CA1" w:rsidP="0059011D">
      <w:pPr>
        <w:tabs>
          <w:tab w:val="left" w:pos="0"/>
        </w:tabs>
        <w:autoSpaceDE w:val="0"/>
        <w:autoSpaceDN w:val="0"/>
        <w:adjustRightInd w:val="0"/>
        <w:spacing w:after="120" w:line="240" w:lineRule="auto"/>
        <w:jc w:val="both"/>
        <w:rPr>
          <w:rFonts w:ascii="Times New Roman" w:hAnsi="Times New Roman" w:cs="Times New Roman"/>
          <w:sz w:val="24"/>
          <w:szCs w:val="24"/>
        </w:rPr>
      </w:pPr>
      <w:r w:rsidRPr="000B521F">
        <w:rPr>
          <w:rFonts w:ascii="Times New Roman" w:hAnsi="Times New Roman" w:cs="Times New Roman"/>
          <w:b/>
          <w:sz w:val="24"/>
          <w:szCs w:val="24"/>
        </w:rPr>
        <w:t>Integrované strategie</w:t>
      </w:r>
      <w:r w:rsidR="007413C9" w:rsidRPr="000B521F">
        <w:rPr>
          <w:rFonts w:ascii="Times New Roman" w:hAnsi="Times New Roman" w:cs="Times New Roman"/>
          <w:sz w:val="24"/>
          <w:szCs w:val="24"/>
        </w:rPr>
        <w:t xml:space="preserve"> </w:t>
      </w:r>
      <w:r w:rsidR="0023522F" w:rsidRPr="000B521F">
        <w:rPr>
          <w:rFonts w:ascii="Times New Roman" w:hAnsi="Times New Roman" w:cs="Times New Roman"/>
          <w:sz w:val="24"/>
          <w:szCs w:val="24"/>
        </w:rPr>
        <w:t xml:space="preserve">(realizované prostřednictvím fondů ESI) </w:t>
      </w:r>
      <w:r w:rsidR="007413C9" w:rsidRPr="000B521F">
        <w:rPr>
          <w:rFonts w:ascii="Times New Roman" w:hAnsi="Times New Roman" w:cs="Times New Roman"/>
          <w:sz w:val="24"/>
          <w:szCs w:val="24"/>
        </w:rPr>
        <w:t>budou v českém kontextu představovat Integrované územní investice</w:t>
      </w:r>
      <w:r w:rsidR="0023522F" w:rsidRPr="000B521F">
        <w:rPr>
          <w:rFonts w:ascii="Times New Roman" w:hAnsi="Times New Roman" w:cs="Times New Roman"/>
          <w:sz w:val="24"/>
          <w:szCs w:val="24"/>
        </w:rPr>
        <w:t xml:space="preserve"> (ITI), </w:t>
      </w:r>
      <w:r w:rsidR="007413C9" w:rsidRPr="000B521F">
        <w:rPr>
          <w:rFonts w:ascii="Times New Roman" w:hAnsi="Times New Roman" w:cs="Times New Roman"/>
          <w:sz w:val="24"/>
          <w:szCs w:val="24"/>
        </w:rPr>
        <w:t xml:space="preserve"> tzv. Integrované plány</w:t>
      </w:r>
      <w:r w:rsidR="0023522F" w:rsidRPr="000B521F">
        <w:rPr>
          <w:rFonts w:ascii="Times New Roman" w:hAnsi="Times New Roman" w:cs="Times New Roman"/>
          <w:sz w:val="24"/>
          <w:szCs w:val="24"/>
        </w:rPr>
        <w:t xml:space="preserve"> rozvoje území (IPRÚ)</w:t>
      </w:r>
      <w:r w:rsidR="007413C9" w:rsidRPr="000B521F">
        <w:rPr>
          <w:rFonts w:ascii="Times New Roman" w:hAnsi="Times New Roman" w:cs="Times New Roman"/>
          <w:sz w:val="24"/>
          <w:szCs w:val="24"/>
        </w:rPr>
        <w:t xml:space="preserve"> </w:t>
      </w:r>
      <w:r w:rsidR="0023522F" w:rsidRPr="000B521F">
        <w:rPr>
          <w:rFonts w:ascii="Times New Roman" w:hAnsi="Times New Roman" w:cs="Times New Roman"/>
          <w:sz w:val="24"/>
          <w:szCs w:val="24"/>
        </w:rPr>
        <w:t>a</w:t>
      </w:r>
      <w:r w:rsidR="002E2C2E">
        <w:rPr>
          <w:rFonts w:ascii="Times New Roman" w:hAnsi="Times New Roman" w:cs="Times New Roman"/>
          <w:sz w:val="24"/>
          <w:szCs w:val="24"/>
        </w:rPr>
        <w:t xml:space="preserve"> integrované strategie pro</w:t>
      </w:r>
      <w:r w:rsidR="0023522F" w:rsidRPr="000B521F">
        <w:rPr>
          <w:rFonts w:ascii="Times New Roman" w:hAnsi="Times New Roman" w:cs="Times New Roman"/>
          <w:sz w:val="24"/>
          <w:szCs w:val="24"/>
        </w:rPr>
        <w:t xml:space="preserve"> Komunitně vedené strategie místního rozvoje (SMR). </w:t>
      </w:r>
    </w:p>
    <w:p w:rsidR="007413C9" w:rsidRPr="000B521F" w:rsidRDefault="002E2C2E" w:rsidP="0059011D">
      <w:pPr>
        <w:tabs>
          <w:tab w:val="left" w:pos="0"/>
        </w:tabs>
        <w:autoSpaceDE w:val="0"/>
        <w:autoSpaceDN w:val="0"/>
        <w:adjustRightInd w:val="0"/>
        <w:spacing w:after="120" w:line="240" w:lineRule="auto"/>
        <w:jc w:val="both"/>
        <w:rPr>
          <w:rFonts w:ascii="Times New Roman" w:hAnsi="Times New Roman" w:cs="Times New Roman"/>
          <w:sz w:val="24"/>
          <w:szCs w:val="24"/>
        </w:rPr>
      </w:pPr>
      <w:r w:rsidRPr="002E2C2E">
        <w:rPr>
          <w:rFonts w:ascii="Times New Roman" w:hAnsi="Times New Roman" w:cs="Times New Roman"/>
          <w:sz w:val="24"/>
          <w:szCs w:val="24"/>
        </w:rPr>
        <w:t>ITI budou po schválení zmíněných strategií součástí územní dimenze; ŘO podepíší s příslušnými zpracovateli, resp. nositeli strategií smlouvu o její realizaci.</w:t>
      </w:r>
      <w:r w:rsidR="007413C9" w:rsidRPr="000B521F">
        <w:rPr>
          <w:rFonts w:ascii="Times New Roman" w:hAnsi="Times New Roman" w:cs="Times New Roman"/>
          <w:sz w:val="24"/>
          <w:szCs w:val="24"/>
        </w:rPr>
        <w:t>o její realizaci.</w:t>
      </w:r>
    </w:p>
    <w:p w:rsidR="00044769" w:rsidRPr="000B521F" w:rsidRDefault="00044769" w:rsidP="0059011D">
      <w:pPr>
        <w:tabs>
          <w:tab w:val="left" w:pos="0"/>
        </w:tabs>
        <w:autoSpaceDE w:val="0"/>
        <w:autoSpaceDN w:val="0"/>
        <w:adjustRightInd w:val="0"/>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Projekty předkládané v rámci Integrovaných strategií do specifických výzev programů ESIF musí respektovat podmínky stanovené příslušným programem a plnit stanovené závazné ukazatele včetně zajištění monitoringu a vyhodnocení. </w:t>
      </w:r>
    </w:p>
    <w:p w:rsidR="007413C9" w:rsidRPr="000B521F" w:rsidRDefault="007413C9" w:rsidP="0059011D">
      <w:pPr>
        <w:pStyle w:val="Odstavecseseznamem"/>
        <w:spacing w:before="120" w:after="120" w:line="240" w:lineRule="auto"/>
        <w:ind w:left="0"/>
        <w:jc w:val="both"/>
        <w:rPr>
          <w:rFonts w:ascii="Times New Roman" w:hAnsi="Times New Roman" w:cs="Times New Roman"/>
          <w:sz w:val="24"/>
          <w:szCs w:val="24"/>
        </w:rPr>
      </w:pPr>
      <w:r w:rsidRPr="000B521F">
        <w:rPr>
          <w:rFonts w:ascii="Times New Roman" w:hAnsi="Times New Roman" w:cs="Times New Roman"/>
          <w:sz w:val="24"/>
          <w:szCs w:val="24"/>
        </w:rPr>
        <w:t>Využití integrovaných přístupů je metodicky popsáno v materiálu „Metodický pokyn pro uplatnění integrovaných přístupů v programech ESIF 2014</w:t>
      </w:r>
      <w:r w:rsidR="00A95E6F">
        <w:rPr>
          <w:rFonts w:ascii="Times New Roman" w:hAnsi="Times New Roman" w:cs="Times New Roman"/>
          <w:color w:val="000000"/>
          <w:sz w:val="24"/>
          <w:szCs w:val="24"/>
        </w:rPr>
        <w:t>–</w:t>
      </w:r>
      <w:r w:rsidRPr="000B521F">
        <w:rPr>
          <w:rFonts w:ascii="Times New Roman" w:hAnsi="Times New Roman" w:cs="Times New Roman"/>
          <w:sz w:val="24"/>
          <w:szCs w:val="24"/>
        </w:rPr>
        <w:t>2020“, kde jsou zakotveny zejména základní principy pro naplňování územního rozměru intervencí, popis jednotlivých integrovaných nástrojů (jejich tvorby, implementace a hodnocení, nastavení spolupráce a postupů vedoucích k uplatnění integrovaného přístupu,) a rolí a odpovědností zapojených aktérů.  Metodický pokyn k jejich přípravě obsahuje mj. i základní ustanovení, jež umožní nastavit a řídit program tak, aby kromě naplňování stanovených cílů umožňoval flexibilní propojení mezi projekty realizovanými v jeho rámci či v jiných programech.</w:t>
      </w:r>
    </w:p>
    <w:p w:rsidR="00044769" w:rsidRPr="000B521F" w:rsidRDefault="00044769" w:rsidP="0059011D">
      <w:pPr>
        <w:tabs>
          <w:tab w:val="left" w:pos="0"/>
        </w:tabs>
        <w:autoSpaceDE w:val="0"/>
        <w:autoSpaceDN w:val="0"/>
        <w:adjustRightInd w:val="0"/>
        <w:spacing w:after="120" w:line="240" w:lineRule="auto"/>
        <w:jc w:val="both"/>
        <w:rPr>
          <w:rFonts w:ascii="Times New Roman" w:hAnsi="Times New Roman" w:cs="Times New Roman"/>
          <w:sz w:val="24"/>
          <w:szCs w:val="24"/>
        </w:rPr>
      </w:pPr>
      <w:r w:rsidRPr="00EA4221">
        <w:rPr>
          <w:rFonts w:ascii="Times New Roman" w:hAnsi="Times New Roman" w:cs="Times New Roman"/>
          <w:sz w:val="24"/>
          <w:szCs w:val="24"/>
        </w:rPr>
        <w:t>Pro zajištění propojenosti mezi řídícími orgány, integrovanými strategiemi v území a za účelem efektivní implementace územní dimenze bude zřízena</w:t>
      </w:r>
      <w:r w:rsidRPr="000B521F">
        <w:rPr>
          <w:rFonts w:ascii="Times New Roman" w:hAnsi="Times New Roman" w:cs="Times New Roman"/>
          <w:sz w:val="24"/>
          <w:szCs w:val="24"/>
        </w:rPr>
        <w:t xml:space="preserve"> tzv. „</w:t>
      </w:r>
      <w:r w:rsidRPr="000B521F">
        <w:rPr>
          <w:rFonts w:ascii="Times New Roman" w:hAnsi="Times New Roman" w:cs="Times New Roman"/>
          <w:b/>
          <w:sz w:val="24"/>
          <w:szCs w:val="24"/>
        </w:rPr>
        <w:t>Stálá konference</w:t>
      </w:r>
      <w:r w:rsidRPr="000B521F">
        <w:rPr>
          <w:rFonts w:ascii="Times New Roman" w:hAnsi="Times New Roman" w:cs="Times New Roman"/>
          <w:sz w:val="24"/>
          <w:szCs w:val="24"/>
        </w:rPr>
        <w:t>“, a to na národní a na regionální úrovni:</w:t>
      </w:r>
    </w:p>
    <w:p w:rsidR="00044769" w:rsidRPr="000B521F" w:rsidRDefault="00044769" w:rsidP="0059011D">
      <w:pPr>
        <w:numPr>
          <w:ilvl w:val="0"/>
          <w:numId w:val="142"/>
        </w:numPr>
        <w:tabs>
          <w:tab w:val="left" w:pos="0"/>
        </w:tabs>
        <w:autoSpaceDE w:val="0"/>
        <w:autoSpaceDN w:val="0"/>
        <w:adjustRightInd w:val="0"/>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Na </w:t>
      </w:r>
      <w:r w:rsidRPr="000B521F">
        <w:rPr>
          <w:rFonts w:ascii="Times New Roman" w:hAnsi="Times New Roman" w:cs="Times New Roman"/>
          <w:b/>
          <w:sz w:val="24"/>
          <w:szCs w:val="24"/>
        </w:rPr>
        <w:t>národní úrovni</w:t>
      </w:r>
      <w:r w:rsidRPr="000B521F">
        <w:rPr>
          <w:rFonts w:ascii="Times New Roman" w:hAnsi="Times New Roman" w:cs="Times New Roman"/>
          <w:sz w:val="24"/>
          <w:szCs w:val="24"/>
        </w:rPr>
        <w:t xml:space="preserve"> bude Stálá konference odrážet potřeby slaďování především mezi řídícími orgány prostřednictvím k tomu zřízených platforem a mezi řídícími orgány a regionálními partnery prostřednictvím zastoupení tzv. regionálních stálých konferencí.</w:t>
      </w:r>
    </w:p>
    <w:p w:rsidR="00044769" w:rsidRPr="000B521F" w:rsidRDefault="00044769" w:rsidP="0059011D">
      <w:pPr>
        <w:numPr>
          <w:ilvl w:val="0"/>
          <w:numId w:val="142"/>
        </w:numPr>
        <w:tabs>
          <w:tab w:val="left" w:pos="0"/>
        </w:tabs>
        <w:autoSpaceDE w:val="0"/>
        <w:autoSpaceDN w:val="0"/>
        <w:adjustRightInd w:val="0"/>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Na </w:t>
      </w:r>
      <w:r w:rsidRPr="000B521F">
        <w:rPr>
          <w:rFonts w:ascii="Times New Roman" w:hAnsi="Times New Roman" w:cs="Times New Roman"/>
          <w:b/>
          <w:sz w:val="24"/>
          <w:szCs w:val="24"/>
        </w:rPr>
        <w:t>regionální úrovni</w:t>
      </w:r>
      <w:r w:rsidRPr="000B521F">
        <w:rPr>
          <w:rFonts w:ascii="Times New Roman" w:hAnsi="Times New Roman" w:cs="Times New Roman"/>
          <w:sz w:val="24"/>
          <w:szCs w:val="24"/>
        </w:rPr>
        <w:t xml:space="preserve"> bude sloužit ke slaďování investičních záměrů na území krajů a bude dávat doporučení k zaměření a slaďování výzev pro individuální projekty a integrované nástroje v rámci územní dimenze.</w:t>
      </w:r>
    </w:p>
    <w:p w:rsidR="00B161DC" w:rsidRPr="000B521F" w:rsidRDefault="00B161DC" w:rsidP="0059011D">
      <w:pPr>
        <w:tabs>
          <w:tab w:val="left" w:pos="0"/>
        </w:tabs>
        <w:autoSpaceDE w:val="0"/>
        <w:autoSpaceDN w:val="0"/>
        <w:adjustRightInd w:val="0"/>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Implementace integrovaných přístupů bude koordinována zejména prostřednictvím vypisování </w:t>
      </w:r>
      <w:r w:rsidR="002E2C2E">
        <w:rPr>
          <w:rFonts w:ascii="Times New Roman" w:hAnsi="Times New Roman" w:cs="Times New Roman"/>
          <w:sz w:val="24"/>
          <w:szCs w:val="24"/>
        </w:rPr>
        <w:t xml:space="preserve">specifických </w:t>
      </w:r>
      <w:r w:rsidRPr="000B521F">
        <w:rPr>
          <w:rFonts w:ascii="Times New Roman" w:hAnsi="Times New Roman" w:cs="Times New Roman"/>
          <w:sz w:val="24"/>
          <w:szCs w:val="24"/>
        </w:rPr>
        <w:t xml:space="preserve">výzev podle vzájemné dohody centrálního koordinátora, relevantních řídicích orgánů a partnerů v území, jež umožní relevantním nositelům záměrů integrovaných strategií/projektů vhodně načasovat přípravu a realizaci projektů. </w:t>
      </w:r>
    </w:p>
    <w:p w:rsidR="007413C9" w:rsidRPr="000B521F" w:rsidRDefault="007413C9" w:rsidP="0059011D">
      <w:pPr>
        <w:tabs>
          <w:tab w:val="left" w:pos="0"/>
        </w:tabs>
        <w:autoSpaceDE w:val="0"/>
        <w:autoSpaceDN w:val="0"/>
        <w:adjustRightInd w:val="0"/>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Pro nastavení integrovaných přístupů se vycházelo rovněž ze zkušeností programového období 2007–2013, které jsou obsahem průběžných hodnocení Strategie regionálního rozvoje ČR 2007</w:t>
      </w:r>
      <w:r w:rsidR="00A95E6F">
        <w:rPr>
          <w:rFonts w:ascii="Times New Roman" w:hAnsi="Times New Roman" w:cs="Times New Roman"/>
          <w:color w:val="000000"/>
          <w:sz w:val="24"/>
          <w:szCs w:val="24"/>
        </w:rPr>
        <w:t>–</w:t>
      </w:r>
      <w:r w:rsidRPr="000B521F">
        <w:rPr>
          <w:rFonts w:ascii="Times New Roman" w:hAnsi="Times New Roman" w:cs="Times New Roman"/>
          <w:sz w:val="24"/>
          <w:szCs w:val="24"/>
        </w:rPr>
        <w:t xml:space="preserve">2013 i Střednědobého hodnocení NSRR. K naplňování integrovaného přístupu k územnímu rozvoji docházelo v současném programovém období zejména prostřednictvím realizace tzv. </w:t>
      </w:r>
      <w:r w:rsidR="00842329" w:rsidRPr="00842329">
        <w:rPr>
          <w:rFonts w:ascii="Times New Roman" w:hAnsi="Times New Roman" w:cs="Times New Roman"/>
          <w:b/>
          <w:sz w:val="24"/>
          <w:szCs w:val="24"/>
        </w:rPr>
        <w:t>„Integrovaných plánů rozvoje měst</w:t>
      </w:r>
      <w:r w:rsidR="00F22FF7">
        <w:rPr>
          <w:rFonts w:ascii="Times New Roman" w:hAnsi="Times New Roman" w:cs="Times New Roman"/>
          <w:b/>
          <w:sz w:val="24"/>
          <w:szCs w:val="24"/>
        </w:rPr>
        <w:t xml:space="preserve"> (IPRM)</w:t>
      </w:r>
      <w:r w:rsidR="00842329" w:rsidRPr="00842329">
        <w:rPr>
          <w:rFonts w:ascii="Times New Roman" w:hAnsi="Times New Roman" w:cs="Times New Roman"/>
          <w:b/>
          <w:sz w:val="24"/>
          <w:szCs w:val="24"/>
        </w:rPr>
        <w:t>“</w:t>
      </w:r>
      <w:r w:rsidRPr="000B521F">
        <w:rPr>
          <w:rFonts w:ascii="Times New Roman" w:hAnsi="Times New Roman" w:cs="Times New Roman"/>
          <w:sz w:val="24"/>
          <w:szCs w:val="24"/>
        </w:rPr>
        <w:t xml:space="preserve"> financovaných z regionálních operačních programů (dále jen „ROP“) a Integrovaného operačního programu (dále jen „IOP“). </w:t>
      </w:r>
    </w:p>
    <w:p w:rsidR="00F3719F" w:rsidRDefault="00216E4D">
      <w:pPr>
        <w:pStyle w:val="Odstavecseseznamem"/>
        <w:spacing w:before="120" w:line="240" w:lineRule="auto"/>
        <w:ind w:left="0"/>
        <w:jc w:val="both"/>
        <w:rPr>
          <w:rFonts w:ascii="Times New Roman" w:hAnsi="Times New Roman" w:cs="Times New Roman"/>
          <w:sz w:val="24"/>
          <w:szCs w:val="24"/>
        </w:rPr>
      </w:pPr>
      <w:r w:rsidRPr="00216E4D">
        <w:rPr>
          <w:rFonts w:ascii="Times New Roman" w:hAnsi="Times New Roman" w:cs="Times New Roman"/>
          <w:sz w:val="24"/>
          <w:szCs w:val="24"/>
        </w:rPr>
        <w:t>Dosavadní hodnocení integrovaných přístupů</w:t>
      </w:r>
      <w:r w:rsidR="00D44B6F">
        <w:rPr>
          <w:rFonts w:ascii="Times New Roman" w:hAnsi="Times New Roman" w:cs="Times New Roman"/>
          <w:sz w:val="24"/>
          <w:szCs w:val="24"/>
        </w:rPr>
        <w:t xml:space="preserve"> ukazuje, že</w:t>
      </w:r>
      <w:r w:rsidRPr="00216E4D">
        <w:rPr>
          <w:rFonts w:ascii="Times New Roman" w:hAnsi="Times New Roman" w:cs="Times New Roman"/>
          <w:sz w:val="24"/>
          <w:szCs w:val="24"/>
        </w:rPr>
        <w:t xml:space="preserve"> </w:t>
      </w:r>
      <w:r w:rsidR="00317436">
        <w:rPr>
          <w:rFonts w:ascii="Times New Roman" w:hAnsi="Times New Roman" w:cs="Times New Roman"/>
          <w:sz w:val="24"/>
          <w:szCs w:val="24"/>
        </w:rPr>
        <w:t>přispěly ke</w:t>
      </w:r>
      <w:r w:rsidRPr="00216E4D">
        <w:rPr>
          <w:rFonts w:ascii="Times New Roman" w:hAnsi="Times New Roman" w:cs="Times New Roman"/>
          <w:sz w:val="24"/>
          <w:szCs w:val="24"/>
        </w:rPr>
        <w:t xml:space="preserve"> zlepšení strategického plánování, hledání vhodných synergií, možnost</w:t>
      </w:r>
      <w:r w:rsidR="00317436">
        <w:rPr>
          <w:rFonts w:ascii="Times New Roman" w:hAnsi="Times New Roman" w:cs="Times New Roman"/>
          <w:sz w:val="24"/>
          <w:szCs w:val="24"/>
        </w:rPr>
        <w:t>i</w:t>
      </w:r>
      <w:r w:rsidRPr="00216E4D">
        <w:rPr>
          <w:rFonts w:ascii="Times New Roman" w:hAnsi="Times New Roman" w:cs="Times New Roman"/>
          <w:sz w:val="24"/>
          <w:szCs w:val="24"/>
        </w:rPr>
        <w:t xml:space="preserve"> využití větších objemových finančních rámců na řešení potřebné infrastruktury, posílení partnerství ve městech a další. Mezi negativní stránky pilotního uplatnění v ČR lze řadit především obsahové zaměření strategií pouze na problémy řešené na katastrálním území samotného města</w:t>
      </w:r>
      <w:r w:rsidR="00F22FF7">
        <w:rPr>
          <w:rFonts w:ascii="Times New Roman" w:hAnsi="Times New Roman" w:cs="Times New Roman"/>
          <w:sz w:val="24"/>
          <w:szCs w:val="24"/>
        </w:rPr>
        <w:t xml:space="preserve"> </w:t>
      </w:r>
      <w:r w:rsidRPr="00216E4D">
        <w:rPr>
          <w:rFonts w:ascii="Times New Roman" w:hAnsi="Times New Roman" w:cs="Times New Roman"/>
          <w:sz w:val="24"/>
          <w:szCs w:val="24"/>
        </w:rPr>
        <w:t xml:space="preserve"> nebo v rámci vymezené zóny, menší provázanost ROP a IOP s ostat</w:t>
      </w:r>
      <w:r w:rsidR="00F22FF7">
        <w:rPr>
          <w:rFonts w:ascii="Times New Roman" w:hAnsi="Times New Roman" w:cs="Times New Roman"/>
          <w:sz w:val="24"/>
          <w:szCs w:val="24"/>
        </w:rPr>
        <w:t>ními operačními programy. Rovněž jako negativní se ukázala</w:t>
      </w:r>
      <w:r w:rsidRPr="00216E4D">
        <w:rPr>
          <w:rFonts w:ascii="Times New Roman" w:hAnsi="Times New Roman" w:cs="Times New Roman"/>
          <w:sz w:val="24"/>
          <w:szCs w:val="24"/>
        </w:rPr>
        <w:t xml:space="preserve"> málo účinná bonifikace projektů IPRM v těchto dalších OP, vysoké nároky na administrativní zabezpečení, nejasná závaznost a malá účinnost smlouvy mezi předkladatelem IPRM a řídicím orgánem</w:t>
      </w:r>
      <w:r w:rsidR="00C85295">
        <w:rPr>
          <w:rFonts w:ascii="Times New Roman" w:hAnsi="Times New Roman" w:cs="Times New Roman"/>
          <w:sz w:val="24"/>
          <w:szCs w:val="24"/>
        </w:rPr>
        <w:t>, realizace projektů bez</w:t>
      </w:r>
      <w:r w:rsidRPr="00216E4D">
        <w:rPr>
          <w:rFonts w:ascii="Times New Roman" w:hAnsi="Times New Roman" w:cs="Times New Roman"/>
          <w:sz w:val="24"/>
          <w:szCs w:val="24"/>
        </w:rPr>
        <w:t xml:space="preserve"> </w:t>
      </w:r>
      <w:r w:rsidR="00C85295" w:rsidRPr="000B521F">
        <w:rPr>
          <w:rFonts w:ascii="Times New Roman" w:hAnsi="Times New Roman" w:cs="Times New Roman"/>
          <w:sz w:val="24"/>
          <w:szCs w:val="24"/>
        </w:rPr>
        <w:t>předem definovaných kvantifikovatelných společných cílů a vysledovatelných výsledků (což bylo způsobeno také omezením čerpání prostředků na realizaci integrovaného nástroje pouze z jedné prioritní o</w:t>
      </w:r>
      <w:r w:rsidR="00C85295">
        <w:rPr>
          <w:rFonts w:ascii="Times New Roman" w:hAnsi="Times New Roman" w:cs="Times New Roman"/>
          <w:sz w:val="24"/>
          <w:szCs w:val="24"/>
        </w:rPr>
        <w:t>sy jednoho operačního programu)</w:t>
      </w:r>
      <w:r w:rsidRPr="00216E4D">
        <w:rPr>
          <w:rFonts w:ascii="Times New Roman" w:hAnsi="Times New Roman" w:cs="Times New Roman"/>
          <w:sz w:val="24"/>
          <w:szCs w:val="24"/>
        </w:rPr>
        <w:t>.</w:t>
      </w:r>
    </w:p>
    <w:p w:rsidR="00F3719F" w:rsidRDefault="00842329">
      <w:pPr>
        <w:spacing w:before="120" w:line="240" w:lineRule="auto"/>
        <w:jc w:val="both"/>
        <w:rPr>
          <w:rFonts w:ascii="Times New Roman" w:hAnsi="Times New Roman" w:cs="Times New Roman"/>
          <w:sz w:val="24"/>
          <w:szCs w:val="24"/>
        </w:rPr>
      </w:pPr>
      <w:r w:rsidRPr="00842329">
        <w:rPr>
          <w:rFonts w:ascii="Times New Roman" w:hAnsi="Times New Roman" w:cs="Times New Roman"/>
          <w:sz w:val="24"/>
          <w:szCs w:val="24"/>
        </w:rPr>
        <w:t xml:space="preserve">Zkušenosti s využitím metody LEADER </w:t>
      </w:r>
      <w:r w:rsidR="00317436">
        <w:rPr>
          <w:rFonts w:ascii="Times New Roman" w:hAnsi="Times New Roman" w:cs="Times New Roman"/>
          <w:sz w:val="24"/>
          <w:szCs w:val="24"/>
        </w:rPr>
        <w:t>ukazují, že většina MAS v ČR</w:t>
      </w:r>
      <w:r w:rsidRPr="00842329">
        <w:rPr>
          <w:rFonts w:ascii="Times New Roman" w:hAnsi="Times New Roman" w:cs="Times New Roman"/>
          <w:sz w:val="24"/>
          <w:szCs w:val="24"/>
        </w:rPr>
        <w:t xml:space="preserve"> dokázala plnit stanovené cíle. Integrace na úrovni projektů v rámci přípravy Strategických plánů LEADER jako akčních plánů integrovaných strategií území MAS probíhala v rozsahu opatření prioritních os I. a III. Programu rozvoje venkova. V rámci Fiche (opatření Strategického plánu LEADER) mohlo být kombinováno jedno hlavní opatření navázané na jedno opatření kterékoliv z os I. a III. s rozsahem více jak 50 % aktivit projektu a až dvě vedlejší opatření navázané na jedno opatření kterékoliv z os I. a III. s rozsahem v součtu méně jak 50 % aktivit projektu. Z uvedeného popisu je zřejmé, že nelze považovat tyto strategie za integrované v pravém smyslu, neboť byly výrazně orientované na užší obsahové zaměření Programu rozvoje venkova. Rovněž management a kvalita řízení těchto MAS není u všech na stejné výši. Celkový vývoj v čase, personální změny a další faktory u některých MAS významně poznamenávají pozitivně, ale též negativně jejich celkovou kvalitu. </w:t>
      </w:r>
    </w:p>
    <w:p w:rsidR="008B68BB" w:rsidRPr="000B521F" w:rsidRDefault="008B68BB" w:rsidP="0059011D">
      <w:pPr>
        <w:pStyle w:val="Nadpis2"/>
      </w:pPr>
      <w:bookmarkStart w:id="104" w:name="_Toc350333644"/>
      <w:bookmarkStart w:id="105" w:name="_Toc374702904"/>
      <w:r w:rsidRPr="000B521F">
        <w:t>Opatření přijatá pro zajištění integrovaného přístupu při využívání fondů pro územní rozvoj specifických subregionálních oblastí podle čl.14 (2,ii) obecného nařízení</w:t>
      </w:r>
      <w:bookmarkEnd w:id="104"/>
      <w:bookmarkEnd w:id="105"/>
    </w:p>
    <w:p w:rsidR="008B68BB" w:rsidRPr="000B521F" w:rsidRDefault="008B68BB" w:rsidP="0059011D">
      <w:pPr>
        <w:pStyle w:val="Nadpis3"/>
        <w:spacing w:after="120"/>
        <w:rPr>
          <w:rFonts w:ascii="Times New Roman" w:hAnsi="Times New Roman" w:cs="Times New Roman"/>
        </w:rPr>
      </w:pPr>
      <w:bookmarkStart w:id="106" w:name="_Toc350333645"/>
      <w:bookmarkStart w:id="107" w:name="_Toc374702905"/>
      <w:r w:rsidRPr="000B521F">
        <w:rPr>
          <w:rFonts w:ascii="Times New Roman" w:hAnsi="Times New Roman" w:cs="Times New Roman"/>
        </w:rPr>
        <w:t>Komunitně vedený místní rozvoj (čl. 28</w:t>
      </w:r>
      <w:r w:rsidR="00A95E6F">
        <w:rPr>
          <w:rFonts w:ascii="Times New Roman" w:hAnsi="Times New Roman" w:cs="Times New Roman"/>
        </w:rPr>
        <w:t>–</w:t>
      </w:r>
      <w:r w:rsidRPr="000B521F">
        <w:rPr>
          <w:rFonts w:ascii="Times New Roman" w:hAnsi="Times New Roman" w:cs="Times New Roman"/>
        </w:rPr>
        <w:t>31 obecného nařízení, čl. 9 EÚS a nařízení k EZFRV, ESF a EF</w:t>
      </w:r>
      <w:bookmarkEnd w:id="106"/>
      <w:r w:rsidRPr="000B521F">
        <w:rPr>
          <w:rFonts w:ascii="Times New Roman" w:hAnsi="Times New Roman" w:cs="Times New Roman"/>
        </w:rPr>
        <w:t>RR</w:t>
      </w:r>
      <w:bookmarkEnd w:id="107"/>
    </w:p>
    <w:p w:rsidR="007413C9" w:rsidRPr="000B521F" w:rsidRDefault="007413C9" w:rsidP="0059011D">
      <w:pPr>
        <w:pStyle w:val="Odstavecseseznamem"/>
        <w:spacing w:before="120" w:after="120" w:line="240" w:lineRule="auto"/>
        <w:ind w:left="0"/>
        <w:jc w:val="both"/>
        <w:rPr>
          <w:rFonts w:ascii="Times New Roman" w:hAnsi="Times New Roman" w:cs="Times New Roman"/>
          <w:sz w:val="24"/>
          <w:szCs w:val="24"/>
        </w:rPr>
      </w:pPr>
      <w:bookmarkStart w:id="108" w:name="_Toc350333646"/>
      <w:r w:rsidRPr="000B521F">
        <w:rPr>
          <w:rFonts w:ascii="Times New Roman" w:hAnsi="Times New Roman" w:cs="Times New Roman"/>
          <w:sz w:val="24"/>
          <w:szCs w:val="24"/>
        </w:rPr>
        <w:t xml:space="preserve">ČR má pozitivní zkušenosti s uplatněním komunitně vedeného místního rozvoje </w:t>
      </w:r>
      <w:r w:rsidR="00EB53D1">
        <w:rPr>
          <w:rFonts w:ascii="Times New Roman" w:hAnsi="Times New Roman" w:cs="Times New Roman"/>
          <w:sz w:val="24"/>
          <w:szCs w:val="24"/>
        </w:rPr>
        <w:t xml:space="preserve">(CLLD) </w:t>
      </w:r>
      <w:r w:rsidRPr="000B521F">
        <w:rPr>
          <w:rFonts w:ascii="Times New Roman" w:hAnsi="Times New Roman" w:cs="Times New Roman"/>
          <w:sz w:val="24"/>
          <w:szCs w:val="24"/>
        </w:rPr>
        <w:t xml:space="preserve">již od předvstupních nástrojů. S principy </w:t>
      </w:r>
      <w:r w:rsidR="00EB53D1">
        <w:rPr>
          <w:rFonts w:ascii="Times New Roman" w:hAnsi="Times New Roman" w:cs="Times New Roman"/>
          <w:sz w:val="24"/>
          <w:szCs w:val="24"/>
        </w:rPr>
        <w:t xml:space="preserve">CLLD </w:t>
      </w:r>
      <w:r w:rsidRPr="000B521F">
        <w:rPr>
          <w:rFonts w:ascii="Times New Roman" w:hAnsi="Times New Roman" w:cs="Times New Roman"/>
          <w:sz w:val="24"/>
          <w:szCs w:val="24"/>
        </w:rPr>
        <w:t>pracoval předvstupní nástroj SAPARD, národní program LEADER ČR 2004-2008, byly uplatněny v OP Zemědělství</w:t>
      </w:r>
      <w:r w:rsidR="00A95E6F">
        <w:rPr>
          <w:rFonts w:ascii="Times New Roman" w:hAnsi="Times New Roman" w:cs="Times New Roman"/>
          <w:sz w:val="24"/>
          <w:szCs w:val="24"/>
        </w:rPr>
        <w:t xml:space="preserve"> (programové období 2004</w:t>
      </w:r>
      <w:r w:rsidR="00A95E6F">
        <w:rPr>
          <w:rFonts w:ascii="Times New Roman" w:hAnsi="Times New Roman" w:cs="Times New Roman"/>
          <w:color w:val="000000"/>
          <w:sz w:val="24"/>
          <w:szCs w:val="24"/>
        </w:rPr>
        <w:t>–</w:t>
      </w:r>
      <w:r w:rsidR="00074F10" w:rsidRPr="000B521F">
        <w:rPr>
          <w:rFonts w:ascii="Times New Roman" w:hAnsi="Times New Roman" w:cs="Times New Roman"/>
          <w:sz w:val="24"/>
          <w:szCs w:val="24"/>
        </w:rPr>
        <w:t>2006)</w:t>
      </w:r>
      <w:r w:rsidRPr="000B521F">
        <w:rPr>
          <w:rFonts w:ascii="Times New Roman" w:hAnsi="Times New Roman" w:cs="Times New Roman"/>
          <w:sz w:val="24"/>
          <w:szCs w:val="24"/>
        </w:rPr>
        <w:t xml:space="preserve"> i v Programu rozvoje venkova</w:t>
      </w:r>
      <w:r w:rsidR="00074F10" w:rsidRPr="000B521F">
        <w:rPr>
          <w:rFonts w:ascii="Times New Roman" w:hAnsi="Times New Roman" w:cs="Times New Roman"/>
          <w:sz w:val="24"/>
          <w:szCs w:val="24"/>
        </w:rPr>
        <w:t xml:space="preserve"> (programové období 2007</w:t>
      </w:r>
      <w:r w:rsidR="00A95E6F">
        <w:rPr>
          <w:rFonts w:ascii="Times New Roman" w:hAnsi="Times New Roman" w:cs="Times New Roman"/>
          <w:color w:val="000000"/>
          <w:sz w:val="24"/>
          <w:szCs w:val="24"/>
        </w:rPr>
        <w:t>–</w:t>
      </w:r>
      <w:r w:rsidR="00074F10" w:rsidRPr="000B521F">
        <w:rPr>
          <w:rFonts w:ascii="Times New Roman" w:hAnsi="Times New Roman" w:cs="Times New Roman"/>
          <w:sz w:val="24"/>
          <w:szCs w:val="24"/>
        </w:rPr>
        <w:t>2013)</w:t>
      </w:r>
      <w:r w:rsidRPr="000B521F">
        <w:rPr>
          <w:rFonts w:ascii="Times New Roman" w:hAnsi="Times New Roman" w:cs="Times New Roman"/>
          <w:sz w:val="24"/>
          <w:szCs w:val="24"/>
        </w:rPr>
        <w:t>.</w:t>
      </w:r>
    </w:p>
    <w:p w:rsidR="007413C9" w:rsidRPr="000B521F" w:rsidRDefault="00EB53D1" w:rsidP="0059011D">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CLLD</w:t>
      </w:r>
      <w:r w:rsidR="007413C9" w:rsidRPr="000B521F">
        <w:rPr>
          <w:rFonts w:ascii="Times New Roman" w:hAnsi="Times New Roman" w:cs="Times New Roman"/>
          <w:sz w:val="24"/>
          <w:szCs w:val="24"/>
        </w:rPr>
        <w:t xml:space="preserve">, resp. metoda LEADER přispívá v ČR k lepšímu zacílení podpory na místní potřeby daného venkovského území a rozvoji spolupráce aktérů na místní úrovni. </w:t>
      </w:r>
      <w:r w:rsidR="00074F10" w:rsidRPr="000B521F">
        <w:rPr>
          <w:rFonts w:ascii="Times New Roman" w:hAnsi="Times New Roman" w:cs="Times New Roman"/>
          <w:sz w:val="24"/>
          <w:szCs w:val="24"/>
        </w:rPr>
        <w:t>Prostřednictvím</w:t>
      </w:r>
      <w:r w:rsidR="007413C9" w:rsidRPr="000B521F">
        <w:rPr>
          <w:rFonts w:ascii="Times New Roman" w:hAnsi="Times New Roman" w:cs="Times New Roman"/>
          <w:sz w:val="24"/>
          <w:szCs w:val="24"/>
        </w:rPr>
        <w:t xml:space="preserve"> </w:t>
      </w:r>
      <w:r w:rsidR="00041452">
        <w:rPr>
          <w:rFonts w:ascii="Times New Roman" w:hAnsi="Times New Roman" w:cs="Times New Roman"/>
          <w:sz w:val="24"/>
          <w:szCs w:val="24"/>
        </w:rPr>
        <w:t>Integrované strategie rozvoje území</w:t>
      </w:r>
      <w:r w:rsidR="00041452" w:rsidRPr="00EA6990">
        <w:rPr>
          <w:rFonts w:ascii="Times New Roman" w:hAnsi="Times New Roman" w:cs="Times New Roman"/>
          <w:sz w:val="24"/>
          <w:szCs w:val="24"/>
        </w:rPr>
        <w:t xml:space="preserve"> </w:t>
      </w:r>
      <w:r w:rsidR="00041452">
        <w:rPr>
          <w:rFonts w:ascii="Times New Roman" w:hAnsi="Times New Roman" w:cs="Times New Roman"/>
          <w:sz w:val="24"/>
          <w:szCs w:val="24"/>
        </w:rPr>
        <w:t>(ISRÚ)</w:t>
      </w:r>
      <w:r w:rsidR="007413C9" w:rsidRPr="000B521F">
        <w:rPr>
          <w:rFonts w:ascii="Times New Roman" w:hAnsi="Times New Roman" w:cs="Times New Roman"/>
          <w:sz w:val="24"/>
          <w:szCs w:val="24"/>
        </w:rPr>
        <w:t xml:space="preserve"> budou jednotlivé projekty vykazovat přidanou hodnotu spočívající především ve vzájemné provázanosti, synergii a předcházení duplicitám oproti izolovaně připraveným </w:t>
      </w:r>
      <w:r w:rsidR="00074F10" w:rsidRPr="000B521F">
        <w:rPr>
          <w:rFonts w:ascii="Times New Roman" w:hAnsi="Times New Roman" w:cs="Times New Roman"/>
          <w:sz w:val="24"/>
          <w:szCs w:val="24"/>
        </w:rPr>
        <w:t xml:space="preserve">individuálním </w:t>
      </w:r>
      <w:r w:rsidR="007413C9" w:rsidRPr="000B521F">
        <w:rPr>
          <w:rFonts w:ascii="Times New Roman" w:hAnsi="Times New Roman" w:cs="Times New Roman"/>
          <w:sz w:val="24"/>
          <w:szCs w:val="24"/>
        </w:rPr>
        <w:t>projektům</w:t>
      </w:r>
      <w:r w:rsidR="00074F10" w:rsidRPr="000B521F">
        <w:rPr>
          <w:rFonts w:ascii="Times New Roman" w:hAnsi="Times New Roman" w:cs="Times New Roman"/>
          <w:sz w:val="24"/>
          <w:szCs w:val="24"/>
        </w:rPr>
        <w:t>.</w:t>
      </w:r>
      <w:r w:rsidR="007413C9" w:rsidRPr="000B521F">
        <w:rPr>
          <w:rFonts w:ascii="Times New Roman" w:hAnsi="Times New Roman" w:cs="Times New Roman"/>
          <w:sz w:val="24"/>
          <w:szCs w:val="24"/>
        </w:rPr>
        <w:t xml:space="preserve"> </w:t>
      </w:r>
      <w:r w:rsidR="00074F10" w:rsidRPr="000B521F">
        <w:rPr>
          <w:rFonts w:ascii="Times New Roman" w:hAnsi="Times New Roman" w:cs="Times New Roman"/>
          <w:sz w:val="24"/>
          <w:szCs w:val="24"/>
        </w:rPr>
        <w:t>Hlubší znalost místních problémů, dovednost zacílení na specifické problémy v místě působnosti MAS jsou výhody implementace projektů formou komunitně vedeného místního rozvoje, který posiluje principy spolupráce, motivace a důvěry.</w:t>
      </w:r>
    </w:p>
    <w:p w:rsidR="007B446A" w:rsidRPr="000B521F" w:rsidRDefault="007413C9" w:rsidP="0059011D">
      <w:pPr>
        <w:tabs>
          <w:tab w:val="left" w:pos="567"/>
        </w:tabs>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Koordinační role místních akčních skupin (MAS) při realizaci intervencí ve prospěch rozvoje venkova vychází z detailní znalosti místních podmínek a široké spolupráce s místními aktéry. Spolupráce mezi jednotlivými MAS navzájem pak přispívá k přenosu zkušeností a příkladů dobré praxe a vytváření integrovaných projektů s širokým dopadem. Je vhodné posílit správně vedenou koordinační činnost v místě působení MAS. </w:t>
      </w:r>
      <w:r w:rsidR="007B446A" w:rsidRPr="000B521F">
        <w:rPr>
          <w:rFonts w:ascii="Times New Roman" w:hAnsi="Times New Roman" w:cs="Times New Roman"/>
          <w:sz w:val="24"/>
          <w:szCs w:val="24"/>
        </w:rPr>
        <w:t>Na základě zkušeností nab</w:t>
      </w:r>
      <w:r w:rsidR="00A95E6F">
        <w:rPr>
          <w:rFonts w:ascii="Times New Roman" w:hAnsi="Times New Roman" w:cs="Times New Roman"/>
          <w:sz w:val="24"/>
          <w:szCs w:val="24"/>
        </w:rPr>
        <w:t>ytých v programovém období 2007</w:t>
      </w:r>
      <w:r w:rsidR="00A95E6F">
        <w:rPr>
          <w:rFonts w:ascii="Times New Roman" w:hAnsi="Times New Roman" w:cs="Times New Roman"/>
          <w:color w:val="000000"/>
          <w:sz w:val="24"/>
          <w:szCs w:val="24"/>
        </w:rPr>
        <w:t>–</w:t>
      </w:r>
      <w:r w:rsidR="007B446A" w:rsidRPr="000B521F">
        <w:rPr>
          <w:rFonts w:ascii="Times New Roman" w:hAnsi="Times New Roman" w:cs="Times New Roman"/>
          <w:sz w:val="24"/>
          <w:szCs w:val="24"/>
        </w:rPr>
        <w:t>2013 bude hledána optimální role pro MAS případně NS MAS v oblasti vytváření sítí národní a mezinárodní spolupráce v rámci využívání metody LEADER.</w:t>
      </w:r>
    </w:p>
    <w:p w:rsidR="007B446A" w:rsidRPr="000B521F" w:rsidRDefault="00EB53D1" w:rsidP="0059011D">
      <w:pPr>
        <w:tabs>
          <w:tab w:val="left" w:pos="567"/>
        </w:tabs>
        <w:spacing w:after="120" w:line="240" w:lineRule="auto"/>
        <w:jc w:val="both"/>
        <w:rPr>
          <w:rFonts w:ascii="Times New Roman" w:hAnsi="Times New Roman" w:cs="Times New Roman"/>
          <w:sz w:val="24"/>
          <w:szCs w:val="24"/>
        </w:rPr>
      </w:pPr>
      <w:r>
        <w:rPr>
          <w:rFonts w:ascii="Times New Roman" w:hAnsi="Times New Roman" w:cs="Times New Roman"/>
          <w:sz w:val="24"/>
          <w:szCs w:val="24"/>
        </w:rPr>
        <w:t>CLLD</w:t>
      </w:r>
      <w:r w:rsidR="007413C9" w:rsidRPr="000B521F">
        <w:rPr>
          <w:rFonts w:ascii="Times New Roman" w:hAnsi="Times New Roman" w:cs="Times New Roman"/>
          <w:sz w:val="24"/>
          <w:szCs w:val="24"/>
        </w:rPr>
        <w:t xml:space="preserve"> </w:t>
      </w:r>
      <w:r w:rsidR="00074F10" w:rsidRPr="000B521F">
        <w:rPr>
          <w:rFonts w:ascii="Times New Roman" w:hAnsi="Times New Roman" w:cs="Times New Roman"/>
          <w:sz w:val="24"/>
          <w:szCs w:val="24"/>
        </w:rPr>
        <w:t xml:space="preserve">bude </w:t>
      </w:r>
      <w:r w:rsidR="007413C9" w:rsidRPr="000B521F">
        <w:rPr>
          <w:rFonts w:ascii="Times New Roman" w:hAnsi="Times New Roman" w:cs="Times New Roman"/>
          <w:sz w:val="24"/>
          <w:szCs w:val="24"/>
        </w:rPr>
        <w:t>realizován nejen prostřednictvím Společné zemědělské politiky, ale i prostřednictvím dalších operačních programů v rámci EFRR a ESF. Integrovaného nástroje CLLD bude mimo Program rozvoje venkova využito také v</w:t>
      </w:r>
      <w:r w:rsidR="007B446A" w:rsidRPr="000B521F">
        <w:rPr>
          <w:rFonts w:ascii="Times New Roman" w:hAnsi="Times New Roman" w:cs="Times New Roman"/>
          <w:sz w:val="24"/>
          <w:szCs w:val="24"/>
        </w:rPr>
        <w:t>:</w:t>
      </w:r>
    </w:p>
    <w:p w:rsidR="007413C9" w:rsidRPr="000B521F" w:rsidRDefault="007B446A" w:rsidP="0059011D">
      <w:pPr>
        <w:tabs>
          <w:tab w:val="left" w:pos="567"/>
        </w:tabs>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sz w:val="24"/>
          <w:szCs w:val="24"/>
        </w:rPr>
        <w:t xml:space="preserve">OP </w:t>
      </w:r>
      <w:r w:rsidR="007413C9" w:rsidRPr="000B521F">
        <w:rPr>
          <w:rFonts w:ascii="Times New Roman" w:hAnsi="Times New Roman" w:cs="Times New Roman"/>
          <w:sz w:val="24"/>
          <w:szCs w:val="24"/>
        </w:rPr>
        <w:t xml:space="preserve"> Zaměstnanost, </w:t>
      </w:r>
      <w:r w:rsidRPr="000B521F">
        <w:rPr>
          <w:rFonts w:ascii="Times New Roman" w:hAnsi="Times New Roman" w:cs="Times New Roman"/>
          <w:sz w:val="24"/>
          <w:szCs w:val="24"/>
        </w:rPr>
        <w:t>OP</w:t>
      </w:r>
      <w:r w:rsidR="007413C9" w:rsidRPr="000B521F">
        <w:rPr>
          <w:rFonts w:ascii="Times New Roman" w:hAnsi="Times New Roman" w:cs="Times New Roman"/>
          <w:sz w:val="24"/>
          <w:szCs w:val="24"/>
        </w:rPr>
        <w:t xml:space="preserve"> </w:t>
      </w:r>
      <w:r w:rsidRPr="000B521F">
        <w:rPr>
          <w:rFonts w:ascii="Times New Roman" w:hAnsi="Times New Roman" w:cs="Times New Roman"/>
          <w:sz w:val="24"/>
          <w:szCs w:val="24"/>
        </w:rPr>
        <w:t>V</w:t>
      </w:r>
      <w:r w:rsidR="007413C9" w:rsidRPr="000B521F">
        <w:rPr>
          <w:rFonts w:ascii="Times New Roman" w:hAnsi="Times New Roman" w:cs="Times New Roman"/>
          <w:sz w:val="24"/>
          <w:szCs w:val="24"/>
        </w:rPr>
        <w:t>ýzkum</w:t>
      </w:r>
      <w:r w:rsidRPr="000B521F">
        <w:rPr>
          <w:rFonts w:ascii="Times New Roman" w:hAnsi="Times New Roman" w:cs="Times New Roman"/>
          <w:sz w:val="24"/>
          <w:szCs w:val="24"/>
        </w:rPr>
        <w:t>, vývoj</w:t>
      </w:r>
      <w:r w:rsidR="007413C9" w:rsidRPr="000B521F">
        <w:rPr>
          <w:rFonts w:ascii="Times New Roman" w:hAnsi="Times New Roman" w:cs="Times New Roman"/>
          <w:sz w:val="24"/>
          <w:szCs w:val="24"/>
        </w:rPr>
        <w:t xml:space="preserve"> a vzdělávání, </w:t>
      </w:r>
      <w:r w:rsidRPr="000B521F">
        <w:rPr>
          <w:rFonts w:ascii="Times New Roman" w:hAnsi="Times New Roman" w:cs="Times New Roman"/>
          <w:sz w:val="24"/>
          <w:szCs w:val="24"/>
        </w:rPr>
        <w:t xml:space="preserve">OP </w:t>
      </w:r>
      <w:r w:rsidR="007413C9" w:rsidRPr="000B521F">
        <w:rPr>
          <w:rFonts w:ascii="Times New Roman" w:hAnsi="Times New Roman" w:cs="Times New Roman"/>
          <w:sz w:val="24"/>
          <w:szCs w:val="24"/>
        </w:rPr>
        <w:t xml:space="preserve">Podnikání a inovace pro konkurenceschopnost, </w:t>
      </w:r>
      <w:r w:rsidRPr="000B521F">
        <w:rPr>
          <w:rFonts w:ascii="Times New Roman" w:hAnsi="Times New Roman" w:cs="Times New Roman"/>
          <w:sz w:val="24"/>
          <w:szCs w:val="24"/>
        </w:rPr>
        <w:t xml:space="preserve">OP </w:t>
      </w:r>
      <w:r w:rsidR="007413C9" w:rsidRPr="000B521F">
        <w:rPr>
          <w:rFonts w:ascii="Times New Roman" w:hAnsi="Times New Roman" w:cs="Times New Roman"/>
          <w:sz w:val="24"/>
          <w:szCs w:val="24"/>
        </w:rPr>
        <w:t xml:space="preserve">Životní prostředí a v Integrovaném regionálním operačním programu. Z EZFRV bude vyčleněno minimálně 5 % v Programu rozvoje venkova. Z EFRR bude pro CLLD využito </w:t>
      </w:r>
      <w:r w:rsidR="007413C9" w:rsidRPr="000B521F">
        <w:rPr>
          <w:rFonts w:ascii="Times New Roman" w:hAnsi="Times New Roman" w:cs="Times New Roman"/>
          <w:i/>
          <w:sz w:val="24"/>
          <w:szCs w:val="24"/>
        </w:rPr>
        <w:t>bude doplněno</w:t>
      </w:r>
      <w:r w:rsidR="007413C9" w:rsidRPr="000B521F">
        <w:rPr>
          <w:rFonts w:ascii="Times New Roman" w:hAnsi="Times New Roman" w:cs="Times New Roman"/>
          <w:sz w:val="24"/>
          <w:szCs w:val="24"/>
        </w:rPr>
        <w:t xml:space="preserve"> z ESF </w:t>
      </w:r>
      <w:r w:rsidR="007413C9" w:rsidRPr="000B521F">
        <w:rPr>
          <w:rFonts w:ascii="Times New Roman" w:hAnsi="Times New Roman" w:cs="Times New Roman"/>
          <w:i/>
          <w:sz w:val="24"/>
          <w:szCs w:val="24"/>
        </w:rPr>
        <w:t>bude doplněno</w:t>
      </w:r>
      <w:r w:rsidR="007413C9" w:rsidRPr="000B521F">
        <w:rPr>
          <w:rFonts w:ascii="Times New Roman" w:hAnsi="Times New Roman" w:cs="Times New Roman"/>
          <w:sz w:val="24"/>
          <w:szCs w:val="24"/>
        </w:rPr>
        <w:t xml:space="preserve">.  </w:t>
      </w:r>
    </w:p>
    <w:p w:rsidR="007413C9" w:rsidRPr="000B521F" w:rsidRDefault="007413C9" w:rsidP="0059011D">
      <w:pPr>
        <w:tabs>
          <w:tab w:val="left" w:pos="567"/>
        </w:tabs>
        <w:spacing w:after="120" w:line="240" w:lineRule="auto"/>
        <w:jc w:val="both"/>
        <w:rPr>
          <w:rFonts w:ascii="Times New Roman" w:hAnsi="Times New Roman" w:cs="Times New Roman"/>
          <w:sz w:val="24"/>
          <w:szCs w:val="24"/>
        </w:rPr>
      </w:pPr>
      <w:r w:rsidRPr="000B521F">
        <w:rPr>
          <w:rFonts w:ascii="Times New Roman" w:hAnsi="Times New Roman" w:cs="Times New Roman"/>
          <w:color w:val="000000"/>
          <w:sz w:val="24"/>
          <w:szCs w:val="24"/>
        </w:rPr>
        <w:t xml:space="preserve">Integrovaného nástroje CLLD bude využito </w:t>
      </w:r>
      <w:r w:rsidRPr="000B521F">
        <w:rPr>
          <w:rFonts w:ascii="Times New Roman" w:hAnsi="Times New Roman" w:cs="Times New Roman"/>
          <w:sz w:val="24"/>
          <w:szCs w:val="24"/>
        </w:rPr>
        <w:t xml:space="preserve">ve venkovském území, </w:t>
      </w:r>
      <w:r w:rsidR="00041452">
        <w:rPr>
          <w:rFonts w:ascii="Times New Roman" w:hAnsi="Times New Roman" w:cs="Times New Roman"/>
          <w:sz w:val="24"/>
          <w:szCs w:val="24"/>
        </w:rPr>
        <w:t>konkrétně</w:t>
      </w:r>
      <w:r w:rsidRPr="000B521F">
        <w:rPr>
          <w:rFonts w:ascii="Times New Roman" w:hAnsi="Times New Roman" w:cs="Times New Roman"/>
          <w:sz w:val="24"/>
          <w:szCs w:val="24"/>
        </w:rPr>
        <w:t xml:space="preserve"> v území MAS tvořeném správními územími obcí s méně než 25 000 obyvateli, kdy maximální velikost MAS nepřekročí hranici 100 000 obyvatel a nebude menší než 10 000 obyvatel. </w:t>
      </w:r>
    </w:p>
    <w:p w:rsidR="007B446A" w:rsidRPr="000B521F" w:rsidRDefault="007B446A" w:rsidP="0059011D">
      <w:pPr>
        <w:tabs>
          <w:tab w:val="left" w:pos="567"/>
        </w:tabs>
        <w:spacing w:after="120" w:line="240" w:lineRule="auto"/>
        <w:jc w:val="both"/>
        <w:rPr>
          <w:rFonts w:ascii="Times New Roman" w:hAnsi="Times New Roman" w:cs="Times New Roman"/>
          <w:sz w:val="24"/>
          <w:szCs w:val="24"/>
        </w:rPr>
      </w:pPr>
      <w:r w:rsidRPr="000B521F">
        <w:rPr>
          <w:rFonts w:ascii="Times New Roman" w:hAnsi="Times New Roman" w:cs="Times New Roman"/>
          <w:color w:val="000000"/>
          <w:sz w:val="24"/>
          <w:szCs w:val="24"/>
        </w:rPr>
        <w:t>CLLD bude využito především pro naplňování tematického cíle 9 Podpora sociálního začleňování a boj proti chudobě v integraci s tematickými cíli (1) Posílení výzkumu, technologického rozvoje a inovací, (3) Zvýšení konkurenceschopnosti malých a středních podniků, (4) Podpora přechodu na nízkouhlíkové hospodářství ve všech odvětvích, 6) Ochrana životního prostředí a podpora účinného využívání zdrojů, (7) Podpora udržitelné dopravy a odstraňování překážek v klíčových síťových infrastrukturách, (8) Podpora zaměstnanosti a podpora mobility pracovních sil a (10) Investice do vzdělávání, dovedností a celoživotního učení. Cílovou skupinou jsou obyvatelé venkova, obecným cílem je zlepšení kvality života na venkově.</w:t>
      </w:r>
    </w:p>
    <w:p w:rsidR="007B446A" w:rsidRPr="000B521F" w:rsidRDefault="007B446A" w:rsidP="0059011D">
      <w:pPr>
        <w:tabs>
          <w:tab w:val="left" w:pos="567"/>
        </w:tabs>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Hlavním cílem využití CLLD je posílení územní soudržnosti venkovského území a zajištění dlouhodobého udržitelného rozvoje území s řešením vztahů mezi obcemi s periferní a stabilizovanou typologií a venkovskými rozvojovými centry.</w:t>
      </w:r>
    </w:p>
    <w:p w:rsidR="007413C9" w:rsidRPr="000B521F" w:rsidRDefault="007413C9" w:rsidP="0059011D">
      <w:pPr>
        <w:tabs>
          <w:tab w:val="left" w:pos="567"/>
        </w:tabs>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Hlavní úkoly CLLD</w:t>
      </w:r>
    </w:p>
    <w:p w:rsidR="008206A4" w:rsidRPr="000B521F" w:rsidRDefault="007413C9" w:rsidP="0059011D">
      <w:pPr>
        <w:pStyle w:val="Odstavecseseznamem"/>
        <w:numPr>
          <w:ilvl w:val="0"/>
          <w:numId w:val="108"/>
        </w:numPr>
        <w:tabs>
          <w:tab w:val="left" w:pos="567"/>
        </w:tabs>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Řešení vysoké nezaměstnanosti ve venkovských oblastech a zvýšení možnosti uplatnění uchazečů na trhu práce zvýšením počtu pracovních míst na venkově, snížení vnitřní diferenciace trhu práce v rámci místních akčních skupin mezi městem a venkovem zvýšením podílu pracovních míst na venkově</w:t>
      </w:r>
    </w:p>
    <w:p w:rsidR="008206A4" w:rsidRPr="000B521F" w:rsidRDefault="007413C9" w:rsidP="0059011D">
      <w:pPr>
        <w:pStyle w:val="Odstavecseseznamem"/>
        <w:numPr>
          <w:ilvl w:val="0"/>
          <w:numId w:val="108"/>
        </w:numPr>
        <w:tabs>
          <w:tab w:val="left" w:pos="567"/>
        </w:tabs>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Stabilizace obyvatelstva zvyšování a změnami jejich kvalifikace a zajištěním pracovních příležitostí ve venkovském prostoru</w:t>
      </w:r>
    </w:p>
    <w:p w:rsidR="008206A4" w:rsidRPr="000B521F" w:rsidRDefault="007413C9" w:rsidP="0059011D">
      <w:pPr>
        <w:pStyle w:val="Odstavecseseznamem"/>
        <w:numPr>
          <w:ilvl w:val="0"/>
          <w:numId w:val="108"/>
        </w:numPr>
        <w:tabs>
          <w:tab w:val="left" w:pos="567"/>
        </w:tabs>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Podpora podnikatelských příležitostí, podpora zakládání nových podnikatelských subjektů v součinnosti místních aktérů. Zastavení odlivu kvalifikované a mladé pracovní síly do lukrativnějšího nezemědělského podnikání mimo venkovské oblasti.</w:t>
      </w:r>
    </w:p>
    <w:p w:rsidR="008206A4" w:rsidRPr="000B521F" w:rsidRDefault="007413C9" w:rsidP="0059011D">
      <w:pPr>
        <w:pStyle w:val="Odstavecseseznamem"/>
        <w:numPr>
          <w:ilvl w:val="0"/>
          <w:numId w:val="108"/>
        </w:numPr>
        <w:tabs>
          <w:tab w:val="left" w:pos="567"/>
        </w:tabs>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Využití rozvojového potenciálu venkova (např. lidský, atraktivita prostředí, alternativní služby, schopnost obyvatel spolupracovat, obnova kultury).</w:t>
      </w:r>
    </w:p>
    <w:p w:rsidR="008206A4" w:rsidRPr="000B521F" w:rsidRDefault="007413C9" w:rsidP="0059011D">
      <w:pPr>
        <w:pStyle w:val="Odstavecseseznamem"/>
        <w:numPr>
          <w:ilvl w:val="0"/>
          <w:numId w:val="108"/>
        </w:numPr>
        <w:tabs>
          <w:tab w:val="left" w:pos="567"/>
        </w:tabs>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Zastavení procesu koncentrace škol ve velkých sídlech, koordinace spolupráce mezi základními a středními školami, síťování základních škol ve venkovském prostoru.</w:t>
      </w:r>
    </w:p>
    <w:p w:rsidR="008206A4" w:rsidRPr="000B521F" w:rsidRDefault="007413C9" w:rsidP="0059011D">
      <w:pPr>
        <w:pStyle w:val="Odstavecseseznamem"/>
        <w:numPr>
          <w:ilvl w:val="0"/>
          <w:numId w:val="108"/>
        </w:numPr>
        <w:tabs>
          <w:tab w:val="left" w:pos="567"/>
        </w:tabs>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Zvýšení funkční vybavenosti venkova, zlepšení pokrytí venkova sítí vhodných služeb (např. sociálních, zdravotních a návazných) a stabilizace základní zdravotní péče a její dostupnosti.</w:t>
      </w:r>
    </w:p>
    <w:p w:rsidR="008206A4" w:rsidRPr="000B521F" w:rsidRDefault="007413C9" w:rsidP="0059011D">
      <w:pPr>
        <w:pStyle w:val="Odstavecseseznamem"/>
        <w:numPr>
          <w:ilvl w:val="0"/>
          <w:numId w:val="108"/>
        </w:numPr>
        <w:tabs>
          <w:tab w:val="left" w:pos="567"/>
        </w:tabs>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Podpora rozvoje lokální ekonomiky ve venkovském prostoru, podpora rozvoje vzájemné spolupráce firem a dalších relevantních aktérů, podpora a rozvoj služeb v oblasti zavádění technických i netechnických inovací.</w:t>
      </w:r>
    </w:p>
    <w:p w:rsidR="008206A4" w:rsidRPr="000B521F" w:rsidRDefault="007413C9" w:rsidP="0059011D">
      <w:pPr>
        <w:pStyle w:val="Odstavecseseznamem"/>
        <w:numPr>
          <w:ilvl w:val="0"/>
          <w:numId w:val="108"/>
        </w:numPr>
        <w:tabs>
          <w:tab w:val="left" w:pos="567"/>
        </w:tabs>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Realizace pozemkových úprav a současně s tím realizovat další efekty zlepšující biodiverzitu, vodní režim v krajině, snižující erozní ohroženost půdy a zvyšující estetickou hodnotu krajiny.</w:t>
      </w:r>
    </w:p>
    <w:p w:rsidR="008206A4" w:rsidRPr="000B521F" w:rsidRDefault="007413C9" w:rsidP="0059011D">
      <w:pPr>
        <w:pStyle w:val="Odstavecseseznamem"/>
        <w:numPr>
          <w:ilvl w:val="0"/>
          <w:numId w:val="108"/>
        </w:numPr>
        <w:tabs>
          <w:tab w:val="left" w:pos="567"/>
        </w:tabs>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Snížení počtu malých zdrojů znečištění, podpora regenerace brownfieldů, zvyšování podílu znovuvyužití odpadů, recyklace a podpora náhrad prvotních zdrojů za druhotné suroviny.</w:t>
      </w:r>
    </w:p>
    <w:p w:rsidR="008206A4" w:rsidRPr="000B521F" w:rsidRDefault="009B01A8" w:rsidP="0059011D">
      <w:pPr>
        <w:pStyle w:val="Odstavecseseznamem"/>
        <w:numPr>
          <w:ilvl w:val="0"/>
          <w:numId w:val="108"/>
        </w:numPr>
        <w:tabs>
          <w:tab w:val="left" w:pos="567"/>
        </w:tabs>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Realizace projektů pro využití místních potenciálů pro úspory energie a výroby energie z OZE.</w:t>
      </w:r>
    </w:p>
    <w:p w:rsidR="008206A4" w:rsidRPr="000B521F" w:rsidRDefault="007413C9" w:rsidP="0059011D">
      <w:pPr>
        <w:pStyle w:val="Odstavecseseznamem"/>
        <w:numPr>
          <w:ilvl w:val="0"/>
          <w:numId w:val="108"/>
        </w:numPr>
        <w:tabs>
          <w:tab w:val="left" w:pos="567"/>
        </w:tabs>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Zachování a obnovení propojenosti a prostupnosti krajiny, posílení retenční schopnosti krajiny včetně ochrany před povodněmi, koordinace agroenviromentálních opatření pro zlepšení vzhledu krajiny.</w:t>
      </w:r>
    </w:p>
    <w:p w:rsidR="007413C9" w:rsidRPr="000B521F" w:rsidRDefault="00041452" w:rsidP="0059011D">
      <w:pPr>
        <w:tabs>
          <w:tab w:val="left" w:pos="567"/>
        </w:tabs>
        <w:spacing w:after="120" w:line="240" w:lineRule="auto"/>
        <w:jc w:val="both"/>
        <w:rPr>
          <w:rFonts w:ascii="Times New Roman" w:hAnsi="Times New Roman" w:cs="Times New Roman"/>
          <w:sz w:val="24"/>
          <w:szCs w:val="24"/>
        </w:rPr>
      </w:pPr>
      <w:r>
        <w:rPr>
          <w:rFonts w:ascii="Times New Roman" w:hAnsi="Times New Roman" w:cs="Times New Roman"/>
          <w:sz w:val="24"/>
          <w:szCs w:val="24"/>
        </w:rPr>
        <w:t>ISRÚ</w:t>
      </w:r>
      <w:r w:rsidR="007413C9" w:rsidRPr="000B521F">
        <w:rPr>
          <w:rFonts w:ascii="Times New Roman" w:hAnsi="Times New Roman" w:cs="Times New Roman"/>
          <w:sz w:val="24"/>
          <w:szCs w:val="24"/>
        </w:rPr>
        <w:t xml:space="preserve"> mohou kromě jiného napomoci také řešení problémů obyvatel lokalit ohrožených sociálním vyloučením, avšak primárně by se mělo jednat o strategie rozvojové, jak vyplývá z jejich názvu.</w:t>
      </w:r>
    </w:p>
    <w:p w:rsidR="007B446A" w:rsidRPr="000B521F" w:rsidRDefault="00041452" w:rsidP="0059011D">
      <w:pPr>
        <w:pStyle w:val="Odstavecseseznamem"/>
        <w:spacing w:line="240" w:lineRule="auto"/>
        <w:ind w:left="0"/>
        <w:jc w:val="both"/>
        <w:rPr>
          <w:rFonts w:ascii="Times New Roman" w:hAnsi="Times New Roman" w:cs="Times New Roman"/>
          <w:sz w:val="24"/>
          <w:szCs w:val="24"/>
        </w:rPr>
      </w:pPr>
      <w:r>
        <w:rPr>
          <w:rFonts w:ascii="Times New Roman" w:hAnsi="Times New Roman" w:cs="Times New Roman"/>
          <w:sz w:val="24"/>
          <w:szCs w:val="24"/>
        </w:rPr>
        <w:t>ISRÚ</w:t>
      </w:r>
      <w:r w:rsidR="005D6CA1" w:rsidRPr="000B521F">
        <w:rPr>
          <w:rFonts w:ascii="Times New Roman" w:hAnsi="Times New Roman" w:cs="Times New Roman"/>
          <w:sz w:val="24"/>
          <w:szCs w:val="24"/>
        </w:rPr>
        <w:t xml:space="preserve"> se skládají z následujících částí</w:t>
      </w:r>
      <w:r w:rsidR="007B446A" w:rsidRPr="000B521F">
        <w:rPr>
          <w:rFonts w:ascii="Times New Roman" w:hAnsi="Times New Roman" w:cs="Times New Roman"/>
          <w:sz w:val="24"/>
          <w:szCs w:val="24"/>
        </w:rPr>
        <w:t>:</w:t>
      </w:r>
    </w:p>
    <w:p w:rsidR="007B446A" w:rsidRPr="000B521F" w:rsidRDefault="007B446A" w:rsidP="0059011D">
      <w:pPr>
        <w:pStyle w:val="Odstavecseseznamem"/>
        <w:numPr>
          <w:ilvl w:val="0"/>
          <w:numId w:val="128"/>
        </w:numPr>
        <w:spacing w:line="240" w:lineRule="auto"/>
        <w:jc w:val="both"/>
        <w:rPr>
          <w:rFonts w:ascii="Times New Roman" w:hAnsi="Times New Roman" w:cs="Times New Roman"/>
          <w:sz w:val="24"/>
          <w:szCs w:val="24"/>
        </w:rPr>
      </w:pPr>
      <w:r w:rsidRPr="000B521F">
        <w:rPr>
          <w:rFonts w:ascii="Times New Roman" w:hAnsi="Times New Roman" w:cs="Times New Roman"/>
          <w:sz w:val="24"/>
          <w:szCs w:val="24"/>
        </w:rPr>
        <w:t>Integrovaná strategii území</w:t>
      </w:r>
      <w:r w:rsidRPr="000B521F">
        <w:rPr>
          <w:rStyle w:val="Znakapoznpodarou"/>
          <w:rFonts w:ascii="Times New Roman" w:hAnsi="Times New Roman" w:cs="Times New Roman"/>
          <w:sz w:val="24"/>
          <w:szCs w:val="24"/>
        </w:rPr>
        <w:footnoteReference w:id="87"/>
      </w:r>
      <w:r w:rsidR="00A95E6F">
        <w:rPr>
          <w:rFonts w:ascii="Times New Roman" w:hAnsi="Times New Roman" w:cs="Times New Roman"/>
          <w:sz w:val="24"/>
          <w:szCs w:val="24"/>
        </w:rPr>
        <w:t>.</w:t>
      </w:r>
    </w:p>
    <w:p w:rsidR="007B446A" w:rsidRPr="000B521F" w:rsidRDefault="007B446A" w:rsidP="0059011D">
      <w:pPr>
        <w:pStyle w:val="Odstavecseseznamem"/>
        <w:numPr>
          <w:ilvl w:val="0"/>
          <w:numId w:val="128"/>
        </w:numPr>
        <w:spacing w:line="240" w:lineRule="auto"/>
        <w:jc w:val="both"/>
        <w:rPr>
          <w:rFonts w:ascii="Times New Roman" w:hAnsi="Times New Roman" w:cs="Times New Roman"/>
          <w:sz w:val="24"/>
          <w:szCs w:val="24"/>
        </w:rPr>
      </w:pPr>
      <w:r w:rsidRPr="000B521F">
        <w:rPr>
          <w:rFonts w:ascii="Times New Roman" w:hAnsi="Times New Roman" w:cs="Times New Roman"/>
          <w:sz w:val="24"/>
          <w:szCs w:val="24"/>
        </w:rPr>
        <w:t>Integrovaný akční plán rozvoje území MAS</w:t>
      </w:r>
      <w:r w:rsidRPr="000B521F">
        <w:rPr>
          <w:rStyle w:val="Znakapoznpodarou"/>
          <w:rFonts w:ascii="Times New Roman" w:hAnsi="Times New Roman" w:cs="Times New Roman"/>
          <w:sz w:val="24"/>
          <w:szCs w:val="24"/>
        </w:rPr>
        <w:footnoteReference w:id="88"/>
      </w:r>
      <w:r w:rsidR="00A95E6F">
        <w:rPr>
          <w:rFonts w:ascii="Times New Roman" w:hAnsi="Times New Roman" w:cs="Times New Roman"/>
          <w:sz w:val="24"/>
          <w:szCs w:val="24"/>
        </w:rPr>
        <w:t>.</w:t>
      </w:r>
    </w:p>
    <w:p w:rsidR="007B446A" w:rsidRPr="000B521F" w:rsidRDefault="007B446A" w:rsidP="0059011D">
      <w:pPr>
        <w:pStyle w:val="Odstavecseseznamem"/>
        <w:numPr>
          <w:ilvl w:val="0"/>
          <w:numId w:val="128"/>
        </w:numPr>
        <w:spacing w:line="240" w:lineRule="auto"/>
        <w:jc w:val="both"/>
        <w:rPr>
          <w:rFonts w:ascii="Times New Roman" w:hAnsi="Times New Roman" w:cs="Times New Roman"/>
          <w:sz w:val="24"/>
          <w:szCs w:val="24"/>
        </w:rPr>
      </w:pPr>
      <w:r w:rsidRPr="000B521F">
        <w:rPr>
          <w:rFonts w:ascii="Times New Roman" w:hAnsi="Times New Roman" w:cs="Times New Roman"/>
          <w:sz w:val="24"/>
          <w:szCs w:val="24"/>
        </w:rPr>
        <w:t>Případně Akční plán pro vlastní zdroje</w:t>
      </w:r>
      <w:r w:rsidR="00A95E6F">
        <w:rPr>
          <w:rFonts w:ascii="Times New Roman" w:hAnsi="Times New Roman" w:cs="Times New Roman"/>
          <w:sz w:val="24"/>
          <w:szCs w:val="24"/>
        </w:rPr>
        <w:t>.</w:t>
      </w:r>
    </w:p>
    <w:p w:rsidR="007B446A" w:rsidRPr="000B521F" w:rsidRDefault="007B446A" w:rsidP="0059011D">
      <w:pPr>
        <w:spacing w:after="120" w:line="240" w:lineRule="auto"/>
        <w:jc w:val="both"/>
        <w:rPr>
          <w:rFonts w:ascii="Times New Roman" w:hAnsi="Times New Roman" w:cs="Times New Roman"/>
          <w:sz w:val="24"/>
          <w:szCs w:val="24"/>
        </w:rPr>
      </w:pPr>
      <w:bookmarkStart w:id="109" w:name="_Toc355597574"/>
      <w:r w:rsidRPr="000B521F">
        <w:rPr>
          <w:rFonts w:ascii="Times New Roman" w:hAnsi="Times New Roman" w:cs="Times New Roman"/>
          <w:sz w:val="24"/>
          <w:szCs w:val="24"/>
        </w:rPr>
        <w:t xml:space="preserve">Proces hodnocení </w:t>
      </w:r>
      <w:bookmarkEnd w:id="109"/>
      <w:r w:rsidR="00EB53D1">
        <w:rPr>
          <w:rFonts w:ascii="Times New Roman" w:hAnsi="Times New Roman" w:cs="Times New Roman"/>
          <w:sz w:val="24"/>
          <w:szCs w:val="24"/>
        </w:rPr>
        <w:t>CLLD</w:t>
      </w:r>
      <w:r w:rsidR="00A7417B" w:rsidRPr="000B521F">
        <w:rPr>
          <w:rFonts w:ascii="Times New Roman" w:hAnsi="Times New Roman" w:cs="Times New Roman"/>
          <w:sz w:val="24"/>
          <w:szCs w:val="24"/>
        </w:rPr>
        <w:t xml:space="preserve"> probíhá ve třech fázích (i) ověření kritérií přijatelnosti MAS, (ii) hodnocení kvality Integrované strategie území a (iii) výběr Integrovaných akčních plánů rozvoje území MAS</w:t>
      </w:r>
      <w:r w:rsidR="00A95E6F">
        <w:rPr>
          <w:rFonts w:ascii="Times New Roman" w:hAnsi="Times New Roman" w:cs="Times New Roman"/>
          <w:sz w:val="24"/>
          <w:szCs w:val="24"/>
        </w:rPr>
        <w:t>.</w:t>
      </w:r>
    </w:p>
    <w:p w:rsidR="007413C9" w:rsidRPr="000B521F" w:rsidRDefault="007413C9" w:rsidP="0059011D">
      <w:pPr>
        <w:tabs>
          <w:tab w:val="left" w:pos="567"/>
        </w:tabs>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Řídicí a koordinační úlohu v procesu administrativního zajištění bude mít MMR v úzké spolupráci s MZe.</w:t>
      </w:r>
    </w:p>
    <w:p w:rsidR="007413C9" w:rsidRPr="00B92FB5" w:rsidRDefault="007413C9" w:rsidP="00974846">
      <w:pPr>
        <w:tabs>
          <w:tab w:val="left" w:pos="567"/>
        </w:tabs>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MZe bude, na základě kritérií zohledňující kvalitu organizace a řízení procesů samotných MAS, vybírat okruh MAS, které splní základní kritéria přijatelnosti pro další postup a možnost zpracování komunitně vedené </w:t>
      </w:r>
      <w:r w:rsidR="00041452">
        <w:rPr>
          <w:rFonts w:ascii="Times New Roman" w:hAnsi="Times New Roman" w:cs="Times New Roman"/>
          <w:sz w:val="24"/>
          <w:szCs w:val="24"/>
        </w:rPr>
        <w:t>ISRÚ</w:t>
      </w:r>
      <w:r w:rsidRPr="000B521F">
        <w:rPr>
          <w:rFonts w:ascii="Times New Roman" w:hAnsi="Times New Roman" w:cs="Times New Roman"/>
          <w:sz w:val="24"/>
          <w:szCs w:val="24"/>
        </w:rPr>
        <w:t xml:space="preserve">. MAS </w:t>
      </w:r>
      <w:r w:rsidR="000719B4">
        <w:rPr>
          <w:rFonts w:ascii="Times New Roman" w:hAnsi="Times New Roman" w:cs="Times New Roman"/>
          <w:sz w:val="24"/>
          <w:szCs w:val="24"/>
        </w:rPr>
        <w:t>mohou</w:t>
      </w:r>
      <w:r w:rsidR="000719B4" w:rsidRPr="000B521F">
        <w:rPr>
          <w:rFonts w:ascii="Times New Roman" w:hAnsi="Times New Roman" w:cs="Times New Roman"/>
          <w:sz w:val="24"/>
          <w:szCs w:val="24"/>
        </w:rPr>
        <w:t xml:space="preserve"> </w:t>
      </w:r>
      <w:r w:rsidRPr="000B521F">
        <w:rPr>
          <w:rFonts w:ascii="Times New Roman" w:hAnsi="Times New Roman" w:cs="Times New Roman"/>
          <w:sz w:val="24"/>
          <w:szCs w:val="24"/>
        </w:rPr>
        <w:t xml:space="preserve">zpracovávat integrovanou strategii širšího zaměření financovatelnou z více ESI fondů, a mohou ji realizovat také z jiných </w:t>
      </w:r>
      <w:r w:rsidRPr="00B92FB5">
        <w:rPr>
          <w:rFonts w:ascii="Times New Roman" w:hAnsi="Times New Roman" w:cs="Times New Roman"/>
          <w:sz w:val="24"/>
          <w:szCs w:val="24"/>
        </w:rPr>
        <w:t xml:space="preserve">prostředků než pouze z evropských fondů. Tyto strategie budou posuzovány a hodnoceny </w:t>
      </w:r>
      <w:r w:rsidR="00A7417B" w:rsidRPr="00B92FB5">
        <w:rPr>
          <w:rFonts w:ascii="Times New Roman" w:hAnsi="Times New Roman" w:cs="Times New Roman"/>
          <w:sz w:val="24"/>
          <w:szCs w:val="24"/>
        </w:rPr>
        <w:t>MMR</w:t>
      </w:r>
      <w:r w:rsidRPr="00B92FB5">
        <w:rPr>
          <w:rFonts w:ascii="Times New Roman" w:hAnsi="Times New Roman" w:cs="Times New Roman"/>
          <w:sz w:val="24"/>
          <w:szCs w:val="24"/>
        </w:rPr>
        <w:t xml:space="preserve"> stejným procesem jako další strategie integrovaných nástrojů.</w:t>
      </w:r>
    </w:p>
    <w:p w:rsidR="0005034F" w:rsidRPr="00B92FB5" w:rsidRDefault="0005034F" w:rsidP="00974846">
      <w:pPr>
        <w:jc w:val="both"/>
        <w:rPr>
          <w:rFonts w:ascii="Times New Roman" w:hAnsi="Times New Roman" w:cs="Times New Roman"/>
          <w:sz w:val="24"/>
          <w:szCs w:val="24"/>
        </w:rPr>
      </w:pPr>
      <w:r w:rsidRPr="00B92FB5">
        <w:rPr>
          <w:rFonts w:ascii="Times New Roman" w:hAnsi="Times New Roman" w:cs="Times New Roman"/>
          <w:sz w:val="24"/>
          <w:szCs w:val="24"/>
        </w:rPr>
        <w:t>ČR bude realizovat ISRÚ za podpory více fondů. Zvažuje se proto stanovení některého z přispívajících fondů jako tzv. hlavního fondu v souladu s článkem 32.4 obecného nařízení.</w:t>
      </w:r>
    </w:p>
    <w:p w:rsidR="007413C9" w:rsidRPr="000B521F" w:rsidRDefault="007413C9" w:rsidP="00974846">
      <w:pPr>
        <w:tabs>
          <w:tab w:val="left" w:pos="567"/>
        </w:tabs>
        <w:spacing w:after="120" w:line="240" w:lineRule="auto"/>
        <w:jc w:val="both"/>
        <w:rPr>
          <w:rFonts w:ascii="Times New Roman" w:hAnsi="Times New Roman" w:cs="Times New Roman"/>
          <w:sz w:val="24"/>
          <w:szCs w:val="24"/>
        </w:rPr>
      </w:pPr>
      <w:r w:rsidRPr="00B92FB5">
        <w:rPr>
          <w:rFonts w:ascii="Times New Roman" w:hAnsi="Times New Roman" w:cs="Times New Roman"/>
          <w:sz w:val="24"/>
          <w:szCs w:val="24"/>
        </w:rPr>
        <w:t xml:space="preserve">I přes kvalitní nastavení systému fungování metody LEADER ještě v rámci stávajícího programového období s ohledem na fakt, že financování </w:t>
      </w:r>
      <w:r w:rsidR="00A7417B" w:rsidRPr="00B92FB5">
        <w:rPr>
          <w:rFonts w:ascii="Times New Roman" w:hAnsi="Times New Roman" w:cs="Times New Roman"/>
          <w:sz w:val="24"/>
          <w:szCs w:val="24"/>
        </w:rPr>
        <w:t>z programového období</w:t>
      </w:r>
      <w:r w:rsidR="00A7417B" w:rsidRPr="000B521F">
        <w:rPr>
          <w:rFonts w:ascii="Times New Roman" w:hAnsi="Times New Roman" w:cs="Times New Roman"/>
          <w:sz w:val="24"/>
          <w:szCs w:val="24"/>
        </w:rPr>
        <w:t xml:space="preserve"> 2007</w:t>
      </w:r>
      <w:r w:rsidR="00A95E6F">
        <w:rPr>
          <w:rFonts w:ascii="Times New Roman" w:hAnsi="Times New Roman" w:cs="Times New Roman"/>
          <w:color w:val="000000"/>
          <w:sz w:val="24"/>
          <w:szCs w:val="24"/>
        </w:rPr>
        <w:t>–</w:t>
      </w:r>
      <w:r w:rsidR="00A7417B" w:rsidRPr="000B521F">
        <w:rPr>
          <w:rFonts w:ascii="Times New Roman" w:hAnsi="Times New Roman" w:cs="Times New Roman"/>
          <w:sz w:val="24"/>
          <w:szCs w:val="24"/>
        </w:rPr>
        <w:t>2013</w:t>
      </w:r>
      <w:r w:rsidRPr="000B521F">
        <w:rPr>
          <w:rFonts w:ascii="Times New Roman" w:hAnsi="Times New Roman" w:cs="Times New Roman"/>
          <w:sz w:val="24"/>
          <w:szCs w:val="24"/>
        </w:rPr>
        <w:t xml:space="preserve"> není již dále k dispozici, </w:t>
      </w:r>
      <w:r w:rsidR="00A7417B" w:rsidRPr="000B521F">
        <w:rPr>
          <w:rFonts w:ascii="Times New Roman" w:hAnsi="Times New Roman" w:cs="Times New Roman"/>
          <w:sz w:val="24"/>
          <w:szCs w:val="24"/>
        </w:rPr>
        <w:t xml:space="preserve">zvažuje </w:t>
      </w:r>
      <w:r w:rsidRPr="000B521F">
        <w:rPr>
          <w:rFonts w:ascii="Times New Roman" w:hAnsi="Times New Roman" w:cs="Times New Roman"/>
          <w:sz w:val="24"/>
          <w:szCs w:val="24"/>
        </w:rPr>
        <w:t>ČR využit institut přípravné podpory pro podporu provozních  a animačních nákladů pro všechny MAS, které se na další plánovací období připravují.</w:t>
      </w:r>
    </w:p>
    <w:p w:rsidR="008B68BB" w:rsidRPr="000B521F" w:rsidRDefault="008B68BB" w:rsidP="0059011D">
      <w:pPr>
        <w:pStyle w:val="Nadpis3"/>
        <w:spacing w:after="120"/>
        <w:rPr>
          <w:rFonts w:ascii="Times New Roman" w:hAnsi="Times New Roman" w:cs="Times New Roman"/>
        </w:rPr>
      </w:pPr>
      <w:bookmarkStart w:id="110" w:name="_Toc374702906"/>
      <w:r w:rsidRPr="000B521F">
        <w:rPr>
          <w:rFonts w:ascii="Times New Roman" w:hAnsi="Times New Roman" w:cs="Times New Roman"/>
        </w:rPr>
        <w:t>Integrované územní investice (ITI)</w:t>
      </w:r>
      <w:bookmarkEnd w:id="108"/>
      <w:bookmarkEnd w:id="110"/>
    </w:p>
    <w:p w:rsidR="00AB5468" w:rsidRPr="000B521F" w:rsidRDefault="007413C9" w:rsidP="0059011D">
      <w:pPr>
        <w:pStyle w:val="Odstavecseseznamem"/>
        <w:spacing w:after="120" w:line="240" w:lineRule="auto"/>
        <w:ind w:left="0"/>
        <w:jc w:val="both"/>
        <w:rPr>
          <w:rFonts w:ascii="Times New Roman" w:hAnsi="Times New Roman" w:cs="Times New Roman"/>
          <w:sz w:val="24"/>
          <w:szCs w:val="24"/>
        </w:rPr>
      </w:pPr>
      <w:bookmarkStart w:id="111" w:name="_Toc350333647"/>
      <w:r w:rsidRPr="000B521F">
        <w:rPr>
          <w:rFonts w:ascii="Times New Roman" w:hAnsi="Times New Roman" w:cs="Times New Roman"/>
          <w:b/>
          <w:sz w:val="24"/>
          <w:szCs w:val="24"/>
        </w:rPr>
        <w:t>Integrovan</w:t>
      </w:r>
      <w:r w:rsidR="00B161DC" w:rsidRPr="000B521F">
        <w:rPr>
          <w:rFonts w:ascii="Times New Roman" w:hAnsi="Times New Roman" w:cs="Times New Roman"/>
          <w:b/>
          <w:sz w:val="24"/>
          <w:szCs w:val="24"/>
        </w:rPr>
        <w:t>é</w:t>
      </w:r>
      <w:r w:rsidRPr="000B521F">
        <w:rPr>
          <w:rFonts w:ascii="Times New Roman" w:hAnsi="Times New Roman" w:cs="Times New Roman"/>
          <w:b/>
          <w:sz w:val="24"/>
          <w:szCs w:val="24"/>
        </w:rPr>
        <w:t xml:space="preserve"> územní investice</w:t>
      </w:r>
      <w:r w:rsidRPr="000B521F">
        <w:rPr>
          <w:rFonts w:ascii="Times New Roman" w:hAnsi="Times New Roman" w:cs="Times New Roman"/>
          <w:sz w:val="24"/>
          <w:szCs w:val="24"/>
        </w:rPr>
        <w:t xml:space="preserve"> bud</w:t>
      </w:r>
      <w:r w:rsidR="00B161DC" w:rsidRPr="000B521F">
        <w:rPr>
          <w:rFonts w:ascii="Times New Roman" w:hAnsi="Times New Roman" w:cs="Times New Roman"/>
          <w:sz w:val="24"/>
          <w:szCs w:val="24"/>
        </w:rPr>
        <w:t>ou</w:t>
      </w:r>
      <w:r w:rsidRPr="000B521F">
        <w:rPr>
          <w:rFonts w:ascii="Times New Roman" w:hAnsi="Times New Roman" w:cs="Times New Roman"/>
          <w:sz w:val="24"/>
          <w:szCs w:val="24"/>
        </w:rPr>
        <w:t xml:space="preserve"> v České republice, v souladu s čl. 99 obecného nařízení a na základě </w:t>
      </w:r>
      <w:r w:rsidR="00AB6EAA" w:rsidRPr="000B521F">
        <w:rPr>
          <w:rFonts w:ascii="Times New Roman" w:hAnsi="Times New Roman" w:cs="Times New Roman"/>
          <w:sz w:val="24"/>
          <w:szCs w:val="24"/>
        </w:rPr>
        <w:t xml:space="preserve">jejich </w:t>
      </w:r>
      <w:r w:rsidR="00B9622C" w:rsidRPr="000B521F">
        <w:rPr>
          <w:rFonts w:ascii="Times New Roman" w:hAnsi="Times New Roman" w:cs="Times New Roman"/>
          <w:sz w:val="24"/>
          <w:szCs w:val="24"/>
        </w:rPr>
        <w:t xml:space="preserve">vymezení ve </w:t>
      </w:r>
      <w:r w:rsidRPr="000B521F">
        <w:rPr>
          <w:rFonts w:ascii="Times New Roman" w:hAnsi="Times New Roman" w:cs="Times New Roman"/>
          <w:sz w:val="24"/>
          <w:szCs w:val="24"/>
        </w:rPr>
        <w:t>SRR, využit</w:t>
      </w:r>
      <w:r w:rsidR="00AB6EAA" w:rsidRPr="000B521F">
        <w:rPr>
          <w:rFonts w:ascii="Times New Roman" w:hAnsi="Times New Roman" w:cs="Times New Roman"/>
          <w:sz w:val="24"/>
          <w:szCs w:val="24"/>
        </w:rPr>
        <w:t>y</w:t>
      </w:r>
      <w:r w:rsidRPr="000B521F">
        <w:rPr>
          <w:rFonts w:ascii="Times New Roman" w:hAnsi="Times New Roman" w:cs="Times New Roman"/>
          <w:sz w:val="24"/>
          <w:szCs w:val="24"/>
        </w:rPr>
        <w:t xml:space="preserve"> </w:t>
      </w:r>
      <w:r w:rsidRPr="000B521F">
        <w:rPr>
          <w:rFonts w:ascii="Times New Roman" w:hAnsi="Times New Roman" w:cs="Times New Roman"/>
          <w:b/>
          <w:sz w:val="24"/>
          <w:szCs w:val="24"/>
        </w:rPr>
        <w:t>v metropolitních oblastech</w:t>
      </w:r>
      <w:r w:rsidRPr="000B521F">
        <w:rPr>
          <w:rFonts w:ascii="Times New Roman" w:hAnsi="Times New Roman" w:cs="Times New Roman"/>
          <w:sz w:val="24"/>
          <w:szCs w:val="24"/>
        </w:rPr>
        <w:t xml:space="preserve">. </w:t>
      </w:r>
      <w:r w:rsidR="006F4633" w:rsidRPr="000B521F">
        <w:rPr>
          <w:rFonts w:ascii="Times New Roman" w:hAnsi="Times New Roman" w:cs="Times New Roman"/>
          <w:sz w:val="24"/>
          <w:szCs w:val="24"/>
        </w:rPr>
        <w:t xml:space="preserve">Metropolitní oblasti představují území s koncentrací nad 300 tis. obyvatel, </w:t>
      </w:r>
      <w:r w:rsidRPr="000B521F">
        <w:rPr>
          <w:rFonts w:ascii="Times New Roman" w:hAnsi="Times New Roman" w:cs="Times New Roman"/>
          <w:sz w:val="24"/>
          <w:szCs w:val="24"/>
        </w:rPr>
        <w:t xml:space="preserve"> které jsou představovány </w:t>
      </w:r>
      <w:r w:rsidRPr="000B521F">
        <w:rPr>
          <w:rFonts w:ascii="Times New Roman" w:hAnsi="Times New Roman" w:cs="Times New Roman"/>
          <w:b/>
          <w:sz w:val="24"/>
          <w:szCs w:val="24"/>
        </w:rPr>
        <w:t>největšími městy v ČR se svým funkčním zázemím</w:t>
      </w:r>
      <w:r w:rsidRPr="000B521F">
        <w:rPr>
          <w:rFonts w:ascii="Times New Roman" w:hAnsi="Times New Roman" w:cs="Times New Roman"/>
          <w:sz w:val="24"/>
          <w:szCs w:val="24"/>
        </w:rPr>
        <w:t xml:space="preserve">. </w:t>
      </w:r>
      <w:r w:rsidR="00AB5468" w:rsidRPr="000B521F">
        <w:rPr>
          <w:rFonts w:ascii="Times New Roman" w:hAnsi="Times New Roman" w:cs="Times New Roman"/>
          <w:sz w:val="24"/>
          <w:szCs w:val="24"/>
        </w:rPr>
        <w:t>Jmenovitě jde o</w:t>
      </w:r>
      <w:r w:rsidR="00820EE4" w:rsidRPr="000B521F">
        <w:rPr>
          <w:rFonts w:ascii="Times New Roman" w:hAnsi="Times New Roman" w:cs="Times New Roman"/>
          <w:sz w:val="24"/>
          <w:szCs w:val="24"/>
        </w:rPr>
        <w:t xml:space="preserve"> ITI pro</w:t>
      </w:r>
      <w:r w:rsidR="00AB5468" w:rsidRPr="000B521F">
        <w:rPr>
          <w:rFonts w:ascii="Times New Roman" w:hAnsi="Times New Roman" w:cs="Times New Roman"/>
          <w:sz w:val="24"/>
          <w:szCs w:val="24"/>
        </w:rPr>
        <w:t>:</w:t>
      </w:r>
    </w:p>
    <w:p w:rsidR="00AB5468" w:rsidRPr="000B521F" w:rsidRDefault="00AB5468" w:rsidP="00EA4221">
      <w:pPr>
        <w:numPr>
          <w:ilvl w:val="1"/>
          <w:numId w:val="127"/>
        </w:numPr>
        <w:tabs>
          <w:tab w:val="left" w:pos="0"/>
        </w:tabs>
        <w:autoSpaceDE w:val="0"/>
        <w:autoSpaceDN w:val="0"/>
        <w:adjustRightInd w:val="0"/>
        <w:spacing w:after="120" w:line="240" w:lineRule="auto"/>
        <w:ind w:left="709" w:hanging="425"/>
        <w:jc w:val="both"/>
        <w:rPr>
          <w:rFonts w:ascii="Times New Roman" w:hAnsi="Times New Roman" w:cs="Times New Roman"/>
          <w:sz w:val="24"/>
          <w:szCs w:val="24"/>
        </w:rPr>
      </w:pPr>
      <w:r w:rsidRPr="000B521F">
        <w:rPr>
          <w:rFonts w:ascii="Times New Roman" w:hAnsi="Times New Roman" w:cs="Times New Roman"/>
          <w:sz w:val="24"/>
          <w:szCs w:val="24"/>
        </w:rPr>
        <w:t>metropolitní oblasti funkčně vymezené pro hl. m. Prahu</w:t>
      </w:r>
      <w:r w:rsidR="000719B4">
        <w:rPr>
          <w:rFonts w:ascii="Times New Roman" w:hAnsi="Times New Roman" w:cs="Times New Roman"/>
          <w:sz w:val="24"/>
          <w:szCs w:val="24"/>
        </w:rPr>
        <w:t xml:space="preserve"> (a Středočeský kraj)</w:t>
      </w:r>
      <w:r w:rsidRPr="000B521F">
        <w:rPr>
          <w:rFonts w:ascii="Times New Roman" w:hAnsi="Times New Roman" w:cs="Times New Roman"/>
          <w:sz w:val="24"/>
          <w:szCs w:val="24"/>
        </w:rPr>
        <w:t xml:space="preserve">, Brno, Ostravu, Plzeň a </w:t>
      </w:r>
    </w:p>
    <w:p w:rsidR="00AB5468" w:rsidRPr="000B521F" w:rsidRDefault="00AB5468" w:rsidP="00EA4221">
      <w:pPr>
        <w:numPr>
          <w:ilvl w:val="1"/>
          <w:numId w:val="127"/>
        </w:numPr>
        <w:tabs>
          <w:tab w:val="left" w:pos="0"/>
        </w:tabs>
        <w:autoSpaceDE w:val="0"/>
        <w:autoSpaceDN w:val="0"/>
        <w:adjustRightInd w:val="0"/>
        <w:spacing w:after="120" w:line="240" w:lineRule="auto"/>
        <w:ind w:left="709" w:hanging="425"/>
        <w:jc w:val="both"/>
        <w:rPr>
          <w:rFonts w:ascii="Times New Roman" w:hAnsi="Times New Roman" w:cs="Times New Roman"/>
          <w:sz w:val="24"/>
          <w:szCs w:val="24"/>
        </w:rPr>
      </w:pPr>
      <w:r w:rsidRPr="000B521F">
        <w:rPr>
          <w:rFonts w:ascii="Times New Roman" w:hAnsi="Times New Roman" w:cs="Times New Roman"/>
          <w:sz w:val="24"/>
          <w:szCs w:val="24"/>
        </w:rPr>
        <w:t xml:space="preserve">Hradecko-pardubickou a ústecko-chomutovskou aglomeraci. </w:t>
      </w:r>
    </w:p>
    <w:p w:rsidR="008D130C" w:rsidRPr="000B521F" w:rsidRDefault="00525D6B" w:rsidP="0059011D">
      <w:pPr>
        <w:pStyle w:val="Default"/>
        <w:spacing w:after="120"/>
        <w:jc w:val="both"/>
        <w:rPr>
          <w:rFonts w:ascii="Times New Roman" w:hAnsi="Times New Roman" w:cs="Times New Roman"/>
        </w:rPr>
      </w:pPr>
      <w:r w:rsidRPr="000B521F">
        <w:rPr>
          <w:rFonts w:ascii="Times New Roman" w:hAnsi="Times New Roman" w:cs="Times New Roman"/>
        </w:rPr>
        <w:t xml:space="preserve">Realizací </w:t>
      </w:r>
      <w:r w:rsidR="008D130C" w:rsidRPr="000B521F">
        <w:rPr>
          <w:rFonts w:ascii="Times New Roman" w:hAnsi="Times New Roman" w:cs="Times New Roman"/>
        </w:rPr>
        <w:t xml:space="preserve">ITI </w:t>
      </w:r>
      <w:r w:rsidRPr="000B521F">
        <w:rPr>
          <w:rFonts w:ascii="Times New Roman" w:hAnsi="Times New Roman" w:cs="Times New Roman"/>
        </w:rPr>
        <w:t xml:space="preserve">bude </w:t>
      </w:r>
      <w:r w:rsidR="009A7FC3" w:rsidRPr="000B521F">
        <w:rPr>
          <w:rFonts w:ascii="Times New Roman" w:hAnsi="Times New Roman" w:cs="Times New Roman"/>
        </w:rPr>
        <w:t xml:space="preserve">v podmínkách ČR rovněž </w:t>
      </w:r>
      <w:r w:rsidRPr="000B521F">
        <w:rPr>
          <w:rFonts w:ascii="Times New Roman" w:hAnsi="Times New Roman" w:cs="Times New Roman"/>
        </w:rPr>
        <w:t>naplňována dimenze urbánní politiky charakterizovaná proporčním zastoupením složek ekonomické, sociální a environmentální složky, což je v souladu s</w:t>
      </w:r>
      <w:r w:rsidR="007B478A" w:rsidRPr="000B521F">
        <w:rPr>
          <w:rFonts w:ascii="Times New Roman" w:hAnsi="Times New Roman" w:cs="Times New Roman"/>
        </w:rPr>
        <w:t xml:space="preserve">  </w:t>
      </w:r>
      <w:r w:rsidR="009A7FC3" w:rsidRPr="000B521F">
        <w:rPr>
          <w:rFonts w:ascii="Times New Roman" w:hAnsi="Times New Roman" w:cs="Times New Roman"/>
        </w:rPr>
        <w:t>čl. 7.2 návrhu nařízení k EFRR pro udržitelný rozvoj měst.</w:t>
      </w:r>
      <w:r w:rsidRPr="000B521F">
        <w:rPr>
          <w:rFonts w:ascii="Times New Roman" w:hAnsi="Times New Roman" w:cs="Times New Roman"/>
        </w:rPr>
        <w:t xml:space="preserve"> </w:t>
      </w:r>
    </w:p>
    <w:p w:rsidR="007413C9" w:rsidRPr="000B521F" w:rsidRDefault="007413C9" w:rsidP="0059011D">
      <w:pPr>
        <w:pStyle w:val="Default"/>
        <w:spacing w:after="120"/>
        <w:jc w:val="both"/>
        <w:rPr>
          <w:rFonts w:ascii="Times New Roman" w:hAnsi="Times New Roman" w:cs="Times New Roman"/>
          <w:color w:val="auto"/>
          <w:lang w:eastAsia="en-US"/>
        </w:rPr>
      </w:pPr>
      <w:r w:rsidRPr="000B521F">
        <w:rPr>
          <w:rFonts w:ascii="Times New Roman" w:hAnsi="Times New Roman" w:cs="Times New Roman"/>
        </w:rPr>
        <w:t xml:space="preserve">ITI jsou realizovány na základě </w:t>
      </w:r>
      <w:r w:rsidRPr="000B521F">
        <w:rPr>
          <w:rFonts w:ascii="Times New Roman" w:hAnsi="Times New Roman" w:cs="Times New Roman"/>
          <w:b/>
        </w:rPr>
        <w:t>integrovaných územních strategií</w:t>
      </w:r>
      <w:r w:rsidRPr="000B521F">
        <w:rPr>
          <w:rFonts w:ascii="Times New Roman" w:hAnsi="Times New Roman" w:cs="Times New Roman"/>
        </w:rPr>
        <w:t xml:space="preserve">. </w:t>
      </w:r>
      <w:r w:rsidRPr="000B521F">
        <w:rPr>
          <w:rFonts w:ascii="Times New Roman" w:hAnsi="Times New Roman" w:cs="Times New Roman"/>
          <w:color w:val="auto"/>
          <w:lang w:eastAsia="en-US"/>
        </w:rPr>
        <w:t>Každá metropolitní oblast předloží ke schválení a realizaci jednu integrovanou územní strategii.</w:t>
      </w:r>
    </w:p>
    <w:p w:rsidR="007413C9" w:rsidRPr="000B521F" w:rsidRDefault="007413C9" w:rsidP="0059011D">
      <w:pPr>
        <w:pStyle w:val="Odstavecseseznamem"/>
        <w:spacing w:after="120" w:line="240" w:lineRule="auto"/>
        <w:ind w:left="0"/>
        <w:jc w:val="both"/>
        <w:rPr>
          <w:rFonts w:ascii="Times New Roman" w:hAnsi="Times New Roman" w:cs="Times New Roman"/>
          <w:color w:val="000000"/>
          <w:sz w:val="24"/>
          <w:szCs w:val="24"/>
        </w:rPr>
      </w:pPr>
      <w:r w:rsidRPr="000B521F">
        <w:rPr>
          <w:rFonts w:ascii="Times New Roman" w:hAnsi="Times New Roman" w:cs="Times New Roman"/>
          <w:sz w:val="24"/>
          <w:szCs w:val="24"/>
        </w:rPr>
        <w:t>I</w:t>
      </w:r>
      <w:r w:rsidRPr="000B521F">
        <w:rPr>
          <w:rFonts w:ascii="Times New Roman" w:hAnsi="Times New Roman" w:cs="Times New Roman"/>
          <w:color w:val="000000"/>
          <w:sz w:val="24"/>
          <w:szCs w:val="24"/>
        </w:rPr>
        <w:t>ntegrovaná územní strategie se ve své analýze a následném definování a hierarchizaci priorit soustředí na klíčové tematické okruhy rozvoje specifické pro danou metropolitní oblast v souladu s cíli a prioritami EU. Mezi nejvíce nosná témata spojující jádrová města aglomerací s jejich funkčním zázemím patří zejména doprava, trh práce a oblast veřejných služeb (především sociální, zdravotní a vzdělávací), propojení výzkumných kapacit a aplikace jejich výstupů do praxe, inovace a podnikání a oblast životní prostředí</w:t>
      </w:r>
      <w:r w:rsidR="00B161DC" w:rsidRPr="000B521F">
        <w:rPr>
          <w:rFonts w:ascii="Times New Roman" w:hAnsi="Times New Roman" w:cs="Times New Roman"/>
          <w:color w:val="000000"/>
          <w:sz w:val="24"/>
          <w:szCs w:val="24"/>
        </w:rPr>
        <w:t xml:space="preserve"> včetně technické infrastruktury</w:t>
      </w:r>
      <w:r w:rsidRPr="000B521F">
        <w:rPr>
          <w:rFonts w:ascii="Times New Roman" w:hAnsi="Times New Roman" w:cs="Times New Roman"/>
          <w:color w:val="000000"/>
          <w:sz w:val="24"/>
          <w:szCs w:val="24"/>
        </w:rPr>
        <w:t xml:space="preserve">. Integrované územní investice budou zaměřeny převážně na realizaci větších, investičně náročnějších projektů, které mají významný dopad pro řešená území; podpořeny budou i menší projekty, které větší projekty vhodně doplní pro dosažení žádoucích synergických efektů. </w:t>
      </w:r>
    </w:p>
    <w:p w:rsidR="007413C9" w:rsidRPr="000B521F" w:rsidRDefault="007413C9" w:rsidP="0059011D">
      <w:pPr>
        <w:pStyle w:val="Default"/>
        <w:spacing w:after="120"/>
        <w:jc w:val="both"/>
        <w:rPr>
          <w:rFonts w:ascii="Times New Roman" w:hAnsi="Times New Roman" w:cs="Times New Roman"/>
        </w:rPr>
      </w:pPr>
      <w:r w:rsidRPr="000B521F">
        <w:rPr>
          <w:rFonts w:ascii="Times New Roman" w:hAnsi="Times New Roman" w:cs="Times New Roman"/>
        </w:rPr>
        <w:t>Integrované území strategie budou hodnoceny experty odboru rozvoje a strategie regionální politiky MMR a následně schvalovány k realizaci Výběrovou komisí složenou ze zástupců řídicích orgánů programů fondů SSR (detaily implementace jsou popsány v Metodickém pokynu pro využití integrovaných přístupů v programovém období 2014</w:t>
      </w:r>
      <w:r w:rsidR="00871DB5">
        <w:rPr>
          <w:rFonts w:ascii="Times New Roman" w:hAnsi="Times New Roman" w:cs="Times New Roman"/>
        </w:rPr>
        <w:t>–</w:t>
      </w:r>
      <w:r w:rsidRPr="000B521F">
        <w:rPr>
          <w:rFonts w:ascii="Times New Roman" w:hAnsi="Times New Roman" w:cs="Times New Roman"/>
        </w:rPr>
        <w:t>2020).</w:t>
      </w:r>
    </w:p>
    <w:p w:rsidR="007413C9" w:rsidRPr="000B521F" w:rsidRDefault="007413C9" w:rsidP="0059011D">
      <w:pPr>
        <w:pStyle w:val="Default"/>
        <w:spacing w:after="120"/>
        <w:jc w:val="both"/>
        <w:rPr>
          <w:rFonts w:ascii="Times New Roman" w:hAnsi="Times New Roman" w:cs="Times New Roman"/>
        </w:rPr>
      </w:pPr>
      <w:r w:rsidRPr="000B521F">
        <w:rPr>
          <w:rFonts w:ascii="Times New Roman" w:hAnsi="Times New Roman" w:cs="Times New Roman"/>
        </w:rPr>
        <w:t xml:space="preserve">Operační programy umožní prostřednictvím specifických výzev pro projekty z integrovaných územních strategií jejich unikátní kombinace podle konkrétních potřeb daného území. Jejich vzájemnou koordinaci bude zajišťovat na národní úrovni Pracovní skupina pro integrované přístupy a územní dimenzi (PS IPUD), složená ze zástupců hlavního koordinátora MMR, řídicích orgánů všech relevantních operačních programů a zástupců regionálních partnerů. </w:t>
      </w:r>
    </w:p>
    <w:p w:rsidR="007413C9" w:rsidRPr="000B521F" w:rsidRDefault="007413C9" w:rsidP="0059011D">
      <w:pPr>
        <w:pStyle w:val="Default"/>
        <w:spacing w:after="120"/>
        <w:jc w:val="both"/>
        <w:rPr>
          <w:rFonts w:ascii="Times New Roman" w:hAnsi="Times New Roman" w:cs="Times New Roman"/>
        </w:rPr>
      </w:pPr>
      <w:r w:rsidRPr="000B521F">
        <w:rPr>
          <w:rFonts w:ascii="Times New Roman" w:hAnsi="Times New Roman" w:cs="Times New Roman"/>
        </w:rPr>
        <w:t>Jedním z hlavních principů využití integrovaných nástrojů v ČR je partnerství. Již v průběhu tvorby integrovaných strategií spolupracují ve vymezených územích nejen představitelé měst a obcí, ale také i další partneři s ohledem na tematická zaměření konkrétních strategií. Představitelé ITI zároveň spolupracují navzájem v pracovní podskupině PS IPUD pro ITI a celý postup přípravy integrovaných strategií je komunikován a koordinován MMR.</w:t>
      </w:r>
    </w:p>
    <w:p w:rsidR="008D130C" w:rsidRPr="000B521F" w:rsidRDefault="008D130C" w:rsidP="0059011D">
      <w:pPr>
        <w:pStyle w:val="Default"/>
        <w:spacing w:after="120"/>
        <w:jc w:val="both"/>
        <w:rPr>
          <w:rFonts w:ascii="Times New Roman" w:hAnsi="Times New Roman" w:cs="Times New Roman"/>
        </w:rPr>
      </w:pPr>
      <w:r w:rsidRPr="000B521F">
        <w:rPr>
          <w:rFonts w:ascii="Times New Roman" w:hAnsi="Times New Roman" w:cs="Times New Roman"/>
        </w:rPr>
        <w:t xml:space="preserve">S ohledem na předchozí témata, která budou integrované územní strategie řešit, budou ITI podpořeny nejen z EFRR prostřednictvím operačních programů OPŽP, OPPIK, IROP, OPVVV a OPD, ale také z ESF z operačních programů OPZ a OPVVV a z fondu soudržnosti </w:t>
      </w:r>
      <w:r w:rsidR="00974846">
        <w:rPr>
          <w:rFonts w:ascii="Times New Roman" w:hAnsi="Times New Roman" w:cs="Times New Roman"/>
        </w:rPr>
        <w:t xml:space="preserve">- </w:t>
      </w:r>
      <w:r w:rsidRPr="000B521F">
        <w:rPr>
          <w:rFonts w:ascii="Times New Roman" w:hAnsi="Times New Roman" w:cs="Times New Roman"/>
        </w:rPr>
        <w:t>z programů OPD a OPŽP.</w:t>
      </w:r>
    </w:p>
    <w:p w:rsidR="008B68BB" w:rsidRPr="000B521F" w:rsidRDefault="008B68BB" w:rsidP="0059011D">
      <w:pPr>
        <w:pStyle w:val="Nadpis3"/>
        <w:spacing w:after="120"/>
        <w:rPr>
          <w:rFonts w:ascii="Times New Roman" w:hAnsi="Times New Roman" w:cs="Times New Roman"/>
        </w:rPr>
      </w:pPr>
      <w:bookmarkStart w:id="112" w:name="_Toc374702907"/>
      <w:r w:rsidRPr="000B521F">
        <w:rPr>
          <w:rFonts w:ascii="Times New Roman" w:hAnsi="Times New Roman" w:cs="Times New Roman"/>
        </w:rPr>
        <w:t xml:space="preserve">Udržitelný rozvoj měst, včetně zásad pro vymezení městských oblastí, ve kterých mají být integrované intervence uplatněny </w:t>
      </w:r>
      <w:r w:rsidRPr="000B521F">
        <w:rPr>
          <w:rFonts w:ascii="Times New Roman" w:hAnsi="Times New Roman" w:cs="Times New Roman"/>
          <w:b w:val="0"/>
        </w:rPr>
        <w:t>(čl. 7 a 8 nařízení k EFRR a čl. 12 nařízení k ESF)</w:t>
      </w:r>
      <w:bookmarkEnd w:id="111"/>
      <w:bookmarkEnd w:id="112"/>
    </w:p>
    <w:p w:rsidR="002A421E" w:rsidRPr="000B521F" w:rsidRDefault="002A421E" w:rsidP="0059011D">
      <w:pPr>
        <w:pStyle w:val="Default"/>
        <w:spacing w:after="120"/>
        <w:jc w:val="both"/>
        <w:rPr>
          <w:rFonts w:ascii="Times New Roman" w:hAnsi="Times New Roman" w:cs="Times New Roman"/>
          <w:color w:val="auto"/>
        </w:rPr>
      </w:pPr>
      <w:r w:rsidRPr="000B521F">
        <w:rPr>
          <w:rFonts w:ascii="Times New Roman" w:hAnsi="Times New Roman" w:cs="Times New Roman"/>
          <w:color w:val="auto"/>
        </w:rPr>
        <w:t xml:space="preserve">V podmínkách ČR je udržitelný rozvoj měst určován třemi dimenzemi - hospodářskou prosperitou, příznivým životním prostředím a sociální soudržností. Hlavními zásadami pro vymezení městských oblastí k naplnění udržitelného rozvoje měst </w:t>
      </w:r>
      <w:r w:rsidR="005637D6" w:rsidRPr="000B521F">
        <w:rPr>
          <w:rFonts w:ascii="Times New Roman" w:hAnsi="Times New Roman" w:cs="Times New Roman"/>
          <w:color w:val="auto"/>
        </w:rPr>
        <w:t>jsou</w:t>
      </w:r>
      <w:r w:rsidRPr="000B521F">
        <w:rPr>
          <w:rFonts w:ascii="Times New Roman" w:hAnsi="Times New Roman" w:cs="Times New Roman"/>
          <w:color w:val="auto"/>
        </w:rPr>
        <w:t>:</w:t>
      </w:r>
    </w:p>
    <w:p w:rsidR="008206A4" w:rsidRPr="000B521F" w:rsidRDefault="002A421E" w:rsidP="0059011D">
      <w:pPr>
        <w:pStyle w:val="Default"/>
        <w:numPr>
          <w:ilvl w:val="0"/>
          <w:numId w:val="137"/>
        </w:numPr>
        <w:spacing w:after="120"/>
        <w:jc w:val="both"/>
        <w:rPr>
          <w:rFonts w:ascii="Times New Roman" w:hAnsi="Times New Roman" w:cs="Times New Roman"/>
          <w:color w:val="auto"/>
        </w:rPr>
      </w:pPr>
      <w:r w:rsidRPr="000B521F">
        <w:rPr>
          <w:rFonts w:ascii="Times New Roman" w:hAnsi="Times New Roman" w:cs="Times New Roman"/>
          <w:b/>
          <w:color w:val="auto"/>
        </w:rPr>
        <w:t xml:space="preserve">Města představují přirozené prostředí pro výzkum a inovace a na ně navazující podnikání </w:t>
      </w:r>
      <w:r w:rsidR="00E91F0C">
        <w:rPr>
          <w:rFonts w:ascii="Times New Roman" w:hAnsi="Times New Roman" w:cs="Times New Roman"/>
        </w:rPr>
        <w:t>–</w:t>
      </w:r>
      <w:r w:rsidR="00F142D3" w:rsidRPr="000B521F">
        <w:rPr>
          <w:rFonts w:ascii="Times New Roman" w:hAnsi="Times New Roman" w:cs="Times New Roman"/>
          <w:b/>
          <w:color w:val="auto"/>
        </w:rPr>
        <w:t xml:space="preserve"> </w:t>
      </w:r>
      <w:r w:rsidR="00F142D3" w:rsidRPr="000B521F">
        <w:rPr>
          <w:rFonts w:ascii="Times New Roman" w:hAnsi="Times New Roman" w:cs="Times New Roman"/>
          <w:color w:val="auto"/>
        </w:rPr>
        <w:t>m</w:t>
      </w:r>
      <w:r w:rsidRPr="000B521F">
        <w:rPr>
          <w:rFonts w:ascii="Times New Roman" w:hAnsi="Times New Roman" w:cs="Times New Roman"/>
          <w:color w:val="auto"/>
        </w:rPr>
        <w:t>ěsta ovlivňují rozvoj sousedních venkovských oblastí a jsou chápána jako významný faktor konkurenceschopnosti celého regionu. Intervence zaměřené na posilování měst a jejich seskupení jako motorů rozvoje regionů budou podporovat vytváření urbánních sítí schopných přenášet rozvojové a inovační impulsy do regionů.</w:t>
      </w:r>
    </w:p>
    <w:p w:rsidR="008206A4" w:rsidRPr="000B521F" w:rsidRDefault="005D6CA1" w:rsidP="0059011D">
      <w:pPr>
        <w:pStyle w:val="Odstavecseseznamem"/>
        <w:numPr>
          <w:ilvl w:val="0"/>
          <w:numId w:val="137"/>
        </w:numPr>
        <w:spacing w:after="120" w:line="240" w:lineRule="auto"/>
        <w:jc w:val="both"/>
        <w:rPr>
          <w:rFonts w:ascii="Times New Roman" w:hAnsi="Times New Roman" w:cs="Times New Roman"/>
          <w:sz w:val="24"/>
          <w:szCs w:val="24"/>
        </w:rPr>
      </w:pPr>
      <w:r w:rsidRPr="000B521F">
        <w:rPr>
          <w:rFonts w:ascii="Times New Roman" w:hAnsi="Times New Roman" w:cs="Times New Roman"/>
          <w:b/>
          <w:sz w:val="24"/>
          <w:szCs w:val="24"/>
        </w:rPr>
        <w:t>Infrastruktura a dostupnost služeb</w:t>
      </w:r>
      <w:r w:rsidR="002A421E" w:rsidRPr="000B521F">
        <w:rPr>
          <w:rFonts w:ascii="Times New Roman" w:hAnsi="Times New Roman" w:cs="Times New Roman"/>
          <w:b/>
          <w:sz w:val="24"/>
          <w:szCs w:val="24"/>
        </w:rPr>
        <w:t xml:space="preserve"> </w:t>
      </w:r>
      <w:r w:rsidR="00E91F0C">
        <w:rPr>
          <w:rFonts w:ascii="Times New Roman" w:hAnsi="Times New Roman" w:cs="Times New Roman"/>
          <w:color w:val="000000"/>
          <w:sz w:val="24"/>
          <w:szCs w:val="24"/>
        </w:rPr>
        <w:t>–</w:t>
      </w:r>
      <w:r w:rsidR="002A421E" w:rsidRPr="000B521F">
        <w:rPr>
          <w:rFonts w:ascii="Times New Roman" w:hAnsi="Times New Roman" w:cs="Times New Roman"/>
          <w:b/>
          <w:sz w:val="24"/>
          <w:szCs w:val="24"/>
        </w:rPr>
        <w:t xml:space="preserve"> </w:t>
      </w:r>
      <w:r w:rsidR="002A421E" w:rsidRPr="00E91F0C">
        <w:rPr>
          <w:rFonts w:ascii="Times New Roman" w:hAnsi="Times New Roman" w:cs="Times New Roman"/>
          <w:sz w:val="24"/>
          <w:szCs w:val="24"/>
        </w:rPr>
        <w:t>v</w:t>
      </w:r>
      <w:r w:rsidRPr="000B521F">
        <w:rPr>
          <w:rFonts w:ascii="Times New Roman" w:hAnsi="Times New Roman" w:cs="Times New Roman"/>
          <w:sz w:val="24"/>
          <w:szCs w:val="24"/>
        </w:rPr>
        <w:t>ýznamnou materiální podmínku pro rozvoj a kvalitu udržitelného městského rozvoje představuje dopravní a technická infrastruktura (zejména vodohospodářské, energetické a další sítě). Klíčovým úkolem je podporovat rozvoj dopravních sítí a zajistit provázanost (integraci) regionálních dopravních systém</w:t>
      </w:r>
      <w:r w:rsidR="00470E2E">
        <w:rPr>
          <w:rFonts w:ascii="Times New Roman" w:hAnsi="Times New Roman" w:cs="Times New Roman"/>
          <w:sz w:val="24"/>
          <w:szCs w:val="24"/>
        </w:rPr>
        <w:t>ů</w:t>
      </w:r>
      <w:r w:rsidRPr="000B521F">
        <w:rPr>
          <w:rFonts w:ascii="Times New Roman" w:hAnsi="Times New Roman" w:cs="Times New Roman"/>
          <w:sz w:val="24"/>
          <w:szCs w:val="24"/>
        </w:rPr>
        <w:t>.</w:t>
      </w:r>
    </w:p>
    <w:p w:rsidR="008206A4" w:rsidRPr="000B521F" w:rsidRDefault="005D6CA1" w:rsidP="0059011D">
      <w:pPr>
        <w:pStyle w:val="Odstavecseseznamem"/>
        <w:numPr>
          <w:ilvl w:val="0"/>
          <w:numId w:val="137"/>
        </w:numPr>
        <w:spacing w:after="120" w:line="240" w:lineRule="auto"/>
        <w:jc w:val="both"/>
        <w:rPr>
          <w:rFonts w:ascii="Times New Roman" w:hAnsi="Times New Roman" w:cs="Times New Roman"/>
          <w:sz w:val="24"/>
          <w:szCs w:val="24"/>
        </w:rPr>
      </w:pPr>
      <w:r w:rsidRPr="000B521F">
        <w:rPr>
          <w:rFonts w:ascii="Times New Roman" w:hAnsi="Times New Roman" w:cs="Times New Roman"/>
          <w:b/>
          <w:sz w:val="24"/>
          <w:szCs w:val="24"/>
        </w:rPr>
        <w:t xml:space="preserve">Sociální začleňování </w:t>
      </w:r>
      <w:r w:rsidR="00E91F0C">
        <w:rPr>
          <w:rFonts w:ascii="Times New Roman" w:hAnsi="Times New Roman" w:cs="Times New Roman"/>
          <w:color w:val="000000"/>
          <w:sz w:val="24"/>
          <w:szCs w:val="24"/>
        </w:rPr>
        <w:t>–</w:t>
      </w:r>
      <w:r w:rsidRPr="000B521F">
        <w:rPr>
          <w:rFonts w:ascii="Times New Roman" w:hAnsi="Times New Roman" w:cs="Times New Roman"/>
          <w:b/>
          <w:sz w:val="24"/>
          <w:szCs w:val="24"/>
        </w:rPr>
        <w:t xml:space="preserve"> </w:t>
      </w:r>
      <w:r w:rsidR="002A421E" w:rsidRPr="000B521F">
        <w:rPr>
          <w:rFonts w:ascii="Times New Roman" w:hAnsi="Times New Roman" w:cs="Times New Roman"/>
          <w:b/>
          <w:sz w:val="24"/>
          <w:szCs w:val="24"/>
        </w:rPr>
        <w:t>s</w:t>
      </w:r>
      <w:r w:rsidRPr="000B521F">
        <w:rPr>
          <w:rFonts w:ascii="Times New Roman" w:hAnsi="Times New Roman" w:cs="Times New Roman"/>
          <w:sz w:val="24"/>
          <w:szCs w:val="24"/>
        </w:rPr>
        <w:t>oučástí městské problematiky je i problematika bezpečnosti, prevence kriminality a sociální soudržnosti. Problémem některých velkých a středních měst se stává narůstání sociálních rozdílů v některých místních částech. K největším problémům patří vysoká nezaměstnanost a sociální vyloučení, které je často lokalizováno do určitých čtvrtí či lokalit s často zdevastovaným bytovým fondem a narušeným životním prostředím.</w:t>
      </w:r>
    </w:p>
    <w:p w:rsidR="008206A4" w:rsidRPr="000B521F" w:rsidRDefault="005D6CA1" w:rsidP="0059011D">
      <w:pPr>
        <w:pStyle w:val="Odstavecseseznamem"/>
        <w:numPr>
          <w:ilvl w:val="0"/>
          <w:numId w:val="137"/>
        </w:numPr>
        <w:spacing w:after="120" w:line="240" w:lineRule="auto"/>
        <w:jc w:val="both"/>
        <w:rPr>
          <w:rFonts w:ascii="Times New Roman" w:hAnsi="Times New Roman" w:cs="Times New Roman"/>
          <w:sz w:val="24"/>
          <w:szCs w:val="24"/>
        </w:rPr>
      </w:pPr>
      <w:r w:rsidRPr="000B521F">
        <w:rPr>
          <w:rFonts w:ascii="Times New Roman" w:hAnsi="Times New Roman" w:cs="Times New Roman"/>
          <w:b/>
          <w:sz w:val="24"/>
          <w:szCs w:val="24"/>
        </w:rPr>
        <w:t xml:space="preserve">Životní prostředí </w:t>
      </w:r>
      <w:r w:rsidR="00E91F0C">
        <w:rPr>
          <w:rFonts w:ascii="Times New Roman" w:hAnsi="Times New Roman" w:cs="Times New Roman"/>
          <w:color w:val="000000"/>
          <w:sz w:val="24"/>
          <w:szCs w:val="24"/>
        </w:rPr>
        <w:t>–</w:t>
      </w:r>
      <w:r w:rsidRPr="000B521F">
        <w:rPr>
          <w:rFonts w:ascii="Times New Roman" w:hAnsi="Times New Roman" w:cs="Times New Roman"/>
          <w:b/>
          <w:sz w:val="24"/>
          <w:szCs w:val="24"/>
        </w:rPr>
        <w:t xml:space="preserve"> </w:t>
      </w:r>
      <w:r w:rsidR="00F142D3" w:rsidRPr="000B521F">
        <w:rPr>
          <w:rFonts w:ascii="Times New Roman" w:hAnsi="Times New Roman" w:cs="Times New Roman"/>
          <w:sz w:val="24"/>
          <w:szCs w:val="24"/>
        </w:rPr>
        <w:t>k</w:t>
      </w:r>
      <w:r w:rsidRPr="000B521F">
        <w:rPr>
          <w:rFonts w:ascii="Times New Roman" w:hAnsi="Times New Roman" w:cs="Times New Roman"/>
          <w:sz w:val="24"/>
          <w:szCs w:val="24"/>
        </w:rPr>
        <w:t>umulativně působící negativní vlivy na životní prostředí ve městech vyžadují integrovaný přístup k péči o jeho jednotlivé složky a vzájemnou provázanost s ostatními politikami rozvoje města. Zásadním problémem je omezování negativních vlivů dopravy, která způsobuje znečištění ovzduší, emise škodlivých plynů a hluk, na životní prostředí a zdraví obyvatel</w:t>
      </w:r>
      <w:r w:rsidR="002A421E" w:rsidRPr="000B521F">
        <w:rPr>
          <w:rFonts w:ascii="Times New Roman" w:hAnsi="Times New Roman" w:cs="Times New Roman"/>
          <w:sz w:val="24"/>
          <w:szCs w:val="24"/>
        </w:rPr>
        <w:t>.</w:t>
      </w:r>
    </w:p>
    <w:p w:rsidR="008206A4" w:rsidRPr="000B521F" w:rsidRDefault="005D6CA1" w:rsidP="0059011D">
      <w:pPr>
        <w:pStyle w:val="Odstavecseseznamem"/>
        <w:numPr>
          <w:ilvl w:val="0"/>
          <w:numId w:val="137"/>
        </w:numPr>
        <w:spacing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Strategické plánování a rozvoj vztahů měst a venkova</w:t>
      </w:r>
      <w:r w:rsidR="002A421E" w:rsidRPr="000B521F">
        <w:rPr>
          <w:rFonts w:ascii="Times New Roman" w:hAnsi="Times New Roman" w:cs="Times New Roman"/>
          <w:b/>
          <w:sz w:val="24"/>
          <w:szCs w:val="24"/>
        </w:rPr>
        <w:t xml:space="preserve"> </w:t>
      </w:r>
      <w:r w:rsidR="00E91F0C">
        <w:rPr>
          <w:rFonts w:ascii="Times New Roman" w:hAnsi="Times New Roman" w:cs="Times New Roman"/>
          <w:color w:val="000000"/>
          <w:sz w:val="24"/>
          <w:szCs w:val="24"/>
        </w:rPr>
        <w:t>–</w:t>
      </w:r>
      <w:r w:rsidR="002A421E" w:rsidRPr="000B521F">
        <w:rPr>
          <w:rFonts w:ascii="Times New Roman" w:hAnsi="Times New Roman" w:cs="Times New Roman"/>
          <w:b/>
          <w:sz w:val="24"/>
          <w:szCs w:val="24"/>
        </w:rPr>
        <w:t xml:space="preserve"> </w:t>
      </w:r>
      <w:r w:rsidR="00F142D3" w:rsidRPr="000B521F">
        <w:rPr>
          <w:rFonts w:ascii="Times New Roman" w:hAnsi="Times New Roman" w:cs="Times New Roman"/>
          <w:bCs/>
          <w:sz w:val="24"/>
          <w:szCs w:val="24"/>
        </w:rPr>
        <w:t>p</w:t>
      </w:r>
      <w:r w:rsidRPr="000B521F">
        <w:rPr>
          <w:rFonts w:ascii="Times New Roman" w:hAnsi="Times New Roman" w:cs="Times New Roman"/>
          <w:bCs/>
          <w:sz w:val="24"/>
          <w:szCs w:val="24"/>
        </w:rPr>
        <w:t>ři posilování vazby město-venkov hrají v území významnou roli koordinační a organizační opatření, především v oblasti dopravy, technické a občanské infrastruktury a cestovního ruchu. V oblasti veřejné dopravy (zajištění dopravní obslužnosti území) se ve vazbě na velká města vytvářejí integrované dopravní systémy pomáhající propojit město a jeho okolí, které umožňují lidem cestovat za prací, za vzděláním i službami. Vazba město-venkov se dále projevuje při budování technické infrastruktury, a to především v hospodaření s</w:t>
      </w:r>
      <w:r w:rsidR="00121603" w:rsidRPr="000B521F">
        <w:rPr>
          <w:rFonts w:ascii="Times New Roman" w:hAnsi="Times New Roman" w:cs="Times New Roman"/>
          <w:bCs/>
          <w:sz w:val="24"/>
          <w:szCs w:val="24"/>
        </w:rPr>
        <w:t> </w:t>
      </w:r>
      <w:r w:rsidRPr="000B521F">
        <w:rPr>
          <w:rFonts w:ascii="Times New Roman" w:hAnsi="Times New Roman" w:cs="Times New Roman"/>
          <w:bCs/>
          <w:sz w:val="24"/>
          <w:szCs w:val="24"/>
        </w:rPr>
        <w:t>odpady</w:t>
      </w:r>
      <w:r w:rsidR="00121603" w:rsidRPr="000B521F">
        <w:rPr>
          <w:rFonts w:ascii="Times New Roman" w:hAnsi="Times New Roman" w:cs="Times New Roman"/>
          <w:bCs/>
          <w:sz w:val="24"/>
          <w:szCs w:val="24"/>
        </w:rPr>
        <w:t>,</w:t>
      </w:r>
      <w:r w:rsidRPr="000B521F">
        <w:rPr>
          <w:rFonts w:ascii="Times New Roman" w:hAnsi="Times New Roman" w:cs="Times New Roman"/>
          <w:bCs/>
          <w:sz w:val="24"/>
          <w:szCs w:val="24"/>
        </w:rPr>
        <w:t xml:space="preserve">  zásobování vodou a čištění odpadních vod, v oblasti občanské vybavenosti při zajištění sociálních služeb, zdravotnictví nebo vzdělání, především vyššího stupně. </w:t>
      </w:r>
      <w:r w:rsidRPr="000B521F">
        <w:rPr>
          <w:rFonts w:ascii="Times New Roman" w:hAnsi="Times New Roman" w:cs="Times New Roman"/>
          <w:sz w:val="24"/>
          <w:szCs w:val="24"/>
        </w:rPr>
        <w:t>Pro rozvoj vztahů mezi městem a venkovem mají velký význam mikroregionální centra poskytující široké spektrum služeb svému okolí. Jejich podporou dojde k posílení územní soudržnosti a k funkční integraci území mikroregionů.</w:t>
      </w:r>
    </w:p>
    <w:p w:rsidR="008206A4" w:rsidRPr="000B521F" w:rsidRDefault="008206A4" w:rsidP="0059011D">
      <w:pPr>
        <w:spacing w:after="120" w:line="240" w:lineRule="auto"/>
        <w:ind w:left="60"/>
        <w:jc w:val="both"/>
        <w:rPr>
          <w:rFonts w:ascii="Times New Roman" w:hAnsi="Times New Roman" w:cs="Times New Roman"/>
          <w:b/>
          <w:sz w:val="24"/>
          <w:szCs w:val="24"/>
        </w:rPr>
      </w:pPr>
    </w:p>
    <w:p w:rsidR="00820EE4" w:rsidRPr="000B521F" w:rsidRDefault="008B68BB" w:rsidP="0059011D">
      <w:pPr>
        <w:pStyle w:val="Default"/>
        <w:spacing w:after="120"/>
        <w:jc w:val="both"/>
        <w:rPr>
          <w:rFonts w:ascii="Times New Roman" w:hAnsi="Times New Roman" w:cs="Times New Roman"/>
          <w:color w:val="auto"/>
          <w:lang w:eastAsia="en-US"/>
        </w:rPr>
      </w:pPr>
      <w:r w:rsidRPr="000B521F">
        <w:rPr>
          <w:rFonts w:ascii="Times New Roman" w:hAnsi="Times New Roman" w:cs="Times New Roman"/>
          <w:color w:val="auto"/>
          <w:lang w:eastAsia="en-US"/>
        </w:rPr>
        <w:t>ČR se zavazuje ke splněn</w:t>
      </w:r>
      <w:r w:rsidR="00690C38" w:rsidRPr="000B521F">
        <w:rPr>
          <w:rFonts w:ascii="Times New Roman" w:hAnsi="Times New Roman" w:cs="Times New Roman"/>
          <w:color w:val="auto"/>
          <w:lang w:eastAsia="en-US"/>
        </w:rPr>
        <w:t>í požadavku alokace minimálně 5</w:t>
      </w:r>
      <w:r w:rsidRPr="000B521F">
        <w:rPr>
          <w:rFonts w:ascii="Times New Roman" w:hAnsi="Times New Roman" w:cs="Times New Roman"/>
          <w:color w:val="auto"/>
          <w:lang w:eastAsia="en-US"/>
        </w:rPr>
        <w:t>% prostředků EFRR na udržitelný městský rozvoj. Na</w:t>
      </w:r>
      <w:r w:rsidR="00690C38" w:rsidRPr="000B521F">
        <w:rPr>
          <w:rFonts w:ascii="Times New Roman" w:hAnsi="Times New Roman" w:cs="Times New Roman"/>
          <w:color w:val="auto"/>
          <w:lang w:eastAsia="en-US"/>
        </w:rPr>
        <w:t xml:space="preserve">plnění požadavku na vyčlenění </w:t>
      </w:r>
      <w:r w:rsidR="005637D6" w:rsidRPr="000B521F">
        <w:rPr>
          <w:rFonts w:ascii="Times New Roman" w:hAnsi="Times New Roman" w:cs="Times New Roman"/>
          <w:color w:val="auto"/>
          <w:lang w:eastAsia="en-US"/>
        </w:rPr>
        <w:t xml:space="preserve">alespoň </w:t>
      </w:r>
      <w:r w:rsidR="00690C38" w:rsidRPr="000B521F">
        <w:rPr>
          <w:rFonts w:ascii="Times New Roman" w:hAnsi="Times New Roman" w:cs="Times New Roman"/>
          <w:color w:val="auto"/>
          <w:lang w:eastAsia="en-US"/>
        </w:rPr>
        <w:t>5</w:t>
      </w:r>
      <w:r w:rsidRPr="000B521F">
        <w:rPr>
          <w:rFonts w:ascii="Times New Roman" w:hAnsi="Times New Roman" w:cs="Times New Roman"/>
          <w:color w:val="auto"/>
          <w:lang w:eastAsia="en-US"/>
        </w:rPr>
        <w:t>% alokace EFRR bude dosaženo</w:t>
      </w:r>
      <w:r w:rsidR="005637D6" w:rsidRPr="000B521F">
        <w:rPr>
          <w:rFonts w:ascii="Times New Roman" w:hAnsi="Times New Roman" w:cs="Times New Roman"/>
          <w:color w:val="auto"/>
          <w:lang w:eastAsia="en-US"/>
        </w:rPr>
        <w:t xml:space="preserve"> prostřednictvím</w:t>
      </w:r>
      <w:r w:rsidR="00820EE4" w:rsidRPr="000B521F">
        <w:rPr>
          <w:rFonts w:ascii="Times New Roman" w:hAnsi="Times New Roman" w:cs="Times New Roman"/>
          <w:color w:val="auto"/>
          <w:lang w:eastAsia="en-US"/>
        </w:rPr>
        <w:t>:</w:t>
      </w:r>
    </w:p>
    <w:p w:rsidR="008206A4" w:rsidRPr="000B521F" w:rsidRDefault="005D6CA1" w:rsidP="0059011D">
      <w:pPr>
        <w:pStyle w:val="Default"/>
        <w:numPr>
          <w:ilvl w:val="0"/>
          <w:numId w:val="135"/>
        </w:numPr>
        <w:spacing w:after="120"/>
        <w:jc w:val="both"/>
        <w:rPr>
          <w:rFonts w:ascii="Times New Roman" w:hAnsi="Times New Roman" w:cs="Times New Roman"/>
          <w:color w:val="auto"/>
          <w:lang w:eastAsia="en-US"/>
        </w:rPr>
      </w:pPr>
      <w:r w:rsidRPr="000B521F">
        <w:rPr>
          <w:rFonts w:ascii="Times New Roman" w:hAnsi="Times New Roman" w:cs="Times New Roman"/>
          <w:b/>
          <w:color w:val="auto"/>
          <w:lang w:eastAsia="en-US"/>
        </w:rPr>
        <w:t>kombinac</w:t>
      </w:r>
      <w:r w:rsidR="005637D6" w:rsidRPr="000B521F">
        <w:rPr>
          <w:rFonts w:ascii="Times New Roman" w:hAnsi="Times New Roman" w:cs="Times New Roman"/>
          <w:b/>
          <w:color w:val="auto"/>
          <w:lang w:eastAsia="en-US"/>
        </w:rPr>
        <w:t>e</w:t>
      </w:r>
      <w:r w:rsidRPr="000B521F">
        <w:rPr>
          <w:rFonts w:ascii="Times New Roman" w:hAnsi="Times New Roman" w:cs="Times New Roman"/>
          <w:b/>
          <w:color w:val="auto"/>
          <w:lang w:eastAsia="en-US"/>
        </w:rPr>
        <w:t xml:space="preserve"> intervencí OP Praha</w:t>
      </w:r>
      <w:r w:rsidR="008B68BB" w:rsidRPr="000B521F">
        <w:rPr>
          <w:rFonts w:ascii="Times New Roman" w:hAnsi="Times New Roman" w:cs="Times New Roman"/>
          <w:color w:val="auto"/>
          <w:lang w:eastAsia="en-US"/>
        </w:rPr>
        <w:t xml:space="preserve"> – pól růstu, který sám o sobě splňuje definici pro možný příspěvek k naplnění uvedeného cíle, </w:t>
      </w:r>
    </w:p>
    <w:p w:rsidR="006F4633" w:rsidRPr="000B521F" w:rsidRDefault="005637D6" w:rsidP="0059011D">
      <w:pPr>
        <w:pStyle w:val="Default"/>
        <w:numPr>
          <w:ilvl w:val="0"/>
          <w:numId w:val="135"/>
        </w:numPr>
        <w:spacing w:after="120"/>
        <w:jc w:val="both"/>
        <w:rPr>
          <w:rFonts w:ascii="Times New Roman" w:hAnsi="Times New Roman" w:cs="Times New Roman"/>
          <w:color w:val="auto"/>
          <w:lang w:eastAsia="en-US"/>
        </w:rPr>
      </w:pPr>
      <w:r w:rsidRPr="000B521F">
        <w:rPr>
          <w:rFonts w:ascii="Times New Roman" w:hAnsi="Times New Roman" w:cs="Times New Roman"/>
          <w:b/>
          <w:color w:val="auto"/>
          <w:lang w:eastAsia="en-US"/>
        </w:rPr>
        <w:t>realizac</w:t>
      </w:r>
      <w:r w:rsidR="00F142D3" w:rsidRPr="000B521F">
        <w:rPr>
          <w:rFonts w:ascii="Times New Roman" w:hAnsi="Times New Roman" w:cs="Times New Roman"/>
          <w:b/>
          <w:color w:val="auto"/>
          <w:lang w:eastAsia="en-US"/>
        </w:rPr>
        <w:t>e</w:t>
      </w:r>
      <w:r w:rsidRPr="000B521F">
        <w:rPr>
          <w:rFonts w:ascii="Times New Roman" w:hAnsi="Times New Roman" w:cs="Times New Roman"/>
          <w:b/>
          <w:color w:val="auto"/>
          <w:lang w:eastAsia="en-US"/>
        </w:rPr>
        <w:t xml:space="preserve"> </w:t>
      </w:r>
      <w:r w:rsidR="005D6CA1" w:rsidRPr="000B521F">
        <w:rPr>
          <w:rFonts w:ascii="Times New Roman" w:hAnsi="Times New Roman" w:cs="Times New Roman"/>
          <w:b/>
          <w:color w:val="auto"/>
          <w:lang w:eastAsia="en-US"/>
        </w:rPr>
        <w:t xml:space="preserve">aktivit </w:t>
      </w:r>
      <w:r w:rsidRPr="000B521F">
        <w:rPr>
          <w:rFonts w:ascii="Times New Roman" w:hAnsi="Times New Roman" w:cs="Times New Roman"/>
          <w:b/>
          <w:color w:val="auto"/>
          <w:lang w:eastAsia="en-US"/>
        </w:rPr>
        <w:t xml:space="preserve">v rámci 6 </w:t>
      </w:r>
      <w:r w:rsidR="005D6CA1" w:rsidRPr="000B521F">
        <w:rPr>
          <w:rFonts w:ascii="Times New Roman" w:hAnsi="Times New Roman" w:cs="Times New Roman"/>
          <w:b/>
          <w:color w:val="auto"/>
          <w:lang w:eastAsia="en-US"/>
        </w:rPr>
        <w:t>ITI</w:t>
      </w:r>
      <w:r w:rsidR="00820EE4" w:rsidRPr="000B521F">
        <w:rPr>
          <w:rFonts w:ascii="Times New Roman" w:hAnsi="Times New Roman" w:cs="Times New Roman"/>
          <w:color w:val="auto"/>
          <w:lang w:eastAsia="en-US"/>
        </w:rPr>
        <w:t xml:space="preserve"> uvedených v kapitole 3.1.2</w:t>
      </w:r>
      <w:r w:rsidR="00A46DF5">
        <w:rPr>
          <w:rFonts w:ascii="Times New Roman" w:hAnsi="Times New Roman" w:cs="Times New Roman"/>
          <w:color w:val="auto"/>
          <w:lang w:eastAsia="en-US"/>
        </w:rPr>
        <w:t>.</w:t>
      </w:r>
    </w:p>
    <w:p w:rsidR="006F4633" w:rsidRPr="000B521F" w:rsidRDefault="007B478A" w:rsidP="0059011D">
      <w:pPr>
        <w:pStyle w:val="Default"/>
        <w:spacing w:after="120"/>
        <w:ind w:left="780"/>
        <w:jc w:val="both"/>
        <w:rPr>
          <w:rFonts w:ascii="Times New Roman" w:hAnsi="Times New Roman" w:cs="Times New Roman"/>
          <w:color w:val="auto"/>
          <w:lang w:eastAsia="en-US"/>
        </w:rPr>
      </w:pPr>
      <w:r w:rsidRPr="000B521F">
        <w:rPr>
          <w:rFonts w:ascii="Times New Roman" w:hAnsi="Times New Roman" w:cs="Times New Roman"/>
        </w:rPr>
        <w:t xml:space="preserve">V těchto metropolitních oblastech se tvoří více jak 55 % HDP ČR, žije zde více jak 45 % obyvatel a aglomerace mají klíčový význam pro ČR z hlediska ekonomického růstu a mezinárodní konkurenceschopnosti. Jsou zde </w:t>
      </w:r>
      <w:r w:rsidRPr="000B521F">
        <w:rPr>
          <w:rFonts w:ascii="Times New Roman" w:hAnsi="Times New Roman" w:cs="Times New Roman"/>
          <w:color w:val="auto"/>
          <w:lang w:eastAsia="en-US"/>
        </w:rPr>
        <w:t>koncentrovány funkce nejvyššího řádu (administrativa, finanční</w:t>
      </w:r>
      <w:r w:rsidRPr="000B521F">
        <w:rPr>
          <w:rFonts w:ascii="Times New Roman" w:hAnsi="Times New Roman" w:cs="Times New Roman"/>
        </w:rPr>
        <w:t xml:space="preserve"> sektor, věda, výzkum, vývoj, vysoké školství, infrastruktura, manažerské struktury). Výrazným trendem ve vývoji jejich prostorové struktury je intenzivní suburbanizace, ovšem s řadou negativních důsledků, ovlivňujících jejich celkový vývoj. </w:t>
      </w:r>
    </w:p>
    <w:p w:rsidR="006F4633" w:rsidRPr="000B521F" w:rsidRDefault="007B478A" w:rsidP="0059011D">
      <w:pPr>
        <w:pStyle w:val="Default"/>
        <w:spacing w:after="120"/>
        <w:ind w:left="780"/>
        <w:jc w:val="both"/>
        <w:rPr>
          <w:rFonts w:ascii="Times New Roman" w:hAnsi="Times New Roman" w:cs="Times New Roman"/>
          <w:color w:val="auto"/>
          <w:lang w:eastAsia="en-US"/>
        </w:rPr>
      </w:pPr>
      <w:r w:rsidRPr="000B521F">
        <w:rPr>
          <w:rFonts w:ascii="Times New Roman" w:hAnsi="Times New Roman" w:cs="Times New Roman"/>
        </w:rPr>
        <w:t>Pražská metropolitní oblast svým významem přímo ovlivňuje podstatnou část území státu (obyvatel), prostorový vliv brněnské, ostravské a plzeňské metropolitní oblasti je omezený na příslušné části republiky. Určitou částí společných problémů jsou k těmto centrům přiřazeny i dvě aglomerace  ústecko – chomutovská a</w:t>
      </w:r>
      <w:r w:rsidR="005D6CA1" w:rsidRPr="000B521F">
        <w:rPr>
          <w:rFonts w:ascii="Times New Roman" w:hAnsi="Times New Roman" w:cs="Times New Roman"/>
          <w:b/>
        </w:rPr>
        <w:t xml:space="preserve"> </w:t>
      </w:r>
      <w:r w:rsidRPr="000B521F">
        <w:rPr>
          <w:rFonts w:ascii="Times New Roman" w:hAnsi="Times New Roman" w:cs="Times New Roman"/>
        </w:rPr>
        <w:t>hradecko – pardubická.</w:t>
      </w:r>
    </w:p>
    <w:p w:rsidR="007B478A" w:rsidRPr="000B521F" w:rsidRDefault="007B478A" w:rsidP="0059011D">
      <w:pPr>
        <w:pStyle w:val="Default"/>
        <w:spacing w:after="120"/>
        <w:ind w:left="780"/>
        <w:jc w:val="both"/>
        <w:rPr>
          <w:rFonts w:ascii="Times New Roman" w:hAnsi="Times New Roman" w:cs="Times New Roman"/>
          <w:color w:val="auto"/>
          <w:lang w:eastAsia="en-US"/>
        </w:rPr>
      </w:pPr>
      <w:r w:rsidRPr="000B521F">
        <w:rPr>
          <w:rFonts w:ascii="Times New Roman" w:hAnsi="Times New Roman" w:cs="Times New Roman"/>
        </w:rPr>
        <w:t>Ústecko – chomutovská aglomerace je tematicky propojena především problémy plynoucími z těžby uhlí, výroby elektrické energie, alokovaných chemických výrob a poškozeným životním prostředím s nutností rekultivace rozsáhlých území. Je oblastí, která prochází od roku 1989 složitými strukturálními změnami, které se promítají do vysoké míry nezaměstnanosti a vyskytují se zde ve zvýšené míře problémy spojené se sociálním vyloučením. Přes tyto skutečnosti a přes výrazný pokles významu v ekonomické struktuře patří k hospodářsky velmi významným oblastem České republiky.</w:t>
      </w:r>
      <w:r w:rsidR="00E91F0C">
        <w:rPr>
          <w:rFonts w:ascii="Times New Roman" w:hAnsi="Times New Roman" w:cs="Times New Roman"/>
        </w:rPr>
        <w:t xml:space="preserve"> </w:t>
      </w:r>
      <w:r w:rsidRPr="000B521F">
        <w:rPr>
          <w:rFonts w:ascii="Times New Roman" w:hAnsi="Times New Roman" w:cs="Times New Roman"/>
        </w:rPr>
        <w:t>(Tato charakteristika je z naprosté většiny platná i pro ostravskou oblast s tím rozdílem, že místo výroby elektrické energie v ní dominuje těžký průmysl především hutnictví).</w:t>
      </w:r>
    </w:p>
    <w:p w:rsidR="008206A4" w:rsidRPr="000B521F" w:rsidRDefault="007B478A" w:rsidP="0059011D">
      <w:pPr>
        <w:pStyle w:val="Default"/>
        <w:spacing w:after="120"/>
        <w:ind w:left="780"/>
        <w:jc w:val="both"/>
        <w:rPr>
          <w:rFonts w:ascii="Times New Roman" w:hAnsi="Times New Roman" w:cs="Times New Roman"/>
          <w:color w:val="auto"/>
          <w:lang w:eastAsia="en-US"/>
        </w:rPr>
      </w:pPr>
      <w:r w:rsidRPr="000B521F">
        <w:rPr>
          <w:rFonts w:ascii="Times New Roman" w:hAnsi="Times New Roman" w:cs="Times New Roman"/>
        </w:rPr>
        <w:t>V případě hradecko - pardubické a středomoravské aglomerace se jedná o území s  dominantním jádrem či dvěma jádry, ve významné části orientované na potravinářskou, chemickou výrobu, postižené zánikem významné části průmyslu. Důležitým faktorem daného území je jeho dopravní poloha a potenciál spojený s kvalitním zázemím v oblasti VaV a některých významných podniků s mezinárodní konkurenceschopností.</w:t>
      </w:r>
    </w:p>
    <w:p w:rsidR="008206A4" w:rsidRPr="000B521F" w:rsidRDefault="008206A4" w:rsidP="0059011D">
      <w:pPr>
        <w:pStyle w:val="Default"/>
        <w:spacing w:after="120"/>
        <w:jc w:val="both"/>
        <w:rPr>
          <w:rFonts w:ascii="Times New Roman" w:hAnsi="Times New Roman" w:cs="Times New Roman"/>
        </w:rPr>
      </w:pPr>
    </w:p>
    <w:p w:rsidR="008206A4" w:rsidRPr="000B521F" w:rsidRDefault="005D6CA1" w:rsidP="0059011D">
      <w:pPr>
        <w:pStyle w:val="Default"/>
        <w:spacing w:after="120"/>
        <w:jc w:val="both"/>
        <w:rPr>
          <w:rFonts w:ascii="Times New Roman" w:hAnsi="Times New Roman" w:cs="Times New Roman"/>
          <w:color w:val="auto"/>
          <w:lang w:eastAsia="en-US"/>
        </w:rPr>
      </w:pPr>
      <w:r w:rsidRPr="000B521F">
        <w:rPr>
          <w:rFonts w:ascii="Times New Roman" w:hAnsi="Times New Roman" w:cs="Times New Roman"/>
        </w:rPr>
        <w:t xml:space="preserve">Určitým specifikem k realizaci udržitelného rozvoje měst v podmínkách ČR budou představovat </w:t>
      </w:r>
      <w:r w:rsidR="00044769" w:rsidRPr="000B521F">
        <w:rPr>
          <w:rFonts w:ascii="Times New Roman" w:hAnsi="Times New Roman" w:cs="Times New Roman"/>
          <w:b/>
        </w:rPr>
        <w:t>tzv. Integrované plány rozvoje území (IPRÚ)</w:t>
      </w:r>
      <w:r w:rsidRPr="000B521F">
        <w:rPr>
          <w:rFonts w:ascii="Times New Roman" w:hAnsi="Times New Roman" w:cs="Times New Roman"/>
        </w:rPr>
        <w:t xml:space="preserve">. </w:t>
      </w:r>
      <w:r w:rsidR="00044769" w:rsidRPr="000B521F">
        <w:rPr>
          <w:rFonts w:ascii="Times New Roman" w:hAnsi="Times New Roman" w:cs="Times New Roman"/>
        </w:rPr>
        <w:t xml:space="preserve">Ty bude možné (nikoli povinně) realizovat v </w:t>
      </w:r>
      <w:r w:rsidR="00044769" w:rsidRPr="000B521F">
        <w:rPr>
          <w:rFonts w:ascii="Times New Roman" w:hAnsi="Times New Roman" w:cs="Times New Roman"/>
          <w:color w:val="auto"/>
          <w:lang w:eastAsia="en-US"/>
        </w:rPr>
        <w:t>(6) krajských městech a jejich funkčních zázemí a jednom statutárním městě</w:t>
      </w:r>
      <w:r w:rsidR="00044769" w:rsidRPr="000B521F">
        <w:rPr>
          <w:rStyle w:val="Znakapoznpodarou"/>
          <w:rFonts w:ascii="Times New Roman" w:hAnsi="Times New Roman" w:cs="Times New Roman"/>
          <w:color w:val="auto"/>
          <w:lang w:eastAsia="en-US"/>
        </w:rPr>
        <w:footnoteReference w:id="89"/>
      </w:r>
      <w:r w:rsidR="00044769" w:rsidRPr="000B521F">
        <w:rPr>
          <w:rFonts w:ascii="Times New Roman" w:hAnsi="Times New Roman" w:cs="Times New Roman"/>
          <w:color w:val="auto"/>
          <w:lang w:eastAsia="en-US"/>
        </w:rPr>
        <w:t xml:space="preserve">. Jedná se o aglomerace, jejichž jádry jsou zbývající krajská města (6) a jedno statutární město, které nebudou realizovat ITI. Tato centra jsou se svým zázemím poměrně intenzivně propojena hospodářsky, infrastrukturně, dojížďkou za prací a službami. Na druhé straně jsou zde u většiny sídelních aglomerací patrné výraznější rozdíly mezi jejich centry a zázemím z hlediska charakteru osídlení i ekonomické základny. Některé aglomerace patří mezi významná dynamicky se rozvíjející růstová centra, jiné se naopak vyznačují koncentrací problémových socioekonomických charakteristik. </w:t>
      </w:r>
    </w:p>
    <w:p w:rsidR="008206A4" w:rsidRPr="000B521F" w:rsidRDefault="005D6CA1" w:rsidP="0059011D">
      <w:pPr>
        <w:pStyle w:val="Default"/>
        <w:spacing w:after="120"/>
        <w:jc w:val="both"/>
        <w:rPr>
          <w:rFonts w:ascii="Times New Roman" w:hAnsi="Times New Roman" w:cs="Times New Roman"/>
        </w:rPr>
      </w:pPr>
      <w:r w:rsidRPr="000B521F">
        <w:rPr>
          <w:rFonts w:ascii="Times New Roman" w:hAnsi="Times New Roman" w:cs="Times New Roman"/>
        </w:rPr>
        <w:t>IPRÚ je integrovaná rozvojová strategie popisující problémy a potřeby vymezeného území, cíle a priority z nich vycházející (včetně investiční a neinvestičních záměrů). IPRÚ systémově navazují na IPRM (realiz</w:t>
      </w:r>
      <w:r w:rsidR="00E91F0C">
        <w:rPr>
          <w:rFonts w:ascii="Times New Roman" w:hAnsi="Times New Roman" w:cs="Times New Roman"/>
        </w:rPr>
        <w:t>ované v programovém období 2007–</w:t>
      </w:r>
      <w:r w:rsidRPr="000B521F">
        <w:rPr>
          <w:rFonts w:ascii="Times New Roman" w:hAnsi="Times New Roman" w:cs="Times New Roman"/>
        </w:rPr>
        <w:t>2013); jsou však modifikovány pro potřeby širšího území a doplněny o způsob implementace (vyčleněné alokace v rámci programů ESFIF a specifické výzvy pro projekty z těchto IPRÚ, včetně smluvního zajištění). IPRÚ umožňuje také zapojení dalších finančních či úvěrových nástrojů (nejen zdrojů ESIF).</w:t>
      </w:r>
    </w:p>
    <w:p w:rsidR="003C281D" w:rsidRPr="000B521F" w:rsidRDefault="003C281D" w:rsidP="0059011D">
      <w:pPr>
        <w:spacing w:after="120" w:line="240" w:lineRule="auto"/>
        <w:jc w:val="both"/>
        <w:rPr>
          <w:rFonts w:ascii="Times New Roman" w:hAnsi="Times New Roman" w:cs="Times New Roman"/>
          <w:sz w:val="24"/>
          <w:szCs w:val="24"/>
        </w:rPr>
      </w:pP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820"/>
        <w:gridCol w:w="2267"/>
      </w:tblGrid>
      <w:tr w:rsidR="00710CF8" w:rsidRPr="000B521F" w:rsidTr="008F7C58">
        <w:trPr>
          <w:trHeight w:val="710"/>
        </w:trPr>
        <w:tc>
          <w:tcPr>
            <w:tcW w:w="1140" w:type="pct"/>
            <w:shd w:val="clear" w:color="auto" w:fill="8DB3E2" w:themeFill="text2" w:themeFillTint="66"/>
          </w:tcPr>
          <w:p w:rsidR="00710CF8" w:rsidRPr="000B521F" w:rsidRDefault="00710CF8" w:rsidP="0059011D">
            <w:pPr>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Fond</w:t>
            </w:r>
          </w:p>
        </w:tc>
        <w:tc>
          <w:tcPr>
            <w:tcW w:w="2625" w:type="pct"/>
            <w:shd w:val="clear" w:color="auto" w:fill="8DB3E2" w:themeFill="text2" w:themeFillTint="66"/>
          </w:tcPr>
          <w:p w:rsidR="00710CF8" w:rsidRPr="000B521F" w:rsidRDefault="00710CF8" w:rsidP="0059011D">
            <w:pPr>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Orientační alokace prostředků na národní úrovni na integrované aktivity pro udržitelný rozvoj měst (EUR)</w:t>
            </w:r>
          </w:p>
        </w:tc>
        <w:tc>
          <w:tcPr>
            <w:tcW w:w="1235" w:type="pct"/>
            <w:shd w:val="clear" w:color="auto" w:fill="8DB3E2" w:themeFill="text2" w:themeFillTint="66"/>
          </w:tcPr>
          <w:p w:rsidR="00710CF8" w:rsidRPr="000B521F" w:rsidRDefault="00710CF8" w:rsidP="0059011D">
            <w:pPr>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Podíl celkové alokace na fond (%)</w:t>
            </w:r>
          </w:p>
        </w:tc>
      </w:tr>
      <w:tr w:rsidR="00710CF8" w:rsidRPr="000B521F" w:rsidTr="008F7C58">
        <w:trPr>
          <w:trHeight w:val="349"/>
        </w:trPr>
        <w:tc>
          <w:tcPr>
            <w:tcW w:w="1140" w:type="pct"/>
            <w:shd w:val="clear" w:color="auto" w:fill="C6D9F1" w:themeFill="text2" w:themeFillTint="33"/>
          </w:tcPr>
          <w:p w:rsidR="00710CF8" w:rsidRPr="000B521F" w:rsidRDefault="00710CF8" w:rsidP="0059011D">
            <w:pPr>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EFRR</w:t>
            </w:r>
          </w:p>
        </w:tc>
        <w:tc>
          <w:tcPr>
            <w:tcW w:w="2625" w:type="pct"/>
            <w:shd w:val="clear" w:color="auto" w:fill="auto"/>
          </w:tcPr>
          <w:p w:rsidR="00710CF8" w:rsidRPr="000B521F" w:rsidRDefault="00710CF8" w:rsidP="0059011D">
            <w:pPr>
              <w:spacing w:after="0" w:line="240" w:lineRule="auto"/>
              <w:rPr>
                <w:rFonts w:ascii="Times New Roman" w:hAnsi="Times New Roman" w:cs="Times New Roman"/>
                <w:sz w:val="24"/>
                <w:szCs w:val="24"/>
              </w:rPr>
            </w:pPr>
          </w:p>
        </w:tc>
        <w:tc>
          <w:tcPr>
            <w:tcW w:w="1235" w:type="pct"/>
            <w:shd w:val="clear" w:color="auto" w:fill="auto"/>
          </w:tcPr>
          <w:p w:rsidR="00710CF8" w:rsidRPr="000B521F" w:rsidRDefault="00710CF8" w:rsidP="0059011D">
            <w:pPr>
              <w:spacing w:after="0" w:line="240" w:lineRule="auto"/>
              <w:rPr>
                <w:rFonts w:ascii="Times New Roman" w:hAnsi="Times New Roman" w:cs="Times New Roman"/>
                <w:sz w:val="24"/>
                <w:szCs w:val="24"/>
              </w:rPr>
            </w:pPr>
          </w:p>
        </w:tc>
      </w:tr>
      <w:tr w:rsidR="00710CF8" w:rsidRPr="000B521F" w:rsidTr="008F7C58">
        <w:trPr>
          <w:trHeight w:val="269"/>
        </w:trPr>
        <w:tc>
          <w:tcPr>
            <w:tcW w:w="1140" w:type="pct"/>
            <w:shd w:val="clear" w:color="auto" w:fill="C6D9F1" w:themeFill="text2" w:themeFillTint="33"/>
          </w:tcPr>
          <w:p w:rsidR="00710CF8" w:rsidRPr="000B521F" w:rsidRDefault="00710CF8" w:rsidP="0059011D">
            <w:pPr>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 xml:space="preserve">(ESF) </w:t>
            </w:r>
          </w:p>
        </w:tc>
        <w:tc>
          <w:tcPr>
            <w:tcW w:w="2625" w:type="pct"/>
            <w:shd w:val="clear" w:color="auto" w:fill="auto"/>
          </w:tcPr>
          <w:p w:rsidR="00710CF8" w:rsidRPr="000B521F" w:rsidRDefault="00710CF8" w:rsidP="0059011D">
            <w:pPr>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0</w:t>
            </w:r>
          </w:p>
        </w:tc>
        <w:tc>
          <w:tcPr>
            <w:tcW w:w="1235" w:type="pct"/>
            <w:shd w:val="clear" w:color="auto" w:fill="auto"/>
          </w:tcPr>
          <w:p w:rsidR="00710CF8" w:rsidRPr="000B521F" w:rsidRDefault="00710CF8" w:rsidP="0059011D">
            <w:pPr>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0</w:t>
            </w:r>
          </w:p>
        </w:tc>
      </w:tr>
    </w:tbl>
    <w:p w:rsidR="001F20C3" w:rsidRPr="001F20C3" w:rsidRDefault="001F20C3" w:rsidP="001F20C3">
      <w:pPr>
        <w:spacing w:line="240" w:lineRule="auto"/>
        <w:jc w:val="both"/>
        <w:rPr>
          <w:rFonts w:ascii="Times New Roman" w:hAnsi="Times New Roman" w:cs="Times New Roman"/>
          <w:sz w:val="20"/>
          <w:szCs w:val="20"/>
        </w:rPr>
      </w:pPr>
      <w:r w:rsidRPr="001F20C3">
        <w:rPr>
          <w:rFonts w:ascii="Times New Roman" w:hAnsi="Times New Roman" w:cs="Times New Roman"/>
          <w:sz w:val="20"/>
          <w:szCs w:val="20"/>
        </w:rPr>
        <w:t>Pozn.: Do vyřešení problematiky rozdělení finančních prostředků mezi jednotlivé integrované nástroje nebude tabulka s indikativním rozdělením vyplněna. ČR plní minimální alokaci E</w:t>
      </w:r>
      <w:r>
        <w:rPr>
          <w:rFonts w:ascii="Times New Roman" w:hAnsi="Times New Roman" w:cs="Times New Roman"/>
          <w:sz w:val="20"/>
          <w:szCs w:val="20"/>
        </w:rPr>
        <w:t>FRR</w:t>
      </w:r>
      <w:r w:rsidRPr="001F20C3">
        <w:rPr>
          <w:rFonts w:ascii="Times New Roman" w:hAnsi="Times New Roman" w:cs="Times New Roman"/>
          <w:sz w:val="20"/>
          <w:szCs w:val="20"/>
        </w:rPr>
        <w:t xml:space="preserve"> na udržitelný rozvoj měst ve výši 5 %.</w:t>
      </w:r>
    </w:p>
    <w:p w:rsidR="0016585F" w:rsidRDefault="0016585F"/>
    <w:p w:rsidR="00507842" w:rsidRPr="000B521F" w:rsidRDefault="00507842" w:rsidP="0059011D">
      <w:pPr>
        <w:pStyle w:val="Nadpis3"/>
        <w:spacing w:after="120"/>
        <w:rPr>
          <w:rFonts w:ascii="Times New Roman" w:hAnsi="Times New Roman" w:cs="Times New Roman"/>
        </w:rPr>
      </w:pPr>
      <w:bookmarkStart w:id="113" w:name="_Toc374702908"/>
      <w:r w:rsidRPr="000B521F">
        <w:rPr>
          <w:rFonts w:ascii="Times New Roman" w:hAnsi="Times New Roman" w:cs="Times New Roman"/>
        </w:rPr>
        <w:t>Určení hlavních prioritních oblastí pro spolupráci v rámci fondů a v relevantních případech se zohledněním makroregionálních aj. strategií</w:t>
      </w:r>
      <w:bookmarkEnd w:id="103"/>
      <w:bookmarkEnd w:id="113"/>
    </w:p>
    <w:p w:rsidR="00507842" w:rsidRPr="000B521F" w:rsidRDefault="00D42ED4" w:rsidP="0059011D">
      <w:pPr>
        <w:pStyle w:val="Nadpis6"/>
        <w:numPr>
          <w:ilvl w:val="0"/>
          <w:numId w:val="0"/>
        </w:numPr>
        <w:rPr>
          <w:rStyle w:val="Zdraznnintenzivn"/>
          <w:rFonts w:ascii="Times New Roman" w:hAnsi="Times New Roman" w:cs="Times New Roman"/>
          <w:sz w:val="24"/>
          <w:szCs w:val="24"/>
        </w:rPr>
      </w:pPr>
      <w:r w:rsidRPr="000B521F">
        <w:rPr>
          <w:rStyle w:val="Zdraznnintenzivn"/>
          <w:rFonts w:ascii="Times New Roman" w:hAnsi="Times New Roman" w:cs="Times New Roman"/>
          <w:sz w:val="24"/>
          <w:szCs w:val="24"/>
        </w:rPr>
        <w:t>Hlavní prioritní oblasti EÚS a jejich vazby na programy cíle Investice pro růst a zaměstnanost</w:t>
      </w:r>
    </w:p>
    <w:p w:rsidR="005F3F46" w:rsidRPr="000B521F" w:rsidRDefault="005F3F46"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Česká republika se bude v programovém období 2014–2020 v rámci cíle Evropská územní spolupráce (EÚS) účastnit programů přeshraniční spolupráce ČR – Polsko, Slovensko – ČR, Rakousko – ČR, Svobodný stát Bavorsko – ČR a Svobodný stát Sasko – ČR a programů nadnárodní spolupráce Central</w:t>
      </w:r>
      <w:r w:rsidR="00652AE2" w:rsidRPr="000B521F">
        <w:rPr>
          <w:rFonts w:ascii="Times New Roman" w:hAnsi="Times New Roman" w:cs="Times New Roman"/>
          <w:sz w:val="24"/>
          <w:szCs w:val="24"/>
        </w:rPr>
        <w:t xml:space="preserve"> </w:t>
      </w:r>
      <w:r w:rsidRPr="000B521F">
        <w:rPr>
          <w:rFonts w:ascii="Times New Roman" w:hAnsi="Times New Roman" w:cs="Times New Roman"/>
          <w:sz w:val="24"/>
          <w:szCs w:val="24"/>
        </w:rPr>
        <w:t>Europe 2020 a Dunajský program.</w:t>
      </w:r>
    </w:p>
    <w:p w:rsidR="005F3F46" w:rsidRPr="000B521F" w:rsidRDefault="005F3F46" w:rsidP="0059011D">
      <w:pPr>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Hlavní prioritní oblasti EÚS</w:t>
      </w:r>
    </w:p>
    <w:p w:rsidR="005F3F46" w:rsidRPr="000B521F" w:rsidRDefault="005F3F46"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Česká republika se v rámci cíle Evropská územní spolupráce plánuje zaměřit na spolupráci se zahraničními partnery v následujících prioritních oblastech:</w:t>
      </w:r>
    </w:p>
    <w:p w:rsidR="005F3F46" w:rsidRPr="000B521F" w:rsidRDefault="005F3F46" w:rsidP="0059011D">
      <w:pPr>
        <w:spacing w:after="120" w:line="240" w:lineRule="auto"/>
        <w:jc w:val="both"/>
        <w:rPr>
          <w:rFonts w:ascii="Times New Roman" w:hAnsi="Times New Roman" w:cs="Times New Roman"/>
          <w:i/>
          <w:sz w:val="24"/>
          <w:szCs w:val="24"/>
        </w:rPr>
      </w:pPr>
      <w:r w:rsidRPr="000B521F">
        <w:rPr>
          <w:rFonts w:ascii="Times New Roman" w:hAnsi="Times New Roman" w:cs="Times New Roman"/>
          <w:i/>
          <w:sz w:val="24"/>
          <w:szCs w:val="24"/>
        </w:rPr>
        <w:t>Výzkum, vývoj a inovace</w:t>
      </w:r>
    </w:p>
    <w:p w:rsidR="005F3F46" w:rsidRPr="000B521F" w:rsidRDefault="005F3F46"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V oblasti výzkumu, vývoje a inovací bude podpora zaměřena na rozvoj spolupráce mezi vědeckovýzkumnými institucemi navzájem a na podporu vytváření a posilování vazeb mezi výzkumem a vývoje na jedné straně a soukromým (zejména MSP) a veřejným sektorem na straně druhé (usnadnění přístupu veřejné správy a MSP k výsledkům aktivit v oblasti vývoje a inovací, přímé i nepřímo zapojení MSP do inovačních procesů, rozvíjení sítí na podporu zprostředkování spolupráce MSP a vědeckovýzkumných institucí, rozvíjení klastrů atd.)</w:t>
      </w:r>
      <w:r w:rsidR="00E91F0C">
        <w:rPr>
          <w:rFonts w:ascii="Times New Roman" w:hAnsi="Times New Roman" w:cs="Times New Roman"/>
          <w:sz w:val="24"/>
          <w:szCs w:val="24"/>
        </w:rPr>
        <w:t>.</w:t>
      </w:r>
    </w:p>
    <w:p w:rsidR="005F3F46" w:rsidRPr="000B521F" w:rsidRDefault="005F3F46" w:rsidP="0059011D">
      <w:pPr>
        <w:spacing w:after="120" w:line="240" w:lineRule="auto"/>
        <w:jc w:val="both"/>
        <w:rPr>
          <w:rFonts w:ascii="Times New Roman" w:hAnsi="Times New Roman" w:cs="Times New Roman"/>
          <w:i/>
          <w:sz w:val="24"/>
          <w:szCs w:val="24"/>
        </w:rPr>
      </w:pPr>
      <w:r w:rsidRPr="000B521F">
        <w:rPr>
          <w:rFonts w:ascii="Times New Roman" w:hAnsi="Times New Roman" w:cs="Times New Roman"/>
          <w:i/>
          <w:sz w:val="24"/>
          <w:szCs w:val="24"/>
        </w:rPr>
        <w:t xml:space="preserve">Prevence, monitoring a řízení rizik </w:t>
      </w:r>
    </w:p>
    <w:p w:rsidR="005F3F46" w:rsidRPr="000B521F" w:rsidRDefault="005F3F46"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Podpora bude zaměřena na vytváření společných systémů prevence, monitoringu a řešení rizik, sdílení informací o potenciálních hrozbách, zvyšování kompatibility a propojenosti integrovaných záchranných systémů a prohlubování spolupráce jednotlivých složek integrovaného záchranného systému přes hranici.</w:t>
      </w:r>
    </w:p>
    <w:p w:rsidR="005F3F46" w:rsidRPr="000B521F" w:rsidRDefault="005F3F46" w:rsidP="0059011D">
      <w:pPr>
        <w:spacing w:after="120" w:line="240" w:lineRule="auto"/>
        <w:jc w:val="both"/>
        <w:rPr>
          <w:rFonts w:ascii="Times New Roman" w:hAnsi="Times New Roman" w:cs="Times New Roman"/>
          <w:i/>
          <w:sz w:val="24"/>
          <w:szCs w:val="24"/>
        </w:rPr>
      </w:pPr>
      <w:r w:rsidRPr="000B521F">
        <w:rPr>
          <w:rFonts w:ascii="Times New Roman" w:hAnsi="Times New Roman" w:cs="Times New Roman"/>
          <w:i/>
          <w:sz w:val="24"/>
          <w:szCs w:val="24"/>
        </w:rPr>
        <w:t>Životní prostředí a účinné využívání zdrojů</w:t>
      </w:r>
    </w:p>
    <w:p w:rsidR="005F3F46" w:rsidRPr="000B521F" w:rsidRDefault="005F3F46"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V rámci této oblasti bude spolupráce zaměřena na aktivity v oblasti společné ochrany povrchových a podzemních vod, ochrany půdy a zachování a obnovy biodiverzity, </w:t>
      </w:r>
      <w:r w:rsidR="00486A7B" w:rsidRPr="000B521F">
        <w:rPr>
          <w:rFonts w:ascii="Times New Roman" w:hAnsi="Times New Roman" w:cs="Times New Roman"/>
          <w:sz w:val="24"/>
          <w:szCs w:val="24"/>
        </w:rPr>
        <w:t xml:space="preserve">ochrany ovzduší, </w:t>
      </w:r>
      <w:r w:rsidRPr="000B521F">
        <w:rPr>
          <w:rFonts w:ascii="Times New Roman" w:hAnsi="Times New Roman" w:cs="Times New Roman"/>
          <w:sz w:val="24"/>
          <w:szCs w:val="24"/>
        </w:rPr>
        <w:t xml:space="preserve">zvyšování energetické účinnosti a podílu využívání obnovitelných zdrojů ve veřejné správě a bydlení, zavádění nízkouhlíkových strategií ve městech, regionech a funkčních městských oblastech a zavádění inovací a přenosu know-how v oblasti ochrany životního prostředí </w:t>
      </w:r>
      <w:r w:rsidR="00E91F0C">
        <w:rPr>
          <w:rFonts w:ascii="Times New Roman" w:hAnsi="Times New Roman" w:cs="Times New Roman"/>
          <w:sz w:val="24"/>
          <w:szCs w:val="24"/>
        </w:rPr>
        <w:t>a efektivního využívání zdrojů.</w:t>
      </w:r>
    </w:p>
    <w:p w:rsidR="005F3F46" w:rsidRPr="000B521F" w:rsidRDefault="005F3F46" w:rsidP="0059011D">
      <w:pPr>
        <w:spacing w:after="120" w:line="240" w:lineRule="auto"/>
        <w:jc w:val="both"/>
        <w:rPr>
          <w:rFonts w:ascii="Times New Roman" w:hAnsi="Times New Roman" w:cs="Times New Roman"/>
          <w:i/>
          <w:sz w:val="24"/>
          <w:szCs w:val="24"/>
        </w:rPr>
      </w:pPr>
      <w:r w:rsidRPr="000B521F">
        <w:rPr>
          <w:rFonts w:ascii="Times New Roman" w:hAnsi="Times New Roman" w:cs="Times New Roman"/>
          <w:i/>
          <w:sz w:val="24"/>
          <w:szCs w:val="24"/>
        </w:rPr>
        <w:t>Kulturní a přírodní dědictví</w:t>
      </w:r>
    </w:p>
    <w:p w:rsidR="005F3F46" w:rsidRPr="000B521F" w:rsidRDefault="005F3F46"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 V rámci této prioritní oblasti bude podpora zaměřena na zachování a obnovu kulturních a přírodních památek, jejich zpřístupnění a přiblížení obyvatelům a návštěvníkům dotčených regionů a začlenění do konceptů udržitelného hospodářského rozvoje dotčených oblastí. </w:t>
      </w:r>
    </w:p>
    <w:p w:rsidR="005F3F46" w:rsidRPr="000B521F" w:rsidRDefault="005F3F46" w:rsidP="0059011D">
      <w:pPr>
        <w:spacing w:after="120" w:line="240" w:lineRule="auto"/>
        <w:jc w:val="both"/>
        <w:rPr>
          <w:rFonts w:ascii="Times New Roman" w:hAnsi="Times New Roman" w:cs="Times New Roman"/>
          <w:i/>
          <w:sz w:val="24"/>
          <w:szCs w:val="24"/>
        </w:rPr>
      </w:pPr>
      <w:r w:rsidRPr="000B521F">
        <w:rPr>
          <w:rFonts w:ascii="Times New Roman" w:hAnsi="Times New Roman" w:cs="Times New Roman"/>
          <w:i/>
          <w:sz w:val="24"/>
          <w:szCs w:val="24"/>
        </w:rPr>
        <w:t>Doprava</w:t>
      </w:r>
    </w:p>
    <w:p w:rsidR="005F3F46" w:rsidRPr="000B521F" w:rsidRDefault="005F3F46"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V rámci této prioritní oblasti bude podporováno plánování rozvoje dopravní infrastruktury, budování přeshraničních dopravních spojení, rozvoj dopravních systémů šetrných k životnímu prostředí jak v osobní dopravě (systémy veřejné dopravy osob), tak v nákladní dopravě (nástroje, sítě a služby v oblasti logistiky), rozvoj multimodálních dopravních uzlů apod. </w:t>
      </w:r>
    </w:p>
    <w:p w:rsidR="005F3F46" w:rsidRPr="000B521F" w:rsidRDefault="005F3F46" w:rsidP="0059011D">
      <w:pPr>
        <w:spacing w:after="120" w:line="240" w:lineRule="auto"/>
        <w:jc w:val="both"/>
        <w:rPr>
          <w:rFonts w:ascii="Times New Roman" w:hAnsi="Times New Roman" w:cs="Times New Roman"/>
          <w:i/>
          <w:sz w:val="24"/>
          <w:szCs w:val="24"/>
        </w:rPr>
      </w:pPr>
      <w:r w:rsidRPr="000B521F">
        <w:rPr>
          <w:rFonts w:ascii="Times New Roman" w:hAnsi="Times New Roman" w:cs="Times New Roman"/>
          <w:i/>
          <w:sz w:val="24"/>
          <w:szCs w:val="24"/>
        </w:rPr>
        <w:t>Vzdělávání, dovednosti a celoživotní učení</w:t>
      </w:r>
    </w:p>
    <w:p w:rsidR="005F3F46" w:rsidRPr="000B521F" w:rsidRDefault="005F3F46"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Podpora v rámci této prioritní oblasti bude zaměřena na rozvoj a realizaci společných konceptů a programů všeobecného a profesního vzdělávání, výměnu zkušeností a know-how atd. Spolupráce bude podporována jak mezi vzdělávacími institucemi navzájem, tak např. spolupráce mezi vzdělávacími institucemi a institucemi na trhu práce, ve veřejném sektoru apod.</w:t>
      </w:r>
    </w:p>
    <w:p w:rsidR="005F3F46" w:rsidRPr="000B521F" w:rsidRDefault="005F3F46" w:rsidP="0059011D">
      <w:pPr>
        <w:spacing w:after="120" w:line="240" w:lineRule="auto"/>
        <w:jc w:val="both"/>
        <w:rPr>
          <w:rFonts w:ascii="Times New Roman" w:hAnsi="Times New Roman" w:cs="Times New Roman"/>
          <w:i/>
          <w:sz w:val="24"/>
          <w:szCs w:val="24"/>
        </w:rPr>
      </w:pPr>
      <w:r w:rsidRPr="000B521F">
        <w:rPr>
          <w:rFonts w:ascii="Times New Roman" w:hAnsi="Times New Roman" w:cs="Times New Roman"/>
          <w:i/>
          <w:sz w:val="24"/>
          <w:szCs w:val="24"/>
        </w:rPr>
        <w:t>Právní a správní spolupráce a spolupráce mezi občany a institucemi</w:t>
      </w:r>
    </w:p>
    <w:p w:rsidR="005F3F46" w:rsidRPr="000B521F" w:rsidRDefault="005F3F46"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V rámci této prioritní oblasti bude rozvíjena spolupráce institucí veřejné správy, zájmové samosprávy, neziskového sektoru, místních iniciativ s cílem prohlubovat integraci příhraničních regionů a budovat administrativní kapacitu pro další rozvoj přeshraniční spolupráce.  </w:t>
      </w:r>
    </w:p>
    <w:p w:rsidR="005F3F46" w:rsidRPr="000B521F" w:rsidRDefault="005F3F46" w:rsidP="0059011D">
      <w:pPr>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Vazby na programy cíle Investice pro růst a zaměstnanost</w:t>
      </w:r>
    </w:p>
    <w:p w:rsidR="005F3F46" w:rsidRPr="000B521F" w:rsidRDefault="005F3F46"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Výše uvedené prioritní oblasti se tematicky překrývají s oblastmi realizovanými v rámci operačních programů (OP) cíle Investice pro růst a zaměstnanost. Obsahově jsou však zaměřeny na řešení společných výzev konkrétních přeshraničních a nadnárodních regionů a jejich cílem bude zejména aktivovat potenciál, který spolupráce při řešení společných problémů nabízí. </w:t>
      </w:r>
    </w:p>
    <w:p w:rsidR="005F3F46" w:rsidRPr="000B521F" w:rsidRDefault="005F3F46"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Zde se otevírá potenciál navazovat na výstupy a výsledky OP cíle Investice pro růst a zaměstnanost a tyto dále v kontextu územní spolupráce rozvíjet a realizovat přidanou hodnotu spolupráce. </w:t>
      </w:r>
    </w:p>
    <w:p w:rsidR="005F3F46" w:rsidRPr="000B521F" w:rsidRDefault="005F3F46"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Příkladem může být v oblasti výzkumu a vývoje sdílení na národní úrovni vybudovaných výzkumných kapacit se zahraničními výzkumnými subjekty; v oblasti vzdělávání například využívání pořízené vzdělávací infrastruktury pro realizaci společných přeshraničních vzdělávacích programů nebo v oblasti rizik sdílení infrastruktury a její zapojování do společných přeshraničních plánů a systémů řízení rizik. </w:t>
      </w:r>
    </w:p>
    <w:p w:rsidR="005F3F46" w:rsidRPr="000B521F" w:rsidRDefault="005F3F46"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Vedle toho se mohou programy EÚS stát katalyzátorem inovací při řešení konkrétních problémů a výzev na národní úrovni, a to realizací pilotních projektů využívajících přenosu know-how a příkladů dobré praxe uplatňovaných v partnerských státech, které pak mohou být ve větším měřítku rozvíjeny v rámci OP cíle Investice pro růst a zaměstnanost. </w:t>
      </w:r>
    </w:p>
    <w:p w:rsidR="005F3F46" w:rsidRPr="000B521F" w:rsidRDefault="005F3F46"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Následující tabulka poskytuje přehled, ve kterých programech OP cíle Investice pro růst a zaměstnanost budou realizována témata shodná s hlavními prioritními oblastmi EÚS a kde tedy vznikají potenciální vazby s OP cíle EÚS.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5670"/>
      </w:tblGrid>
      <w:tr w:rsidR="005F3F46" w:rsidRPr="000B521F" w:rsidTr="008F7C58">
        <w:tc>
          <w:tcPr>
            <w:tcW w:w="3510" w:type="dxa"/>
            <w:shd w:val="clear" w:color="auto" w:fill="8DB3E2" w:themeFill="text2" w:themeFillTint="66"/>
          </w:tcPr>
          <w:p w:rsidR="005F3F46" w:rsidRPr="000B521F" w:rsidRDefault="005F3F46" w:rsidP="0059011D">
            <w:pPr>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Hlavní prioritní oblast EÚS</w:t>
            </w:r>
          </w:p>
        </w:tc>
        <w:tc>
          <w:tcPr>
            <w:tcW w:w="5670" w:type="dxa"/>
            <w:shd w:val="clear" w:color="auto" w:fill="8DB3E2" w:themeFill="text2" w:themeFillTint="66"/>
          </w:tcPr>
          <w:p w:rsidR="005F3F46" w:rsidRPr="000B521F" w:rsidRDefault="005F3F46" w:rsidP="0059011D">
            <w:pPr>
              <w:spacing w:after="120" w:line="240" w:lineRule="auto"/>
              <w:jc w:val="both"/>
              <w:rPr>
                <w:rFonts w:ascii="Times New Roman" w:hAnsi="Times New Roman" w:cs="Times New Roman"/>
                <w:b/>
                <w:sz w:val="24"/>
                <w:szCs w:val="24"/>
              </w:rPr>
            </w:pPr>
            <w:r w:rsidRPr="000B521F">
              <w:rPr>
                <w:rFonts w:ascii="Times New Roman" w:hAnsi="Times New Roman" w:cs="Times New Roman"/>
                <w:b/>
                <w:sz w:val="24"/>
                <w:szCs w:val="24"/>
              </w:rPr>
              <w:t>OP cíle Investice pro růst a zaměstnanost</w:t>
            </w:r>
          </w:p>
        </w:tc>
      </w:tr>
      <w:tr w:rsidR="005F3F46" w:rsidRPr="000B521F" w:rsidTr="008F7C58">
        <w:tc>
          <w:tcPr>
            <w:tcW w:w="3510" w:type="dxa"/>
            <w:shd w:val="clear" w:color="auto" w:fill="C6D9F1" w:themeFill="text2" w:themeFillTint="33"/>
          </w:tcPr>
          <w:p w:rsidR="005F3F46" w:rsidRPr="000B521F" w:rsidRDefault="005F3F46"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Výzkum, vývoj a inovace</w:t>
            </w:r>
          </w:p>
        </w:tc>
        <w:tc>
          <w:tcPr>
            <w:tcW w:w="5670" w:type="dxa"/>
            <w:shd w:val="clear" w:color="auto" w:fill="auto"/>
          </w:tcPr>
          <w:p w:rsidR="008206A4" w:rsidRPr="000B521F" w:rsidRDefault="005F3F46" w:rsidP="0059011D">
            <w:pPr>
              <w:pStyle w:val="Odstavecseseznamem"/>
              <w:numPr>
                <w:ilvl w:val="0"/>
                <w:numId w:val="79"/>
              </w:numPr>
              <w:spacing w:after="0" w:line="240" w:lineRule="auto"/>
              <w:ind w:left="318" w:hanging="284"/>
              <w:jc w:val="both"/>
              <w:rPr>
                <w:rFonts w:ascii="Times New Roman" w:hAnsi="Times New Roman" w:cs="Times New Roman"/>
                <w:sz w:val="24"/>
                <w:szCs w:val="24"/>
              </w:rPr>
            </w:pPr>
            <w:r w:rsidRPr="000B521F">
              <w:rPr>
                <w:rFonts w:ascii="Times New Roman" w:hAnsi="Times New Roman" w:cs="Times New Roman"/>
                <w:sz w:val="24"/>
                <w:szCs w:val="24"/>
              </w:rPr>
              <w:t>OP výzkum, vývoj a vzdělávání</w:t>
            </w:r>
          </w:p>
          <w:p w:rsidR="008206A4" w:rsidRPr="000B521F" w:rsidRDefault="005F3F46" w:rsidP="0059011D">
            <w:pPr>
              <w:pStyle w:val="Odstavecseseznamem"/>
              <w:numPr>
                <w:ilvl w:val="0"/>
                <w:numId w:val="79"/>
              </w:numPr>
              <w:spacing w:after="0" w:line="240" w:lineRule="auto"/>
              <w:ind w:left="318" w:hanging="284"/>
              <w:jc w:val="both"/>
              <w:rPr>
                <w:rFonts w:ascii="Times New Roman" w:hAnsi="Times New Roman" w:cs="Times New Roman"/>
                <w:sz w:val="24"/>
                <w:szCs w:val="24"/>
              </w:rPr>
            </w:pPr>
            <w:r w:rsidRPr="000B521F">
              <w:rPr>
                <w:rFonts w:ascii="Times New Roman" w:hAnsi="Times New Roman" w:cs="Times New Roman"/>
                <w:sz w:val="24"/>
                <w:szCs w:val="24"/>
              </w:rPr>
              <w:t>OP podnikání a inovace pro konkurenceschopnost</w:t>
            </w:r>
          </w:p>
        </w:tc>
      </w:tr>
      <w:tr w:rsidR="005F3F46" w:rsidRPr="000B521F" w:rsidTr="008F7C58">
        <w:tc>
          <w:tcPr>
            <w:tcW w:w="3510" w:type="dxa"/>
            <w:shd w:val="clear" w:color="auto" w:fill="C6D9F1" w:themeFill="text2" w:themeFillTint="33"/>
          </w:tcPr>
          <w:p w:rsidR="005F3F46" w:rsidRPr="000B521F" w:rsidRDefault="005F3F46"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Prevence, monitoring a řízení rizik</w:t>
            </w:r>
          </w:p>
        </w:tc>
        <w:tc>
          <w:tcPr>
            <w:tcW w:w="5670" w:type="dxa"/>
            <w:shd w:val="clear" w:color="auto" w:fill="auto"/>
          </w:tcPr>
          <w:p w:rsidR="008206A4" w:rsidRPr="000B521F" w:rsidRDefault="005F3F46" w:rsidP="0059011D">
            <w:pPr>
              <w:pStyle w:val="Odstavecseseznamem"/>
              <w:numPr>
                <w:ilvl w:val="0"/>
                <w:numId w:val="79"/>
              </w:numPr>
              <w:spacing w:after="0" w:line="240" w:lineRule="auto"/>
              <w:ind w:left="318" w:hanging="284"/>
              <w:jc w:val="both"/>
              <w:rPr>
                <w:rFonts w:ascii="Times New Roman" w:hAnsi="Times New Roman" w:cs="Times New Roman"/>
                <w:sz w:val="24"/>
                <w:szCs w:val="24"/>
              </w:rPr>
            </w:pPr>
            <w:r w:rsidRPr="000B521F">
              <w:rPr>
                <w:rFonts w:ascii="Times New Roman" w:hAnsi="Times New Roman" w:cs="Times New Roman"/>
                <w:sz w:val="24"/>
                <w:szCs w:val="24"/>
              </w:rPr>
              <w:t>OP životní prostředí</w:t>
            </w:r>
          </w:p>
          <w:p w:rsidR="008206A4" w:rsidRPr="000B521F" w:rsidRDefault="005F3F46" w:rsidP="0059011D">
            <w:pPr>
              <w:pStyle w:val="Odstavecseseznamem"/>
              <w:numPr>
                <w:ilvl w:val="0"/>
                <w:numId w:val="79"/>
              </w:numPr>
              <w:spacing w:after="0" w:line="240" w:lineRule="auto"/>
              <w:ind w:left="318" w:hanging="284"/>
              <w:jc w:val="both"/>
              <w:rPr>
                <w:rFonts w:ascii="Times New Roman" w:hAnsi="Times New Roman" w:cs="Times New Roman"/>
                <w:sz w:val="24"/>
                <w:szCs w:val="24"/>
              </w:rPr>
            </w:pPr>
            <w:r w:rsidRPr="000B521F">
              <w:rPr>
                <w:rFonts w:ascii="Times New Roman" w:hAnsi="Times New Roman" w:cs="Times New Roman"/>
                <w:sz w:val="24"/>
                <w:szCs w:val="24"/>
              </w:rPr>
              <w:t>Integrovaný regionální operační program</w:t>
            </w:r>
          </w:p>
        </w:tc>
      </w:tr>
      <w:tr w:rsidR="005F3F46" w:rsidRPr="000B521F" w:rsidTr="008F7C58">
        <w:tc>
          <w:tcPr>
            <w:tcW w:w="3510" w:type="dxa"/>
            <w:shd w:val="clear" w:color="auto" w:fill="C6D9F1" w:themeFill="text2" w:themeFillTint="33"/>
          </w:tcPr>
          <w:p w:rsidR="005F3F46" w:rsidRPr="000B521F" w:rsidRDefault="005F3F46"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Životní prostředí a účinné využívání zdrojů</w:t>
            </w:r>
          </w:p>
        </w:tc>
        <w:tc>
          <w:tcPr>
            <w:tcW w:w="5670" w:type="dxa"/>
            <w:shd w:val="clear" w:color="auto" w:fill="auto"/>
          </w:tcPr>
          <w:p w:rsidR="008206A4" w:rsidRPr="000B521F" w:rsidRDefault="005F3F46" w:rsidP="0059011D">
            <w:pPr>
              <w:pStyle w:val="Odstavecseseznamem"/>
              <w:numPr>
                <w:ilvl w:val="0"/>
                <w:numId w:val="79"/>
              </w:numPr>
              <w:spacing w:after="0" w:line="240" w:lineRule="auto"/>
              <w:ind w:left="318" w:hanging="284"/>
              <w:jc w:val="both"/>
              <w:rPr>
                <w:rFonts w:ascii="Times New Roman" w:hAnsi="Times New Roman" w:cs="Times New Roman"/>
                <w:sz w:val="24"/>
                <w:szCs w:val="24"/>
              </w:rPr>
            </w:pPr>
            <w:r w:rsidRPr="000B521F">
              <w:rPr>
                <w:rFonts w:ascii="Times New Roman" w:hAnsi="Times New Roman" w:cs="Times New Roman"/>
                <w:sz w:val="24"/>
                <w:szCs w:val="24"/>
              </w:rPr>
              <w:t>OP životní prostředí</w:t>
            </w:r>
          </w:p>
          <w:p w:rsidR="008206A4" w:rsidRPr="000B521F" w:rsidRDefault="005F3F46" w:rsidP="0059011D">
            <w:pPr>
              <w:pStyle w:val="Odstavecseseznamem"/>
              <w:numPr>
                <w:ilvl w:val="0"/>
                <w:numId w:val="79"/>
              </w:numPr>
              <w:spacing w:after="0" w:line="240" w:lineRule="auto"/>
              <w:ind w:left="318" w:hanging="284"/>
              <w:jc w:val="both"/>
              <w:rPr>
                <w:rFonts w:ascii="Times New Roman" w:hAnsi="Times New Roman" w:cs="Times New Roman"/>
                <w:sz w:val="24"/>
                <w:szCs w:val="24"/>
              </w:rPr>
            </w:pPr>
            <w:r w:rsidRPr="000B521F">
              <w:rPr>
                <w:rFonts w:ascii="Times New Roman" w:hAnsi="Times New Roman" w:cs="Times New Roman"/>
                <w:sz w:val="24"/>
                <w:szCs w:val="24"/>
              </w:rPr>
              <w:t>Integrovaný regionální operační program</w:t>
            </w:r>
          </w:p>
        </w:tc>
      </w:tr>
      <w:tr w:rsidR="005F3F46" w:rsidRPr="000B521F" w:rsidTr="008F7C58">
        <w:tc>
          <w:tcPr>
            <w:tcW w:w="3510" w:type="dxa"/>
            <w:shd w:val="clear" w:color="auto" w:fill="C6D9F1" w:themeFill="text2" w:themeFillTint="33"/>
          </w:tcPr>
          <w:p w:rsidR="005F3F46" w:rsidRPr="000B521F" w:rsidRDefault="005F3F46"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Kulturní a přírodní dědictví</w:t>
            </w:r>
          </w:p>
        </w:tc>
        <w:tc>
          <w:tcPr>
            <w:tcW w:w="5670" w:type="dxa"/>
            <w:shd w:val="clear" w:color="auto" w:fill="auto"/>
          </w:tcPr>
          <w:p w:rsidR="008206A4" w:rsidRPr="000B521F" w:rsidRDefault="005F3F46" w:rsidP="0059011D">
            <w:pPr>
              <w:pStyle w:val="Odstavecseseznamem"/>
              <w:numPr>
                <w:ilvl w:val="0"/>
                <w:numId w:val="79"/>
              </w:numPr>
              <w:spacing w:after="0" w:line="240" w:lineRule="auto"/>
              <w:ind w:left="318" w:hanging="284"/>
              <w:jc w:val="both"/>
              <w:rPr>
                <w:rFonts w:ascii="Times New Roman" w:hAnsi="Times New Roman" w:cs="Times New Roman"/>
                <w:sz w:val="24"/>
                <w:szCs w:val="24"/>
              </w:rPr>
            </w:pPr>
            <w:r w:rsidRPr="000B521F">
              <w:rPr>
                <w:rFonts w:ascii="Times New Roman" w:hAnsi="Times New Roman" w:cs="Times New Roman"/>
                <w:sz w:val="24"/>
                <w:szCs w:val="24"/>
              </w:rPr>
              <w:t>Integrovaný regionální operační program</w:t>
            </w:r>
          </w:p>
        </w:tc>
      </w:tr>
      <w:tr w:rsidR="005F3F46" w:rsidRPr="000B521F" w:rsidTr="008F7C58">
        <w:tc>
          <w:tcPr>
            <w:tcW w:w="3510" w:type="dxa"/>
            <w:shd w:val="clear" w:color="auto" w:fill="C6D9F1" w:themeFill="text2" w:themeFillTint="33"/>
          </w:tcPr>
          <w:p w:rsidR="005F3F46" w:rsidRPr="000B521F" w:rsidRDefault="005F3F46"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Doprava</w:t>
            </w:r>
          </w:p>
        </w:tc>
        <w:tc>
          <w:tcPr>
            <w:tcW w:w="5670" w:type="dxa"/>
            <w:shd w:val="clear" w:color="auto" w:fill="auto"/>
          </w:tcPr>
          <w:p w:rsidR="008206A4" w:rsidRPr="000B521F" w:rsidRDefault="005F3F46" w:rsidP="0059011D">
            <w:pPr>
              <w:pStyle w:val="Odstavecseseznamem"/>
              <w:numPr>
                <w:ilvl w:val="0"/>
                <w:numId w:val="79"/>
              </w:numPr>
              <w:spacing w:after="0" w:line="240" w:lineRule="auto"/>
              <w:ind w:left="318" w:hanging="284"/>
              <w:jc w:val="both"/>
              <w:rPr>
                <w:rFonts w:ascii="Times New Roman" w:hAnsi="Times New Roman" w:cs="Times New Roman"/>
                <w:sz w:val="24"/>
                <w:szCs w:val="24"/>
              </w:rPr>
            </w:pPr>
            <w:r w:rsidRPr="000B521F">
              <w:rPr>
                <w:rFonts w:ascii="Times New Roman" w:hAnsi="Times New Roman" w:cs="Times New Roman"/>
                <w:sz w:val="24"/>
                <w:szCs w:val="24"/>
              </w:rPr>
              <w:t>Integrovaný regionální operační program</w:t>
            </w:r>
          </w:p>
        </w:tc>
      </w:tr>
      <w:tr w:rsidR="005F3F46" w:rsidRPr="000B521F" w:rsidTr="008F7C58">
        <w:tc>
          <w:tcPr>
            <w:tcW w:w="3510" w:type="dxa"/>
            <w:shd w:val="clear" w:color="auto" w:fill="C6D9F1" w:themeFill="text2" w:themeFillTint="33"/>
          </w:tcPr>
          <w:p w:rsidR="005F3F46" w:rsidRPr="000B521F" w:rsidRDefault="005F3F46"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Vzdělávání, dovednosti a celoživotní učení</w:t>
            </w:r>
          </w:p>
        </w:tc>
        <w:tc>
          <w:tcPr>
            <w:tcW w:w="5670" w:type="dxa"/>
            <w:shd w:val="clear" w:color="auto" w:fill="auto"/>
          </w:tcPr>
          <w:p w:rsidR="008206A4" w:rsidRPr="000B521F" w:rsidRDefault="005F3F46" w:rsidP="0059011D">
            <w:pPr>
              <w:pStyle w:val="Odstavecseseznamem"/>
              <w:numPr>
                <w:ilvl w:val="0"/>
                <w:numId w:val="79"/>
              </w:numPr>
              <w:spacing w:after="0" w:line="240" w:lineRule="auto"/>
              <w:ind w:left="318" w:hanging="284"/>
              <w:jc w:val="both"/>
              <w:rPr>
                <w:rFonts w:ascii="Times New Roman" w:hAnsi="Times New Roman" w:cs="Times New Roman"/>
                <w:sz w:val="24"/>
                <w:szCs w:val="24"/>
              </w:rPr>
            </w:pPr>
            <w:r w:rsidRPr="000B521F">
              <w:rPr>
                <w:rFonts w:ascii="Times New Roman" w:hAnsi="Times New Roman" w:cs="Times New Roman"/>
                <w:sz w:val="24"/>
                <w:szCs w:val="24"/>
              </w:rPr>
              <w:t>Výzkum, vývoj a vzdělávání</w:t>
            </w:r>
          </w:p>
          <w:p w:rsidR="008206A4" w:rsidRPr="000B521F" w:rsidRDefault="005F3F46" w:rsidP="0059011D">
            <w:pPr>
              <w:pStyle w:val="Odstavecseseznamem"/>
              <w:numPr>
                <w:ilvl w:val="0"/>
                <w:numId w:val="79"/>
              </w:numPr>
              <w:spacing w:after="0" w:line="240" w:lineRule="auto"/>
              <w:ind w:left="318" w:hanging="284"/>
              <w:jc w:val="both"/>
              <w:rPr>
                <w:rFonts w:ascii="Times New Roman" w:hAnsi="Times New Roman" w:cs="Times New Roman"/>
                <w:sz w:val="24"/>
                <w:szCs w:val="24"/>
              </w:rPr>
            </w:pPr>
            <w:r w:rsidRPr="000B521F">
              <w:rPr>
                <w:rFonts w:ascii="Times New Roman" w:hAnsi="Times New Roman" w:cs="Times New Roman"/>
                <w:sz w:val="24"/>
                <w:szCs w:val="24"/>
              </w:rPr>
              <w:t>Integrovaný regionální operační program</w:t>
            </w:r>
          </w:p>
        </w:tc>
      </w:tr>
      <w:tr w:rsidR="005F3F46" w:rsidRPr="000B521F" w:rsidTr="008F7C58">
        <w:tc>
          <w:tcPr>
            <w:tcW w:w="3510" w:type="dxa"/>
            <w:shd w:val="clear" w:color="auto" w:fill="C6D9F1" w:themeFill="text2" w:themeFillTint="33"/>
          </w:tcPr>
          <w:p w:rsidR="005F3F46" w:rsidRPr="000B521F" w:rsidRDefault="005F3F46"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Právní a správní spolupráce a spolupráce mezi občany a institucemi</w:t>
            </w:r>
          </w:p>
        </w:tc>
        <w:tc>
          <w:tcPr>
            <w:tcW w:w="5670" w:type="dxa"/>
            <w:shd w:val="clear" w:color="auto" w:fill="auto"/>
          </w:tcPr>
          <w:p w:rsidR="008206A4" w:rsidRPr="000B521F" w:rsidRDefault="005F3F46" w:rsidP="0059011D">
            <w:pPr>
              <w:pStyle w:val="Odstavecseseznamem"/>
              <w:numPr>
                <w:ilvl w:val="0"/>
                <w:numId w:val="79"/>
              </w:numPr>
              <w:spacing w:after="0" w:line="240" w:lineRule="auto"/>
              <w:ind w:left="318" w:hanging="284"/>
              <w:jc w:val="both"/>
              <w:rPr>
                <w:rFonts w:ascii="Times New Roman" w:hAnsi="Times New Roman" w:cs="Times New Roman"/>
                <w:sz w:val="24"/>
                <w:szCs w:val="24"/>
              </w:rPr>
            </w:pPr>
            <w:r w:rsidRPr="000B521F">
              <w:rPr>
                <w:rFonts w:ascii="Times New Roman" w:hAnsi="Times New Roman" w:cs="Times New Roman"/>
                <w:sz w:val="24"/>
                <w:szCs w:val="24"/>
              </w:rPr>
              <w:t>OP zaměstnanost</w:t>
            </w:r>
          </w:p>
          <w:p w:rsidR="008206A4" w:rsidRPr="000B521F" w:rsidRDefault="005F3F46" w:rsidP="0059011D">
            <w:pPr>
              <w:pStyle w:val="Odstavecseseznamem"/>
              <w:numPr>
                <w:ilvl w:val="0"/>
                <w:numId w:val="79"/>
              </w:numPr>
              <w:spacing w:after="0" w:line="240" w:lineRule="auto"/>
              <w:ind w:left="318" w:hanging="284"/>
              <w:jc w:val="both"/>
              <w:rPr>
                <w:rFonts w:ascii="Times New Roman" w:hAnsi="Times New Roman" w:cs="Times New Roman"/>
                <w:sz w:val="24"/>
                <w:szCs w:val="24"/>
              </w:rPr>
            </w:pPr>
            <w:r w:rsidRPr="000B521F">
              <w:rPr>
                <w:rFonts w:ascii="Times New Roman" w:hAnsi="Times New Roman" w:cs="Times New Roman"/>
                <w:sz w:val="24"/>
                <w:szCs w:val="24"/>
              </w:rPr>
              <w:t>Integrovaný regionální operační program</w:t>
            </w:r>
          </w:p>
        </w:tc>
      </w:tr>
    </w:tbl>
    <w:p w:rsidR="005F3F46" w:rsidRPr="000B521F" w:rsidRDefault="005F3F46" w:rsidP="0059011D">
      <w:pPr>
        <w:spacing w:after="120" w:line="240" w:lineRule="auto"/>
        <w:rPr>
          <w:rFonts w:ascii="Times New Roman" w:hAnsi="Times New Roman" w:cs="Times New Roman"/>
          <w:sz w:val="24"/>
          <w:szCs w:val="24"/>
        </w:rPr>
      </w:pPr>
    </w:p>
    <w:p w:rsidR="00507842" w:rsidRPr="000B521F" w:rsidRDefault="00507842" w:rsidP="0059011D">
      <w:pPr>
        <w:spacing w:after="120" w:line="240" w:lineRule="auto"/>
        <w:rPr>
          <w:rStyle w:val="Zdraznnintenzivn"/>
          <w:rFonts w:ascii="Times New Roman" w:hAnsi="Times New Roman" w:cs="Times New Roman"/>
          <w:i w:val="0"/>
          <w:color w:val="auto"/>
          <w:sz w:val="24"/>
          <w:szCs w:val="24"/>
        </w:rPr>
      </w:pPr>
      <w:r w:rsidRPr="000B521F">
        <w:rPr>
          <w:rStyle w:val="Zdraznnintenzivn"/>
          <w:rFonts w:ascii="Times New Roman" w:hAnsi="Times New Roman" w:cs="Times New Roman"/>
          <w:i w:val="0"/>
          <w:color w:val="auto"/>
          <w:sz w:val="24"/>
          <w:szCs w:val="24"/>
        </w:rPr>
        <w:t>Zohlednění makroregionálních strategií</w:t>
      </w:r>
    </w:p>
    <w:p w:rsidR="005A37D3" w:rsidRPr="000B521F" w:rsidRDefault="005A37D3" w:rsidP="0059011D">
      <w:pPr>
        <w:pStyle w:val="Odstavecseseznamem"/>
        <w:autoSpaceDE w:val="0"/>
        <w:autoSpaceDN w:val="0"/>
        <w:adjustRightInd w:val="0"/>
        <w:spacing w:after="120" w:line="240" w:lineRule="auto"/>
        <w:ind w:left="0"/>
        <w:contextualSpacing w:val="0"/>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Z existujících makroregionálních strategií se Česká republika podílí na Strategii EU pro Podunají. Základním dokumentem pro její implementaci je Sdělení Evropské komise</w:t>
      </w:r>
      <w:r w:rsidRPr="000B521F">
        <w:rPr>
          <w:rStyle w:val="Znakapoznpodarou"/>
          <w:rFonts w:ascii="Times New Roman" w:hAnsi="Times New Roman" w:cs="Times New Roman"/>
          <w:color w:val="000000"/>
          <w:sz w:val="24"/>
          <w:szCs w:val="24"/>
        </w:rPr>
        <w:footnoteReference w:id="90"/>
      </w:r>
      <w:r w:rsidRPr="000B521F">
        <w:rPr>
          <w:rFonts w:ascii="Times New Roman" w:hAnsi="Times New Roman" w:cs="Times New Roman"/>
          <w:color w:val="000000"/>
          <w:sz w:val="24"/>
          <w:szCs w:val="24"/>
        </w:rPr>
        <w:t xml:space="preserve"> a zvláště pak doprovodný Akční plán, který tematicky vymezuje oblasti, v nichž by měla být Strategie implementována. Implementací tohoto Akčního plánu jsou na makroregionální úrovni pověřeny tzv. řídící výbory, které jsou zřízeny pro každou z jedenácti prioritních oblastí Strategie EU pro Podunají. Za Českou republiku se jednání těchto řídících výborů účastní jako gestoři či spolugestoři zástupci věcně příslušných ministerstev (MD, MMR, MK, MPO, MŽP, MV, MŠMT). Zároveň je zaručena jejich vzájemná informovanost prostřednictvím Resortní koordinační skupiny ÚV pro makroregionální strategie, které jsou zástupci těchto ministerstev členy, a které předsedá národní kontaktní bod pro Strategii EU pro Podunají v ČR (viz dále). Tato resortní koordinační skupina se schází podle potřeby, zpravidla čtyřikrát ročně.</w:t>
      </w:r>
    </w:p>
    <w:p w:rsidR="005A37D3" w:rsidRPr="000B521F" w:rsidRDefault="005A37D3" w:rsidP="0059011D">
      <w:pPr>
        <w:pStyle w:val="Odstavecseseznamem"/>
        <w:autoSpaceDE w:val="0"/>
        <w:autoSpaceDN w:val="0"/>
        <w:adjustRightInd w:val="0"/>
        <w:spacing w:after="120" w:line="240" w:lineRule="auto"/>
        <w:ind w:left="0"/>
        <w:contextualSpacing w:val="0"/>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 xml:space="preserve">Česká republika vidí v možnosti identifikace společných cílů na makroregionální úrovni podstatnou přidanou hodnotu pro řešení těch vlastních potřeb, které jsou lépe naplnitelné na úrovni makroregionu a z tohoto hlediska je pro ni podstatné zajistit funkční propojení mezi Strategií pro Podunají a přípravou i implementací </w:t>
      </w:r>
      <w:r w:rsidR="00AA5AB8" w:rsidRPr="000B521F">
        <w:rPr>
          <w:rFonts w:ascii="Times New Roman" w:hAnsi="Times New Roman" w:cs="Times New Roman"/>
          <w:color w:val="000000"/>
          <w:sz w:val="24"/>
          <w:szCs w:val="24"/>
        </w:rPr>
        <w:t>programu</w:t>
      </w:r>
      <w:r w:rsidRPr="000B521F">
        <w:rPr>
          <w:rFonts w:ascii="Times New Roman" w:hAnsi="Times New Roman" w:cs="Times New Roman"/>
          <w:color w:val="000000"/>
          <w:sz w:val="24"/>
          <w:szCs w:val="24"/>
        </w:rPr>
        <w:t xml:space="preserve">. Ministerstva pověřená gescí řídících výborů na úrovni ČR jsou zároveň řídícími orgány </w:t>
      </w:r>
      <w:r w:rsidR="00AA5AB8" w:rsidRPr="000B521F">
        <w:rPr>
          <w:rFonts w:ascii="Times New Roman" w:hAnsi="Times New Roman" w:cs="Times New Roman"/>
          <w:color w:val="000000"/>
          <w:sz w:val="24"/>
          <w:szCs w:val="24"/>
        </w:rPr>
        <w:t>programů</w:t>
      </w:r>
      <w:r w:rsidRPr="000B521F">
        <w:rPr>
          <w:rFonts w:ascii="Times New Roman" w:hAnsi="Times New Roman" w:cs="Times New Roman"/>
          <w:color w:val="000000"/>
          <w:sz w:val="24"/>
          <w:szCs w:val="24"/>
        </w:rPr>
        <w:t xml:space="preserve"> čímž jsou dány vhodné podmínky pro zajištění vazby mezi Strategií EU pro Podunají, konkrétně implementací jejího Akčního plánu na makroregionální úrovni, a </w:t>
      </w:r>
      <w:r w:rsidR="00AA5AB8" w:rsidRPr="000B521F">
        <w:rPr>
          <w:rFonts w:ascii="Times New Roman" w:hAnsi="Times New Roman" w:cs="Times New Roman"/>
          <w:color w:val="000000"/>
          <w:sz w:val="24"/>
          <w:szCs w:val="24"/>
        </w:rPr>
        <w:t>programů</w:t>
      </w:r>
      <w:r w:rsidRPr="000B521F">
        <w:rPr>
          <w:rFonts w:ascii="Times New Roman" w:hAnsi="Times New Roman" w:cs="Times New Roman"/>
          <w:color w:val="000000"/>
          <w:sz w:val="24"/>
          <w:szCs w:val="24"/>
        </w:rPr>
        <w:t xml:space="preserve"> na národní úrovni.  Členové řídících výborů byli požádáni o spolupráci na přípravě </w:t>
      </w:r>
      <w:r w:rsidR="00AA5AB8" w:rsidRPr="000B521F">
        <w:rPr>
          <w:rFonts w:ascii="Times New Roman" w:hAnsi="Times New Roman" w:cs="Times New Roman"/>
          <w:color w:val="000000"/>
          <w:sz w:val="24"/>
          <w:szCs w:val="24"/>
        </w:rPr>
        <w:t>programů</w:t>
      </w:r>
      <w:r w:rsidRPr="000B521F">
        <w:rPr>
          <w:rFonts w:ascii="Times New Roman" w:hAnsi="Times New Roman" w:cs="Times New Roman"/>
          <w:color w:val="000000"/>
          <w:sz w:val="24"/>
          <w:szCs w:val="24"/>
        </w:rPr>
        <w:t xml:space="preserve"> řídícími orgány těch </w:t>
      </w:r>
      <w:r w:rsidR="00AA5AB8" w:rsidRPr="000B521F">
        <w:rPr>
          <w:rFonts w:ascii="Times New Roman" w:hAnsi="Times New Roman" w:cs="Times New Roman"/>
          <w:color w:val="000000"/>
          <w:sz w:val="24"/>
          <w:szCs w:val="24"/>
        </w:rPr>
        <w:t>programů</w:t>
      </w:r>
      <w:r w:rsidRPr="000B521F">
        <w:rPr>
          <w:rFonts w:ascii="Times New Roman" w:hAnsi="Times New Roman" w:cs="Times New Roman"/>
          <w:color w:val="000000"/>
          <w:sz w:val="24"/>
          <w:szCs w:val="24"/>
        </w:rPr>
        <w:t xml:space="preserve">, které byly vyhodnoceny jako pro daný </w:t>
      </w:r>
      <w:r w:rsidR="00AA5AB8" w:rsidRPr="000B521F">
        <w:rPr>
          <w:rFonts w:ascii="Times New Roman" w:hAnsi="Times New Roman" w:cs="Times New Roman"/>
          <w:color w:val="000000"/>
          <w:sz w:val="24"/>
          <w:szCs w:val="24"/>
        </w:rPr>
        <w:t>program</w:t>
      </w:r>
      <w:r w:rsidRPr="000B521F">
        <w:rPr>
          <w:rFonts w:ascii="Times New Roman" w:hAnsi="Times New Roman" w:cs="Times New Roman"/>
          <w:color w:val="000000"/>
          <w:sz w:val="24"/>
          <w:szCs w:val="24"/>
        </w:rPr>
        <w:t xml:space="preserve"> relevantní na základě podkladů vypakovaných Resortní koordinační skupinou pro makroregionální strategie. Ve fázi implementace bude zapojení členů řídících výborů zajištěno pomocí jejich </w:t>
      </w:r>
      <w:r w:rsidR="00B95E6E">
        <w:rPr>
          <w:rFonts w:ascii="Times New Roman" w:hAnsi="Times New Roman"/>
          <w:color w:val="000000"/>
          <w:sz w:val="24"/>
          <w:szCs w:val="24"/>
        </w:rPr>
        <w:t>zapojení do činnosti a pomocí konzultací či asistence v monitorovacích výborech pro ně relevantních programů.</w:t>
      </w:r>
      <w:r w:rsidRPr="000B521F">
        <w:rPr>
          <w:rFonts w:ascii="Times New Roman" w:hAnsi="Times New Roman" w:cs="Times New Roman"/>
          <w:color w:val="000000"/>
          <w:sz w:val="24"/>
          <w:szCs w:val="24"/>
        </w:rPr>
        <w:t xml:space="preserve">. Tato vazba je využitelná oběma směry, neboť umožňuje jednak vzít v potaz priority Strategie EU pro Podunají při programování a vypisování výzev na národní úrovni, a zároveň také zohlednit priority České republiky ve společném stanovení konkrétních cílů makroregionu prostřednictvím činnosti těchto zástupců v řídících výborech. </w:t>
      </w:r>
    </w:p>
    <w:p w:rsidR="005A37D3" w:rsidRPr="000B521F" w:rsidRDefault="005A37D3" w:rsidP="0059011D">
      <w:pPr>
        <w:pStyle w:val="Odstavecseseznamem"/>
        <w:autoSpaceDE w:val="0"/>
        <w:autoSpaceDN w:val="0"/>
        <w:adjustRightInd w:val="0"/>
        <w:spacing w:after="120" w:line="240" w:lineRule="auto"/>
        <w:ind w:left="0"/>
        <w:contextualSpacing w:val="0"/>
        <w:jc w:val="both"/>
        <w:rPr>
          <w:rFonts w:ascii="Times New Roman" w:hAnsi="Times New Roman" w:cs="Times New Roman"/>
          <w:color w:val="000000"/>
          <w:sz w:val="24"/>
          <w:szCs w:val="24"/>
        </w:rPr>
      </w:pPr>
      <w:r w:rsidRPr="000B521F">
        <w:rPr>
          <w:rFonts w:ascii="Times New Roman" w:hAnsi="Times New Roman" w:cs="Times New Roman"/>
          <w:sz w:val="24"/>
          <w:szCs w:val="24"/>
        </w:rPr>
        <w:t xml:space="preserve">Na horizontální úrovni zaštiťuje provázanost mezi cíli Strategie a </w:t>
      </w:r>
      <w:r w:rsidR="00AA5AB8" w:rsidRPr="000B521F">
        <w:rPr>
          <w:rFonts w:ascii="Times New Roman" w:hAnsi="Times New Roman" w:cs="Times New Roman"/>
          <w:sz w:val="24"/>
          <w:szCs w:val="24"/>
        </w:rPr>
        <w:t xml:space="preserve">programem </w:t>
      </w:r>
      <w:r w:rsidRPr="000B521F">
        <w:rPr>
          <w:rFonts w:ascii="Times New Roman" w:hAnsi="Times New Roman" w:cs="Times New Roman"/>
          <w:sz w:val="24"/>
          <w:szCs w:val="24"/>
        </w:rPr>
        <w:t xml:space="preserve">národní kontaktní bod, který koordinuje aktivity v rámci Strategie pro Podunají na úrovni ČR. Jde primárně o politickou roli, jejímž cílem je zajištění prosazování makroregionálního přístupu k řešení problémů tam, kde je to relevantní. </w:t>
      </w:r>
      <w:r w:rsidRPr="000B521F">
        <w:rPr>
          <w:rFonts w:ascii="Times New Roman" w:hAnsi="Times New Roman" w:cs="Times New Roman"/>
          <w:color w:val="000000"/>
          <w:sz w:val="24"/>
          <w:szCs w:val="24"/>
        </w:rPr>
        <w:t xml:space="preserve">Národním kontaktním bodem Strategie EU pro Podunají v rámci České republiky je Státní tajemník pro evropské záležitosti při ÚV. Pro potřeby koordinace zřídil výše zmíněnou resortní koordinační skupinu, které předsedá. Státní tajemník pro evropské záležitosti má právo účasti na jednáních vlády, jednání  relevantních pracovních skupin pro přípravu  i implementaci budoucího programového </w:t>
      </w:r>
      <w:r w:rsidR="00E91F0C">
        <w:rPr>
          <w:rFonts w:ascii="Times New Roman" w:hAnsi="Times New Roman" w:cs="Times New Roman"/>
          <w:color w:val="000000"/>
          <w:sz w:val="24"/>
          <w:szCs w:val="24"/>
        </w:rPr>
        <w:t>období, především Ř</w:t>
      </w:r>
      <w:r w:rsidRPr="000B521F">
        <w:rPr>
          <w:rFonts w:ascii="Times New Roman" w:hAnsi="Times New Roman" w:cs="Times New Roman"/>
          <w:color w:val="000000"/>
          <w:sz w:val="24"/>
          <w:szCs w:val="24"/>
        </w:rPr>
        <w:t>ídícího výboru Pracovní skupiny k přípravě Dohody o partnerství 2014–2020, vyjednávacího týmu pro Dohodu o partnerství či monitorovacích výborů jednotlivých OP, čímž je zajištěno propojení na horizontální úrovni jak ve fázi přípravy, tak ve fázi implementace.</w:t>
      </w:r>
    </w:p>
    <w:p w:rsidR="005A37D3" w:rsidRPr="000B521F" w:rsidRDefault="005A37D3" w:rsidP="0059011D">
      <w:pPr>
        <w:pStyle w:val="Odstavecseseznamem"/>
        <w:autoSpaceDE w:val="0"/>
        <w:autoSpaceDN w:val="0"/>
        <w:adjustRightInd w:val="0"/>
        <w:spacing w:after="120" w:line="240" w:lineRule="auto"/>
        <w:ind w:left="0"/>
        <w:contextualSpacing w:val="0"/>
        <w:jc w:val="both"/>
        <w:rPr>
          <w:rFonts w:ascii="Times New Roman" w:hAnsi="Times New Roman" w:cs="Times New Roman"/>
          <w:color w:val="000000"/>
          <w:sz w:val="24"/>
          <w:szCs w:val="24"/>
        </w:rPr>
      </w:pPr>
    </w:p>
    <w:p w:rsidR="005A37D3" w:rsidRPr="000B521F" w:rsidRDefault="005A37D3" w:rsidP="0059011D">
      <w:pPr>
        <w:pStyle w:val="Odstavecseseznamem"/>
        <w:autoSpaceDE w:val="0"/>
        <w:autoSpaceDN w:val="0"/>
        <w:adjustRightInd w:val="0"/>
        <w:spacing w:after="120" w:line="240" w:lineRule="auto"/>
        <w:ind w:left="0"/>
        <w:contextualSpacing w:val="0"/>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 xml:space="preserve">Specifická situace existuje v rámci Prioritní oblasti 2 “Povzbuzení udržitelnější energetiky“ Strategie EU pro Podunají, ve které je ČR koordinátorem společně s Maďarskem . Jednání  řídícího výboru této skupiny se zpravidla účastní také národní kontaktní bod, přičemž ČR některá tato jednání pořádala a bude pořádat. Koordinační úloha ze strany ČR vykonává MPO, přičemž na jeho žádost tato role přejde na ÚV. Tím se dostane roli koordinátora prioritní oblasti vyšší politická váha a budou také umožněny odpovídající investice do lidských zdrojů. Zároveň seskupením obou rolí pod jednu instituci bude usnadněna součinnost mezi nimi. </w:t>
      </w:r>
    </w:p>
    <w:p w:rsidR="005A37D3" w:rsidRPr="000B521F" w:rsidRDefault="005A37D3" w:rsidP="0059011D">
      <w:pPr>
        <w:pStyle w:val="Odstavecseseznamem"/>
        <w:autoSpaceDE w:val="0"/>
        <w:autoSpaceDN w:val="0"/>
        <w:adjustRightInd w:val="0"/>
        <w:spacing w:after="120" w:line="240" w:lineRule="auto"/>
        <w:ind w:left="0"/>
        <w:contextualSpacing w:val="0"/>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 xml:space="preserve">Česká republika vidí možnost zesílené koordinace v rámci těch OP přeshraniční, nadnárodní a meziregionální spolupráce, které nepřesahují teritorium makroregionu Podunají. Specificky se nabízí nově zřízený OP nadnárodní spolupráce Dunaj, jehož území je zcela identické s územím makroregionu. Při uvažování o těchto možnostech je ovšem třeba vzít v potaz objem disponibilních zdrojů tohoto OP. </w:t>
      </w:r>
    </w:p>
    <w:p w:rsidR="005A37D3" w:rsidRPr="000B521F" w:rsidRDefault="005A37D3" w:rsidP="0059011D">
      <w:pPr>
        <w:pStyle w:val="Odstavecseseznamem"/>
        <w:autoSpaceDE w:val="0"/>
        <w:autoSpaceDN w:val="0"/>
        <w:adjustRightInd w:val="0"/>
        <w:spacing w:after="120" w:line="240" w:lineRule="auto"/>
        <w:ind w:left="0"/>
        <w:contextualSpacing w:val="0"/>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 xml:space="preserve">Zapracování konkrétních priorit bude upřesněno v návrzích </w:t>
      </w:r>
      <w:r w:rsidR="00343795" w:rsidRPr="000B521F">
        <w:rPr>
          <w:rFonts w:ascii="Times New Roman" w:hAnsi="Times New Roman" w:cs="Times New Roman"/>
          <w:color w:val="000000"/>
          <w:sz w:val="24"/>
          <w:szCs w:val="24"/>
        </w:rPr>
        <w:t>programů</w:t>
      </w:r>
      <w:r w:rsidRPr="000B521F">
        <w:rPr>
          <w:rFonts w:ascii="Times New Roman" w:hAnsi="Times New Roman" w:cs="Times New Roman"/>
          <w:color w:val="000000"/>
          <w:sz w:val="24"/>
          <w:szCs w:val="24"/>
        </w:rPr>
        <w:t xml:space="preserve">. </w:t>
      </w:r>
    </w:p>
    <w:p w:rsidR="00507842" w:rsidRPr="000B521F" w:rsidRDefault="00BF44A0" w:rsidP="0059011D">
      <w:pPr>
        <w:pStyle w:val="Nadpis3"/>
        <w:spacing w:after="120"/>
        <w:rPr>
          <w:rFonts w:ascii="Times New Roman" w:hAnsi="Times New Roman" w:cs="Times New Roman"/>
        </w:rPr>
      </w:pPr>
      <w:bookmarkStart w:id="114" w:name="_Toc350333649"/>
      <w:bookmarkStart w:id="115" w:name="_Toc374702909"/>
      <w:r w:rsidRPr="000B521F">
        <w:rPr>
          <w:rFonts w:ascii="Times New Roman" w:hAnsi="Times New Roman" w:cs="Times New Roman"/>
        </w:rPr>
        <w:t>I</w:t>
      </w:r>
      <w:r w:rsidR="00507842" w:rsidRPr="000B521F">
        <w:rPr>
          <w:rFonts w:ascii="Times New Roman" w:hAnsi="Times New Roman" w:cs="Times New Roman"/>
        </w:rPr>
        <w:t>ntegrovaný přístup k řešení specifických potřeb území, která jsou nejvíce zasažena chudobou nebo cílových skupin s nejvyšším rizikem diskriminace nebo sociálního vyloučení</w:t>
      </w:r>
      <w:bookmarkEnd w:id="114"/>
      <w:bookmarkEnd w:id="115"/>
    </w:p>
    <w:p w:rsidR="00F71718" w:rsidRPr="000B521F" w:rsidRDefault="00F71718" w:rsidP="0059011D">
      <w:pPr>
        <w:spacing w:after="120" w:line="240" w:lineRule="auto"/>
        <w:jc w:val="both"/>
        <w:rPr>
          <w:rFonts w:ascii="Times New Roman" w:hAnsi="Times New Roman" w:cs="Times New Roman"/>
          <w:b/>
          <w:bCs/>
          <w:sz w:val="24"/>
          <w:szCs w:val="24"/>
        </w:rPr>
      </w:pPr>
      <w:bookmarkStart w:id="116" w:name="_Toc350333650"/>
      <w:r w:rsidRPr="000B521F">
        <w:rPr>
          <w:rFonts w:ascii="Times New Roman" w:hAnsi="Times New Roman" w:cs="Times New Roman"/>
          <w:b/>
          <w:bCs/>
          <w:sz w:val="24"/>
          <w:szCs w:val="24"/>
        </w:rPr>
        <w:t>Integrovaný přístup k řešení specifických potřeb území, která jsou nejvíce zasažena chudobou nebo cílových skupin s nejvyšším rizikem diskriminace nebo sociálního vyloučení</w:t>
      </w:r>
    </w:p>
    <w:p w:rsidR="003C301B" w:rsidRPr="000B521F" w:rsidRDefault="003C301B"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V ČR je možné identifikovat oblasti a cílové skupiny s výskytem nebo zvýšeným rizikem sociálního vyloučení, které jsou v řadě případů spojeny s problematikou chudoby a existencí sociálně patologických jevů. Řešení specifických potřeb těchto regionů (oblastí) je nejen vzhledem k jejich příčinám vzniku velmi obtížné a nelze jej zvládnout bez širší, koordinované spolupráce více subjektů včetně aktivní pomoci státu. To s sebou nese i diferencovanou aplikace územní dimenze tj. preference potřeby na specifické oblasti, koncentrace a využití všech dostupných finančních prostředků (evropských i národních) a určení integrovaného přístupu (integrovaných nástrojů) při definování podpory s cílem zabránit nárůstu hrozby sociálního vyloučení, reagovat odpovídajícím způsobem na prohlubující se socioekonomické nerovnosti a snížit riziko chudoby.</w:t>
      </w:r>
    </w:p>
    <w:p w:rsidR="003C301B" w:rsidRPr="000B521F" w:rsidRDefault="003C301B" w:rsidP="0059011D">
      <w:pPr>
        <w:spacing w:after="120" w:line="240" w:lineRule="auto"/>
        <w:jc w:val="both"/>
        <w:rPr>
          <w:rFonts w:ascii="Times New Roman" w:hAnsi="Times New Roman" w:cs="Times New Roman"/>
          <w:i/>
          <w:iCs/>
          <w:sz w:val="24"/>
          <w:szCs w:val="24"/>
        </w:rPr>
      </w:pPr>
      <w:r w:rsidRPr="000B521F">
        <w:rPr>
          <w:rFonts w:ascii="Times New Roman" w:hAnsi="Times New Roman" w:cs="Times New Roman"/>
          <w:i/>
          <w:iCs/>
          <w:sz w:val="24"/>
          <w:szCs w:val="24"/>
        </w:rPr>
        <w:t>Geografická identifikace</w:t>
      </w:r>
    </w:p>
    <w:p w:rsidR="00A91333" w:rsidRDefault="003C301B"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Pro účely vymezení sociálně znevýhodněných oblastí byla stanovena administrativní úroveň obcí s rozšířenou působností (tzv. ORP),</w:t>
      </w:r>
      <w:r w:rsidRPr="000B521F">
        <w:rPr>
          <w:rStyle w:val="Znakapoznpodarou"/>
          <w:rFonts w:ascii="Times New Roman" w:hAnsi="Times New Roman" w:cs="Times New Roman"/>
          <w:sz w:val="24"/>
          <w:szCs w:val="24"/>
        </w:rPr>
        <w:footnoteReference w:id="91"/>
      </w:r>
      <w:r w:rsidRPr="000B521F">
        <w:rPr>
          <w:rFonts w:ascii="Times New Roman" w:hAnsi="Times New Roman" w:cs="Times New Roman"/>
          <w:sz w:val="24"/>
          <w:szCs w:val="24"/>
        </w:rPr>
        <w:t xml:space="preserve"> které vykazují především nadprůměrnou míru dlouhodobé nezaměstnanosti (2008</w:t>
      </w:r>
      <w:r w:rsidR="00E91F0C">
        <w:rPr>
          <w:rFonts w:ascii="Times New Roman" w:hAnsi="Times New Roman" w:cs="Times New Roman"/>
          <w:color w:val="000000"/>
          <w:sz w:val="24"/>
          <w:szCs w:val="24"/>
        </w:rPr>
        <w:t>–</w:t>
      </w:r>
      <w:r w:rsidRPr="000B521F">
        <w:rPr>
          <w:rFonts w:ascii="Times New Roman" w:hAnsi="Times New Roman" w:cs="Times New Roman"/>
          <w:sz w:val="24"/>
          <w:szCs w:val="24"/>
        </w:rPr>
        <w:t>2010), vysoký počet vyplacených dávek (2008</w:t>
      </w:r>
      <w:r w:rsidR="00E91F0C">
        <w:rPr>
          <w:rFonts w:ascii="Times New Roman" w:hAnsi="Times New Roman" w:cs="Times New Roman"/>
          <w:color w:val="000000"/>
          <w:sz w:val="24"/>
          <w:szCs w:val="24"/>
        </w:rPr>
        <w:t>–</w:t>
      </w:r>
      <w:r w:rsidRPr="000B521F">
        <w:rPr>
          <w:rFonts w:ascii="Times New Roman" w:hAnsi="Times New Roman" w:cs="Times New Roman"/>
          <w:sz w:val="24"/>
          <w:szCs w:val="24"/>
        </w:rPr>
        <w:t>2011), výskyt sociálně vyloučených lokalit a lokalit ohrožených sociálním vyloučením. Data o výskytu sociálně vyloučených lokalit byla aktualizována z analýz, které byly zpracovány v letech 2010</w:t>
      </w:r>
      <w:r w:rsidR="00E91F0C">
        <w:rPr>
          <w:rFonts w:ascii="Times New Roman" w:hAnsi="Times New Roman" w:cs="Times New Roman"/>
          <w:color w:val="000000"/>
          <w:sz w:val="24"/>
          <w:szCs w:val="24"/>
        </w:rPr>
        <w:t>–</w:t>
      </w:r>
      <w:r w:rsidRPr="000B521F">
        <w:rPr>
          <w:rFonts w:ascii="Times New Roman" w:hAnsi="Times New Roman" w:cs="Times New Roman"/>
          <w:sz w:val="24"/>
          <w:szCs w:val="24"/>
        </w:rPr>
        <w:t>2013 v 11 krajích ČR. V ostatních třech krajích, ve kterých nejsou k dispozici zcela aktuální data, je mapa sestavena z údajů z analýzy provedené plošně na celém území ČR v roce 2006.</w:t>
      </w:r>
      <w:r w:rsidRPr="000B521F">
        <w:rPr>
          <w:rStyle w:val="Znakapoznpodarou"/>
          <w:rFonts w:ascii="Times New Roman" w:hAnsi="Times New Roman" w:cs="Times New Roman"/>
          <w:sz w:val="24"/>
          <w:szCs w:val="24"/>
        </w:rPr>
        <w:footnoteReference w:id="92"/>
      </w:r>
      <w:r w:rsidRPr="000B521F">
        <w:rPr>
          <w:rFonts w:ascii="Times New Roman" w:hAnsi="Times New Roman" w:cs="Times New Roman"/>
          <w:sz w:val="24"/>
          <w:szCs w:val="24"/>
        </w:rPr>
        <w:t xml:space="preserve"> </w:t>
      </w:r>
    </w:p>
    <w:p w:rsidR="00A91333" w:rsidRDefault="00A91333">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652AE2" w:rsidRPr="000B521F" w:rsidRDefault="00652AE2" w:rsidP="0059011D">
      <w:pPr>
        <w:spacing w:after="120" w:line="240" w:lineRule="auto"/>
        <w:jc w:val="both"/>
        <w:rPr>
          <w:rFonts w:ascii="Times New Roman" w:hAnsi="Times New Roman" w:cs="Times New Roman"/>
          <w:sz w:val="24"/>
          <w:szCs w:val="24"/>
        </w:rPr>
      </w:pPr>
    </w:p>
    <w:p w:rsidR="003C301B" w:rsidRPr="000B521F" w:rsidRDefault="003C301B" w:rsidP="0059011D">
      <w:pPr>
        <w:pStyle w:val="Titulek"/>
        <w:spacing w:after="120"/>
        <w:rPr>
          <w:sz w:val="24"/>
          <w:szCs w:val="24"/>
        </w:rPr>
      </w:pPr>
      <w:bookmarkStart w:id="117" w:name="_Toc370399040"/>
      <w:r w:rsidRPr="000B521F">
        <w:rPr>
          <w:sz w:val="24"/>
          <w:szCs w:val="24"/>
        </w:rPr>
        <w:t>Schéma 3-1</w:t>
      </w:r>
      <w:r w:rsidR="00E91F0C">
        <w:rPr>
          <w:sz w:val="24"/>
          <w:szCs w:val="24"/>
        </w:rPr>
        <w:t>:</w:t>
      </w:r>
      <w:r w:rsidRPr="000B521F">
        <w:rPr>
          <w:sz w:val="24"/>
          <w:szCs w:val="24"/>
        </w:rPr>
        <w:t xml:space="preserve"> Sociálně vyloučené lokality a oblasti s potenciálem sociálního vyloučení</w:t>
      </w:r>
      <w:bookmarkEnd w:id="117"/>
    </w:p>
    <w:p w:rsidR="003C301B" w:rsidRPr="000B521F" w:rsidRDefault="001B1068" w:rsidP="0059011D">
      <w:pPr>
        <w:spacing w:after="120" w:line="240" w:lineRule="auto"/>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762625" cy="4038600"/>
            <wp:effectExtent l="0" t="0" r="9525" b="0"/>
            <wp:docPr id="205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4038600"/>
                    </a:xfrm>
                    <a:prstGeom prst="rect">
                      <a:avLst/>
                    </a:prstGeom>
                    <a:noFill/>
                    <a:ln>
                      <a:noFill/>
                    </a:ln>
                  </pic:spPr>
                </pic:pic>
              </a:graphicData>
            </a:graphic>
          </wp:inline>
        </w:drawing>
      </w:r>
    </w:p>
    <w:p w:rsidR="00A00CA8" w:rsidRPr="00A91333" w:rsidRDefault="00A91333" w:rsidP="0059011D">
      <w:pPr>
        <w:spacing w:after="120" w:line="240" w:lineRule="auto"/>
        <w:jc w:val="both"/>
        <w:rPr>
          <w:rFonts w:ascii="Times New Roman" w:hAnsi="Times New Roman" w:cs="Times New Roman"/>
          <w:szCs w:val="24"/>
        </w:rPr>
      </w:pPr>
      <w:r w:rsidRPr="00A91333">
        <w:rPr>
          <w:rFonts w:ascii="Times New Roman" w:hAnsi="Times New Roman" w:cs="Times New Roman"/>
          <w:szCs w:val="24"/>
        </w:rPr>
        <w:t xml:space="preserve">Pozn.: </w:t>
      </w:r>
      <w:r w:rsidR="00A00CA8" w:rsidRPr="00A91333">
        <w:rPr>
          <w:rFonts w:ascii="Times New Roman" w:hAnsi="Times New Roman" w:cs="Times New Roman"/>
          <w:szCs w:val="24"/>
        </w:rPr>
        <w:t xml:space="preserve">Černé tečky jsou ORP bez uváděných SVL, červené tečky jsou místa s výskytem SVL. Velikost červené tečky je daná velikostí SVL. </w:t>
      </w:r>
    </w:p>
    <w:p w:rsidR="003C301B" w:rsidRPr="000B521F" w:rsidRDefault="003C301B" w:rsidP="0059011D">
      <w:pPr>
        <w:spacing w:after="120" w:line="240" w:lineRule="auto"/>
        <w:jc w:val="both"/>
        <w:rPr>
          <w:rFonts w:ascii="Times New Roman" w:hAnsi="Times New Roman" w:cs="Times New Roman"/>
          <w:sz w:val="24"/>
          <w:szCs w:val="24"/>
        </w:rPr>
      </w:pPr>
    </w:p>
    <w:p w:rsidR="003C301B" w:rsidRPr="000B521F" w:rsidRDefault="003C301B" w:rsidP="0059011D">
      <w:pPr>
        <w:spacing w:after="120" w:line="240" w:lineRule="auto"/>
        <w:jc w:val="both"/>
        <w:rPr>
          <w:rFonts w:ascii="Times New Roman" w:hAnsi="Times New Roman" w:cs="Times New Roman"/>
          <w:i/>
          <w:iCs/>
          <w:sz w:val="24"/>
          <w:szCs w:val="24"/>
        </w:rPr>
      </w:pPr>
      <w:r w:rsidRPr="000B521F">
        <w:rPr>
          <w:rFonts w:ascii="Times New Roman" w:hAnsi="Times New Roman" w:cs="Times New Roman"/>
          <w:i/>
          <w:iCs/>
          <w:sz w:val="24"/>
          <w:szCs w:val="24"/>
        </w:rPr>
        <w:t xml:space="preserve">Identifikace hlavních cílových skupin </w:t>
      </w:r>
    </w:p>
    <w:p w:rsidR="003C301B" w:rsidRPr="000B521F" w:rsidRDefault="003C301B"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Mezi cílové skupiny sociálně vyloučených/sociálním vyloučením ohrožených osob a osob zasažených chudobou patří zejména etnické menšiny (zejména Romové), osoby žijící v sociálně vyloučených lokalitách a v jejich okolí, bezdomovci, senioři, osoby se zdravotním postižením, nízkopříjmové skupiny obyvatel, dlouhodobě nezaměstnaní (opakovaně nezaměstnaní), osoby ohrožené závislostí nebo závislé na návykových látkách, v nepříznivě sociální situaci žijící rodiny, děti, mládež a osoby opouštějící ústavní zařízení nebo zařízení výkonu trestu.</w:t>
      </w:r>
    </w:p>
    <w:p w:rsidR="003C301B" w:rsidRPr="000B521F" w:rsidRDefault="003C301B" w:rsidP="0059011D">
      <w:pPr>
        <w:spacing w:after="120" w:line="240" w:lineRule="auto"/>
        <w:rPr>
          <w:rFonts w:ascii="Times New Roman" w:hAnsi="Times New Roman" w:cs="Times New Roman"/>
          <w:i/>
          <w:iCs/>
          <w:sz w:val="24"/>
          <w:szCs w:val="24"/>
        </w:rPr>
      </w:pPr>
      <w:r w:rsidRPr="000B521F">
        <w:rPr>
          <w:rFonts w:ascii="Times New Roman" w:hAnsi="Times New Roman" w:cs="Times New Roman"/>
          <w:i/>
          <w:iCs/>
          <w:sz w:val="24"/>
          <w:szCs w:val="24"/>
        </w:rPr>
        <w:t>Integrovaný přístup a potřeby identifikovaných oblastí a cílových skupin</w:t>
      </w:r>
    </w:p>
    <w:p w:rsidR="003C301B" w:rsidRPr="000B521F" w:rsidRDefault="003C301B"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Cílem podpory vymezených oblastí je snížení či zmírnění nežádoucích socio-ekonomických regionálních disparit. Mezi nejvýznamnější opatření vyžadující integrovaný přístup vedle aktivit, jež podporují pobídky na trhu práce, patří zejména:</w:t>
      </w:r>
    </w:p>
    <w:p w:rsidR="008206A4" w:rsidRPr="000B521F" w:rsidRDefault="003C301B" w:rsidP="0059011D">
      <w:pPr>
        <w:pStyle w:val="Odstavecseseznamem"/>
        <w:numPr>
          <w:ilvl w:val="0"/>
          <w:numId w:val="6"/>
        </w:numPr>
        <w:spacing w:line="240" w:lineRule="auto"/>
        <w:jc w:val="both"/>
        <w:rPr>
          <w:rFonts w:ascii="Times New Roman" w:hAnsi="Times New Roman" w:cs="Times New Roman"/>
          <w:sz w:val="24"/>
          <w:szCs w:val="24"/>
        </w:rPr>
      </w:pPr>
      <w:r w:rsidRPr="000B521F">
        <w:rPr>
          <w:rFonts w:ascii="Times New Roman" w:hAnsi="Times New Roman" w:cs="Times New Roman"/>
          <w:sz w:val="24"/>
          <w:szCs w:val="24"/>
        </w:rPr>
        <w:t>rozvoj aktivní politiky zaměstnanosti pro nejvíce ohrožené kategorie (např. dlouhodobě nezaměstnané, nekvalifikované, zdravotně handicapované, sociálně vyloučené), včetně podpory sociálních podniků</w:t>
      </w:r>
      <w:r w:rsidR="00C10D5B" w:rsidRPr="000B521F">
        <w:rPr>
          <w:rFonts w:ascii="Times New Roman" w:hAnsi="Times New Roman" w:cs="Times New Roman"/>
          <w:sz w:val="24"/>
          <w:szCs w:val="24"/>
        </w:rPr>
        <w:t>,</w:t>
      </w:r>
    </w:p>
    <w:p w:rsidR="008206A4" w:rsidRPr="000B521F" w:rsidRDefault="003C301B" w:rsidP="0059011D">
      <w:pPr>
        <w:pStyle w:val="Odstavecseseznamem"/>
        <w:numPr>
          <w:ilvl w:val="0"/>
          <w:numId w:val="6"/>
        </w:numPr>
        <w:spacing w:line="240" w:lineRule="auto"/>
        <w:jc w:val="both"/>
        <w:rPr>
          <w:rFonts w:ascii="Times New Roman" w:hAnsi="Times New Roman" w:cs="Times New Roman"/>
          <w:sz w:val="24"/>
          <w:szCs w:val="24"/>
        </w:rPr>
      </w:pPr>
      <w:r w:rsidRPr="000B521F">
        <w:rPr>
          <w:rFonts w:ascii="Times New Roman" w:hAnsi="Times New Roman" w:cs="Times New Roman"/>
          <w:sz w:val="24"/>
          <w:szCs w:val="24"/>
        </w:rPr>
        <w:t>podpora vzdělávání, rozšíření nabídky rekvalifikací a specifických forem zvyšování kvality znalostí a dovedností,</w:t>
      </w:r>
    </w:p>
    <w:p w:rsidR="008206A4" w:rsidRPr="000B521F" w:rsidRDefault="003C301B" w:rsidP="0059011D">
      <w:pPr>
        <w:pStyle w:val="Odstavecseseznamem"/>
        <w:numPr>
          <w:ilvl w:val="0"/>
          <w:numId w:val="6"/>
        </w:numPr>
        <w:spacing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podpora inkluzívního vzdělávání, </w:t>
      </w:r>
    </w:p>
    <w:p w:rsidR="008206A4" w:rsidRPr="000B521F" w:rsidRDefault="003C301B" w:rsidP="0059011D">
      <w:pPr>
        <w:pStyle w:val="Odstavecseseznamem"/>
        <w:numPr>
          <w:ilvl w:val="0"/>
          <w:numId w:val="6"/>
        </w:numPr>
        <w:spacing w:line="240" w:lineRule="auto"/>
        <w:jc w:val="both"/>
        <w:rPr>
          <w:rFonts w:ascii="Times New Roman" w:hAnsi="Times New Roman" w:cs="Times New Roman"/>
          <w:sz w:val="24"/>
          <w:szCs w:val="24"/>
        </w:rPr>
      </w:pPr>
      <w:r w:rsidRPr="000B521F">
        <w:rPr>
          <w:rFonts w:ascii="Times New Roman" w:hAnsi="Times New Roman" w:cs="Times New Roman"/>
          <w:sz w:val="24"/>
          <w:szCs w:val="24"/>
        </w:rPr>
        <w:t>podpora zvyšování kvality a flexibility v</w:t>
      </w:r>
      <w:r w:rsidR="00C10D5B" w:rsidRPr="000B521F">
        <w:rPr>
          <w:rFonts w:ascii="Times New Roman" w:hAnsi="Times New Roman" w:cs="Times New Roman"/>
          <w:sz w:val="24"/>
          <w:szCs w:val="24"/>
        </w:rPr>
        <w:t> </w:t>
      </w:r>
      <w:r w:rsidRPr="000B521F">
        <w:rPr>
          <w:rFonts w:ascii="Times New Roman" w:hAnsi="Times New Roman" w:cs="Times New Roman"/>
          <w:sz w:val="24"/>
          <w:szCs w:val="24"/>
        </w:rPr>
        <w:t>poskytování sociálních služeb , uplatnění preventivní programů v</w:t>
      </w:r>
      <w:r w:rsidR="00C10D5B" w:rsidRPr="000B521F">
        <w:rPr>
          <w:rFonts w:ascii="Times New Roman" w:hAnsi="Times New Roman" w:cs="Times New Roman"/>
          <w:sz w:val="24"/>
          <w:szCs w:val="24"/>
        </w:rPr>
        <w:t> </w:t>
      </w:r>
      <w:r w:rsidRPr="000B521F">
        <w:rPr>
          <w:rFonts w:ascii="Times New Roman" w:hAnsi="Times New Roman" w:cs="Times New Roman"/>
          <w:sz w:val="24"/>
          <w:szCs w:val="24"/>
        </w:rPr>
        <w:t>ohrožených oblastech a strategického plánování, dostupnost nájemního bydlení</w:t>
      </w:r>
      <w:r w:rsidR="00C10D5B" w:rsidRPr="000B521F">
        <w:rPr>
          <w:rFonts w:ascii="Times New Roman" w:hAnsi="Times New Roman" w:cs="Times New Roman"/>
          <w:sz w:val="24"/>
          <w:szCs w:val="24"/>
        </w:rPr>
        <w:t>,</w:t>
      </w:r>
    </w:p>
    <w:p w:rsidR="008206A4" w:rsidRPr="000B521F" w:rsidRDefault="003C301B" w:rsidP="0059011D">
      <w:pPr>
        <w:pStyle w:val="Odstavecseseznamem"/>
        <w:numPr>
          <w:ilvl w:val="0"/>
          <w:numId w:val="6"/>
        </w:numPr>
        <w:spacing w:line="240" w:lineRule="auto"/>
        <w:jc w:val="both"/>
        <w:rPr>
          <w:rFonts w:ascii="Times New Roman" w:hAnsi="Times New Roman" w:cs="Times New Roman"/>
          <w:sz w:val="24"/>
          <w:szCs w:val="24"/>
        </w:rPr>
      </w:pPr>
      <w:r w:rsidRPr="000B521F">
        <w:rPr>
          <w:rFonts w:ascii="Times New Roman" w:hAnsi="Times New Roman" w:cs="Times New Roman"/>
          <w:sz w:val="24"/>
          <w:szCs w:val="24"/>
        </w:rPr>
        <w:t>podpora malého a středního podnikání, podpora sebezaměstnávání a začínajících podnikatelů a aktivní zapojení místních samospráv při řešení předmětné problematiky.</w:t>
      </w:r>
    </w:p>
    <w:p w:rsidR="003C301B" w:rsidRPr="000B521F" w:rsidRDefault="003C301B"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 xml:space="preserve">Hlavní potřeby identifikovaných cílových skupin jsou zejména zvýšení jejich uplatnitelnosti na trhu práce, zlepšení kvality jejich života, zdraví, dále pak zvýšení účasti místních samospráv na prevenci a řešení problémů v oblasti sociálního začleňování prostřednictvím vytváření a realizace místních rozvojových strategií, zvýšení kvality a dostupnosti v poskytování sociálních a zdravotních služeb. </w:t>
      </w:r>
    </w:p>
    <w:p w:rsidR="000B521F" w:rsidRPr="000B521F" w:rsidRDefault="000B521F" w:rsidP="0059011D">
      <w:pPr>
        <w:spacing w:after="120" w:line="240" w:lineRule="auto"/>
        <w:jc w:val="both"/>
        <w:rPr>
          <w:rFonts w:ascii="Times New Roman" w:hAnsi="Times New Roman" w:cs="Times New Roman"/>
          <w:i/>
          <w:iCs/>
          <w:sz w:val="24"/>
          <w:szCs w:val="24"/>
        </w:rPr>
      </w:pPr>
    </w:p>
    <w:p w:rsidR="003C301B" w:rsidRPr="000B521F" w:rsidRDefault="003C301B" w:rsidP="0059011D">
      <w:pPr>
        <w:spacing w:after="120" w:line="240" w:lineRule="auto"/>
        <w:jc w:val="both"/>
        <w:rPr>
          <w:rFonts w:ascii="Times New Roman" w:hAnsi="Times New Roman" w:cs="Times New Roman"/>
          <w:i/>
          <w:iCs/>
          <w:sz w:val="24"/>
          <w:szCs w:val="24"/>
        </w:rPr>
      </w:pPr>
      <w:r w:rsidRPr="000B521F">
        <w:rPr>
          <w:rFonts w:ascii="Times New Roman" w:hAnsi="Times New Roman" w:cs="Times New Roman"/>
          <w:i/>
          <w:iCs/>
          <w:sz w:val="24"/>
          <w:szCs w:val="24"/>
        </w:rPr>
        <w:t>ESI fondy a integrované nástroje</w:t>
      </w:r>
    </w:p>
    <w:p w:rsidR="003C301B" w:rsidRPr="000B521F" w:rsidRDefault="003C301B" w:rsidP="0059011D">
      <w:pPr>
        <w:pStyle w:val="Odstavecseseznamem"/>
        <w:spacing w:line="240" w:lineRule="auto"/>
        <w:ind w:left="0"/>
        <w:jc w:val="both"/>
        <w:rPr>
          <w:rFonts w:ascii="Times New Roman" w:hAnsi="Times New Roman" w:cs="Times New Roman"/>
          <w:sz w:val="24"/>
          <w:szCs w:val="24"/>
        </w:rPr>
      </w:pPr>
      <w:r w:rsidRPr="000B521F">
        <w:rPr>
          <w:rFonts w:ascii="Times New Roman" w:hAnsi="Times New Roman" w:cs="Times New Roman"/>
          <w:sz w:val="24"/>
          <w:szCs w:val="24"/>
        </w:rPr>
        <w:t>Pro řešení problémů identifikovaných oblastí a cílových skupin se využije kombinace vhodných integrovaných nástrojů a provázanosti/komplementarity aktivit mezi relevantními programy financovaných z ESF,  EFRR (např. problematika zaměstnanosti, sociálních a zdravotních služeb, vzdělávání, rozvoje podnikání a dostupnosti bydlení pro cílové skupiny) a okrajově z EZFRV (</w:t>
      </w:r>
      <w:r w:rsidR="00041452">
        <w:rPr>
          <w:rFonts w:ascii="Times New Roman" w:hAnsi="Times New Roman" w:cs="Times New Roman"/>
          <w:sz w:val="24"/>
          <w:szCs w:val="24"/>
        </w:rPr>
        <w:t xml:space="preserve">cílené intervence na tvorbu pracovních míst do oblastí s vysokou mírou nezaměstnanosti, </w:t>
      </w:r>
      <w:r w:rsidRPr="000B521F">
        <w:rPr>
          <w:rFonts w:ascii="Times New Roman" w:hAnsi="Times New Roman" w:cs="Times New Roman"/>
          <w:sz w:val="24"/>
          <w:szCs w:val="24"/>
        </w:rPr>
        <w:t xml:space="preserve">metoda LEADER – místní rozvoj). Mezi vhodné integrované nástroje k řešení problémů a potřeb výše uvedených cílových skupin a lokalit/území budou patřit především integrované územní strategie zaměřené na komplexní řešení sociálního vyloučení pro vymezená funkční území. Příkladem jsou strategické plány sociálního začleňování, na jejich základě již dnes pracuje Agentura pro sociální začleňování. Funkčně vymezeným územím pro řešení sociálně vyloučených lokalit a prevence jejich vzniku jsou především mikroregiony, obce, svazky obcí, regionální centra a jejich zázemí (na úrovni ORP) apod.   </w:t>
      </w:r>
    </w:p>
    <w:p w:rsidR="003C301B" w:rsidRPr="000B521F" w:rsidRDefault="003C301B" w:rsidP="0059011D">
      <w:pPr>
        <w:pStyle w:val="Odstavecseseznamem"/>
        <w:spacing w:line="240" w:lineRule="auto"/>
        <w:ind w:left="0"/>
        <w:jc w:val="both"/>
        <w:rPr>
          <w:rFonts w:ascii="Times New Roman" w:hAnsi="Times New Roman" w:cs="Times New Roman"/>
          <w:sz w:val="24"/>
          <w:szCs w:val="24"/>
        </w:rPr>
      </w:pPr>
    </w:p>
    <w:p w:rsidR="003C301B" w:rsidRPr="000B521F" w:rsidRDefault="003C301B" w:rsidP="0059011D">
      <w:pPr>
        <w:pStyle w:val="Odstavecseseznamem"/>
        <w:spacing w:line="240" w:lineRule="auto"/>
        <w:ind w:left="0"/>
        <w:jc w:val="both"/>
        <w:rPr>
          <w:rFonts w:ascii="Times New Roman" w:hAnsi="Times New Roman" w:cs="Times New Roman"/>
          <w:sz w:val="24"/>
          <w:szCs w:val="24"/>
        </w:rPr>
      </w:pPr>
      <w:r w:rsidRPr="000B521F">
        <w:rPr>
          <w:rFonts w:ascii="Times New Roman" w:hAnsi="Times New Roman" w:cs="Times New Roman"/>
          <w:sz w:val="24"/>
          <w:szCs w:val="24"/>
        </w:rPr>
        <w:t>Integrované nástroje jsou postaveny shodně na integrované územní strategii, odlišují se především implementačními detaily a nastavením systému (typologie regionů) definující jejich územní aplikaci</w:t>
      </w:r>
      <w:r w:rsidRPr="000B521F">
        <w:rPr>
          <w:rStyle w:val="Znakapoznpodarou"/>
          <w:rFonts w:ascii="Times New Roman" w:hAnsi="Times New Roman" w:cs="Times New Roman"/>
          <w:sz w:val="24"/>
          <w:szCs w:val="24"/>
        </w:rPr>
        <w:footnoteReference w:id="93"/>
      </w:r>
      <w:r w:rsidRPr="000B521F">
        <w:rPr>
          <w:rFonts w:ascii="Times New Roman" w:hAnsi="Times New Roman" w:cs="Times New Roman"/>
          <w:sz w:val="24"/>
          <w:szCs w:val="24"/>
        </w:rPr>
        <w:t xml:space="preserve">. Příprava integrovaných strategií bude vycházet z metodických příruček zpracovaných MMR, které popisují konkrétní požadavky na nositele strategie a její aspekty. Příprava a implementace územní strategie zaměřené na komplexní řešení sociálního vyloučení bude řízena relevantním partnerem (nositelem strategie) s plnou zodpovědností za jejich provádění. Nositelé schválených integrovaných strategií budou uzavírat písemné dohody o poskytnutí podpory na realizaci příslušného segmentu strategie s příslušnými ŘO programů. Nositel strategie se rovněž zaváže k naplnění indikátorů, bude provádět monitorovací, hodnoticí a další aktivity blíže popsané v metodických pokynech. </w:t>
      </w:r>
    </w:p>
    <w:p w:rsidR="00F71718" w:rsidRPr="000B521F" w:rsidRDefault="00F71718" w:rsidP="0059011D">
      <w:pPr>
        <w:pStyle w:val="Tabulka"/>
        <w:spacing w:before="120" w:after="60"/>
        <w:rPr>
          <w:szCs w:val="20"/>
        </w:rPr>
      </w:pPr>
      <w:r w:rsidRPr="000B521F">
        <w:rPr>
          <w:szCs w:val="20"/>
        </w:rPr>
        <w:t>Tabulka</w:t>
      </w:r>
      <w:r w:rsidR="00A91333">
        <w:rPr>
          <w:szCs w:val="20"/>
        </w:rPr>
        <w:t xml:space="preserve"> 3-1</w:t>
      </w:r>
      <w:r w:rsidRPr="000B521F">
        <w:rPr>
          <w:szCs w:val="20"/>
        </w:rPr>
        <w:t>: Indikativní přehled shrnující integrovaný přístup k řešení specifických potřeb sociálně vyloučených oblastí/lokalit a identifikovaných cílových skupin.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410"/>
        <w:gridCol w:w="1134"/>
        <w:gridCol w:w="2495"/>
        <w:gridCol w:w="1191"/>
      </w:tblGrid>
      <w:tr w:rsidR="003C301B" w:rsidRPr="006F46A5" w:rsidTr="008F7C58">
        <w:trPr>
          <w:trHeight w:val="601"/>
        </w:trPr>
        <w:tc>
          <w:tcPr>
            <w:tcW w:w="1809" w:type="dxa"/>
            <w:shd w:val="clear" w:color="auto" w:fill="8DB3E2" w:themeFill="text2" w:themeFillTint="66"/>
          </w:tcPr>
          <w:p w:rsidR="003C301B" w:rsidRPr="006F46A5" w:rsidRDefault="003C301B" w:rsidP="0059011D">
            <w:pPr>
              <w:autoSpaceDE w:val="0"/>
              <w:autoSpaceDN w:val="0"/>
              <w:adjustRightInd w:val="0"/>
              <w:spacing w:after="120" w:line="240" w:lineRule="auto"/>
              <w:rPr>
                <w:rFonts w:ascii="Times New Roman" w:hAnsi="Times New Roman" w:cs="Times New Roman"/>
                <w:b/>
                <w:bCs/>
                <w:color w:val="000000"/>
                <w:sz w:val="20"/>
                <w:szCs w:val="20"/>
              </w:rPr>
            </w:pPr>
            <w:r w:rsidRPr="006F46A5">
              <w:rPr>
                <w:rFonts w:ascii="Times New Roman" w:hAnsi="Times New Roman" w:cs="Times New Roman"/>
                <w:b/>
                <w:bCs/>
                <w:color w:val="000000"/>
                <w:sz w:val="20"/>
                <w:szCs w:val="20"/>
              </w:rPr>
              <w:t>Specifické cílové skupiny/zeměpisná oblast</w:t>
            </w:r>
          </w:p>
        </w:tc>
        <w:tc>
          <w:tcPr>
            <w:tcW w:w="2410" w:type="dxa"/>
            <w:shd w:val="clear" w:color="auto" w:fill="8DB3E2" w:themeFill="text2" w:themeFillTint="66"/>
          </w:tcPr>
          <w:p w:rsidR="003C301B" w:rsidRPr="006F46A5" w:rsidRDefault="003C301B" w:rsidP="0059011D">
            <w:pPr>
              <w:autoSpaceDE w:val="0"/>
              <w:autoSpaceDN w:val="0"/>
              <w:adjustRightInd w:val="0"/>
              <w:spacing w:after="120" w:line="240" w:lineRule="auto"/>
              <w:rPr>
                <w:rFonts w:ascii="Times New Roman" w:hAnsi="Times New Roman" w:cs="Times New Roman"/>
                <w:b/>
                <w:bCs/>
                <w:color w:val="000000"/>
                <w:sz w:val="20"/>
                <w:szCs w:val="20"/>
              </w:rPr>
            </w:pPr>
            <w:r w:rsidRPr="006F46A5">
              <w:rPr>
                <w:rFonts w:ascii="Times New Roman" w:hAnsi="Times New Roman" w:cs="Times New Roman"/>
                <w:b/>
                <w:bCs/>
                <w:color w:val="000000"/>
                <w:sz w:val="20"/>
                <w:szCs w:val="20"/>
              </w:rPr>
              <w:t xml:space="preserve">Stručný popis jejich potřeb </w:t>
            </w:r>
          </w:p>
        </w:tc>
        <w:tc>
          <w:tcPr>
            <w:tcW w:w="1134" w:type="dxa"/>
            <w:shd w:val="clear" w:color="auto" w:fill="8DB3E2" w:themeFill="text2" w:themeFillTint="66"/>
          </w:tcPr>
          <w:p w:rsidR="003C301B" w:rsidRPr="006F46A5" w:rsidRDefault="003C301B" w:rsidP="0059011D">
            <w:pPr>
              <w:autoSpaceDE w:val="0"/>
              <w:autoSpaceDN w:val="0"/>
              <w:adjustRightInd w:val="0"/>
              <w:spacing w:after="120" w:line="240" w:lineRule="auto"/>
              <w:rPr>
                <w:rFonts w:ascii="Times New Roman" w:hAnsi="Times New Roman" w:cs="Times New Roman"/>
                <w:b/>
                <w:bCs/>
                <w:color w:val="000000"/>
                <w:sz w:val="20"/>
                <w:szCs w:val="20"/>
              </w:rPr>
            </w:pPr>
            <w:r w:rsidRPr="006F46A5">
              <w:rPr>
                <w:rFonts w:ascii="Times New Roman" w:hAnsi="Times New Roman" w:cs="Times New Roman"/>
                <w:b/>
                <w:bCs/>
                <w:color w:val="000000"/>
                <w:sz w:val="20"/>
                <w:szCs w:val="20"/>
              </w:rPr>
              <w:t xml:space="preserve">ESI fondy, které budou využity </w:t>
            </w:r>
          </w:p>
        </w:tc>
        <w:tc>
          <w:tcPr>
            <w:tcW w:w="2495" w:type="dxa"/>
            <w:shd w:val="clear" w:color="auto" w:fill="8DB3E2" w:themeFill="text2" w:themeFillTint="66"/>
          </w:tcPr>
          <w:p w:rsidR="003C301B" w:rsidRPr="006F46A5" w:rsidRDefault="003C301B" w:rsidP="0059011D">
            <w:pPr>
              <w:autoSpaceDE w:val="0"/>
              <w:autoSpaceDN w:val="0"/>
              <w:adjustRightInd w:val="0"/>
              <w:spacing w:after="120" w:line="240" w:lineRule="auto"/>
              <w:rPr>
                <w:rFonts w:ascii="Times New Roman" w:hAnsi="Times New Roman" w:cs="Times New Roman"/>
                <w:b/>
                <w:bCs/>
                <w:color w:val="000000"/>
                <w:sz w:val="20"/>
                <w:szCs w:val="20"/>
              </w:rPr>
            </w:pPr>
            <w:r w:rsidRPr="006F46A5">
              <w:rPr>
                <w:rFonts w:ascii="Times New Roman" w:hAnsi="Times New Roman" w:cs="Times New Roman"/>
                <w:b/>
                <w:bCs/>
                <w:color w:val="000000"/>
                <w:sz w:val="20"/>
                <w:szCs w:val="20"/>
              </w:rPr>
              <w:t xml:space="preserve">Hlavní typy plánových akcí zahrnující integrovaný přístup </w:t>
            </w:r>
          </w:p>
        </w:tc>
        <w:tc>
          <w:tcPr>
            <w:tcW w:w="1191" w:type="dxa"/>
            <w:shd w:val="clear" w:color="auto" w:fill="8DB3E2" w:themeFill="text2" w:themeFillTint="66"/>
          </w:tcPr>
          <w:p w:rsidR="003C301B" w:rsidRPr="006F46A5" w:rsidRDefault="003C301B" w:rsidP="0059011D">
            <w:pPr>
              <w:autoSpaceDE w:val="0"/>
              <w:autoSpaceDN w:val="0"/>
              <w:adjustRightInd w:val="0"/>
              <w:spacing w:after="120" w:line="240" w:lineRule="auto"/>
              <w:rPr>
                <w:rFonts w:ascii="Times New Roman" w:hAnsi="Times New Roman" w:cs="Times New Roman"/>
                <w:b/>
                <w:bCs/>
                <w:color w:val="000000"/>
                <w:sz w:val="20"/>
                <w:szCs w:val="20"/>
              </w:rPr>
            </w:pPr>
            <w:r w:rsidRPr="006F46A5">
              <w:rPr>
                <w:rFonts w:ascii="Times New Roman" w:hAnsi="Times New Roman" w:cs="Times New Roman"/>
                <w:b/>
                <w:bCs/>
                <w:color w:val="000000"/>
                <w:sz w:val="20"/>
                <w:szCs w:val="20"/>
              </w:rPr>
              <w:t>Program</w:t>
            </w:r>
          </w:p>
        </w:tc>
      </w:tr>
      <w:tr w:rsidR="003C301B" w:rsidRPr="006F46A5" w:rsidTr="00C66051">
        <w:trPr>
          <w:trHeight w:val="601"/>
        </w:trPr>
        <w:tc>
          <w:tcPr>
            <w:tcW w:w="1809" w:type="dxa"/>
            <w:vMerge w:val="restart"/>
          </w:tcPr>
          <w:p w:rsidR="003C301B" w:rsidRPr="006F46A5" w:rsidRDefault="003C301B" w:rsidP="0059011D">
            <w:pPr>
              <w:autoSpaceDE w:val="0"/>
              <w:autoSpaceDN w:val="0"/>
              <w:adjustRightInd w:val="0"/>
              <w:spacing w:after="120" w:line="240" w:lineRule="auto"/>
              <w:rPr>
                <w:rFonts w:ascii="Times New Roman" w:hAnsi="Times New Roman" w:cs="Times New Roman"/>
                <w:i/>
                <w:iCs/>
                <w:color w:val="000000"/>
                <w:sz w:val="20"/>
                <w:szCs w:val="20"/>
              </w:rPr>
            </w:pPr>
            <w:r w:rsidRPr="006F46A5">
              <w:rPr>
                <w:rFonts w:ascii="Times New Roman" w:hAnsi="Times New Roman" w:cs="Times New Roman"/>
                <w:i/>
                <w:iCs/>
                <w:color w:val="000000"/>
                <w:sz w:val="20"/>
                <w:szCs w:val="20"/>
              </w:rPr>
              <w:t>Oblasti sociálně znevýhodněné</w:t>
            </w:r>
          </w:p>
          <w:p w:rsidR="003C301B" w:rsidRPr="006F46A5" w:rsidRDefault="003C301B" w:rsidP="0059011D">
            <w:pPr>
              <w:pStyle w:val="Odstavecseseznamem"/>
              <w:autoSpaceDE w:val="0"/>
              <w:autoSpaceDN w:val="0"/>
              <w:adjustRightInd w:val="0"/>
              <w:spacing w:after="0" w:line="240" w:lineRule="auto"/>
              <w:ind w:left="0"/>
              <w:rPr>
                <w:rFonts w:ascii="Times New Roman" w:hAnsi="Times New Roman" w:cs="Times New Roman"/>
                <w:sz w:val="20"/>
                <w:szCs w:val="20"/>
              </w:rPr>
            </w:pPr>
            <w:r w:rsidRPr="006F46A5">
              <w:rPr>
                <w:rFonts w:ascii="Times New Roman" w:hAnsi="Times New Roman" w:cs="Times New Roman"/>
                <w:iCs/>
                <w:color w:val="000000"/>
                <w:sz w:val="20"/>
                <w:szCs w:val="20"/>
              </w:rPr>
              <w:t>obce s r</w:t>
            </w:r>
            <w:r w:rsidRPr="006F46A5">
              <w:rPr>
                <w:rFonts w:ascii="Times New Roman" w:hAnsi="Times New Roman" w:cs="Times New Roman"/>
                <w:sz w:val="20"/>
                <w:szCs w:val="20"/>
              </w:rPr>
              <w:t>ozšířenou působností (tzv. ORP),</w:t>
            </w:r>
            <w:r w:rsidRPr="006F46A5">
              <w:rPr>
                <w:rStyle w:val="Znakapoznpodarou"/>
                <w:rFonts w:ascii="Times New Roman" w:hAnsi="Times New Roman" w:cs="Times New Roman"/>
                <w:sz w:val="20"/>
                <w:szCs w:val="20"/>
              </w:rPr>
              <w:footnoteReference w:id="94"/>
            </w:r>
            <w:r w:rsidRPr="006F46A5">
              <w:rPr>
                <w:rFonts w:ascii="Times New Roman" w:hAnsi="Times New Roman" w:cs="Times New Roman"/>
                <w:sz w:val="20"/>
                <w:szCs w:val="20"/>
              </w:rPr>
              <w:t xml:space="preserve"> které vykazují především nadprůměrnou míru dlouhodobé nezaměstnanosti, vysoký počet vyplacených dávek a výskyt sociálně vyloučených lokalit</w:t>
            </w:r>
            <w:r w:rsidR="00764BAE" w:rsidRPr="006F46A5">
              <w:rPr>
                <w:rFonts w:ascii="Times New Roman" w:hAnsi="Times New Roman" w:cs="Times New Roman"/>
                <w:sz w:val="20"/>
                <w:szCs w:val="20"/>
              </w:rPr>
              <w:t>.</w:t>
            </w:r>
          </w:p>
          <w:p w:rsidR="003C301B" w:rsidRPr="006F46A5" w:rsidRDefault="003C301B" w:rsidP="0059011D">
            <w:pPr>
              <w:autoSpaceDE w:val="0"/>
              <w:autoSpaceDN w:val="0"/>
              <w:adjustRightInd w:val="0"/>
              <w:spacing w:after="120" w:line="240" w:lineRule="auto"/>
              <w:rPr>
                <w:rFonts w:ascii="Times New Roman" w:hAnsi="Times New Roman" w:cs="Times New Roman"/>
                <w:color w:val="000000"/>
                <w:sz w:val="20"/>
                <w:szCs w:val="20"/>
              </w:rPr>
            </w:pPr>
          </w:p>
          <w:p w:rsidR="003C301B" w:rsidRPr="006F46A5" w:rsidRDefault="003C301B" w:rsidP="0059011D">
            <w:pPr>
              <w:autoSpaceDE w:val="0"/>
              <w:autoSpaceDN w:val="0"/>
              <w:adjustRightInd w:val="0"/>
              <w:spacing w:after="120" w:line="240" w:lineRule="auto"/>
              <w:rPr>
                <w:rFonts w:ascii="Times New Roman" w:hAnsi="Times New Roman" w:cs="Times New Roman"/>
                <w:color w:val="000000"/>
                <w:sz w:val="20"/>
                <w:szCs w:val="20"/>
              </w:rPr>
            </w:pPr>
          </w:p>
          <w:p w:rsidR="003C301B" w:rsidRPr="006F46A5" w:rsidRDefault="003C301B" w:rsidP="0059011D">
            <w:pPr>
              <w:autoSpaceDE w:val="0"/>
              <w:autoSpaceDN w:val="0"/>
              <w:adjustRightInd w:val="0"/>
              <w:spacing w:after="0" w:line="240" w:lineRule="auto"/>
              <w:rPr>
                <w:rFonts w:ascii="Times New Roman" w:hAnsi="Times New Roman" w:cs="Times New Roman"/>
                <w:i/>
                <w:iCs/>
                <w:color w:val="000000"/>
                <w:sz w:val="20"/>
                <w:szCs w:val="20"/>
              </w:rPr>
            </w:pPr>
          </w:p>
        </w:tc>
        <w:tc>
          <w:tcPr>
            <w:tcW w:w="2410" w:type="dxa"/>
            <w:vMerge w:val="restart"/>
          </w:tcPr>
          <w:p w:rsidR="008206A4" w:rsidRPr="006F46A5" w:rsidRDefault="003C301B" w:rsidP="0059011D">
            <w:pPr>
              <w:pStyle w:val="Odstavecseseznamem"/>
              <w:numPr>
                <w:ilvl w:val="0"/>
                <w:numId w:val="98"/>
              </w:numPr>
              <w:autoSpaceDE w:val="0"/>
              <w:autoSpaceDN w:val="0"/>
              <w:adjustRightInd w:val="0"/>
              <w:spacing w:after="0" w:line="240" w:lineRule="auto"/>
              <w:ind w:left="176" w:hanging="176"/>
              <w:rPr>
                <w:rFonts w:ascii="Times New Roman" w:hAnsi="Times New Roman" w:cs="Times New Roman"/>
                <w:color w:val="000000"/>
                <w:sz w:val="20"/>
                <w:szCs w:val="20"/>
              </w:rPr>
            </w:pPr>
            <w:r w:rsidRPr="006F46A5">
              <w:rPr>
                <w:rFonts w:ascii="Times New Roman" w:hAnsi="Times New Roman" w:cs="Times New Roman"/>
                <w:color w:val="000000"/>
                <w:sz w:val="20"/>
                <w:szCs w:val="20"/>
              </w:rPr>
              <w:t>podpora vzdělávání (inkluzivního), rozšíření nabídky rekvalifikací a specifických forem zvyšování kvality znalostí a dovedností,</w:t>
            </w:r>
          </w:p>
          <w:p w:rsidR="008206A4" w:rsidRPr="006F46A5" w:rsidRDefault="003C301B" w:rsidP="0059011D">
            <w:pPr>
              <w:pStyle w:val="Odstavecseseznamem"/>
              <w:numPr>
                <w:ilvl w:val="0"/>
                <w:numId w:val="98"/>
              </w:numPr>
              <w:autoSpaceDE w:val="0"/>
              <w:autoSpaceDN w:val="0"/>
              <w:adjustRightInd w:val="0"/>
              <w:spacing w:after="0" w:line="240" w:lineRule="auto"/>
              <w:ind w:left="176" w:hanging="176"/>
              <w:rPr>
                <w:rFonts w:ascii="Times New Roman" w:hAnsi="Times New Roman" w:cs="Times New Roman"/>
                <w:color w:val="000000"/>
                <w:sz w:val="20"/>
                <w:szCs w:val="20"/>
              </w:rPr>
            </w:pPr>
            <w:r w:rsidRPr="006F46A5">
              <w:rPr>
                <w:rFonts w:ascii="Times New Roman" w:hAnsi="Times New Roman" w:cs="Times New Roman"/>
                <w:color w:val="000000"/>
                <w:sz w:val="20"/>
                <w:szCs w:val="20"/>
              </w:rPr>
              <w:t xml:space="preserve">podpora zvyšování kvality a flexibility v poskytování sociálních služeb , </w:t>
            </w:r>
          </w:p>
          <w:p w:rsidR="008206A4" w:rsidRPr="006F46A5" w:rsidRDefault="003C301B" w:rsidP="0059011D">
            <w:pPr>
              <w:pStyle w:val="Odstavecseseznamem"/>
              <w:numPr>
                <w:ilvl w:val="0"/>
                <w:numId w:val="98"/>
              </w:numPr>
              <w:autoSpaceDE w:val="0"/>
              <w:autoSpaceDN w:val="0"/>
              <w:adjustRightInd w:val="0"/>
              <w:spacing w:after="0" w:line="240" w:lineRule="auto"/>
              <w:ind w:left="176" w:hanging="176"/>
              <w:rPr>
                <w:rFonts w:ascii="Times New Roman" w:hAnsi="Times New Roman" w:cs="Times New Roman"/>
                <w:color w:val="000000"/>
                <w:sz w:val="20"/>
                <w:szCs w:val="20"/>
              </w:rPr>
            </w:pPr>
            <w:r w:rsidRPr="006F46A5">
              <w:rPr>
                <w:rFonts w:ascii="Times New Roman" w:hAnsi="Times New Roman" w:cs="Times New Roman"/>
                <w:color w:val="000000"/>
                <w:sz w:val="20"/>
                <w:szCs w:val="20"/>
              </w:rPr>
              <w:t xml:space="preserve">podpora malého a středního podnikání, podpora sebezaměstnávání a začínajících podnikatelů </w:t>
            </w:r>
          </w:p>
          <w:p w:rsidR="008206A4" w:rsidRPr="006F46A5" w:rsidRDefault="003C301B" w:rsidP="0059011D">
            <w:pPr>
              <w:pStyle w:val="Odstavecseseznamem"/>
              <w:numPr>
                <w:ilvl w:val="0"/>
                <w:numId w:val="98"/>
              </w:numPr>
              <w:autoSpaceDE w:val="0"/>
              <w:autoSpaceDN w:val="0"/>
              <w:adjustRightInd w:val="0"/>
              <w:spacing w:after="0" w:line="240" w:lineRule="auto"/>
              <w:ind w:left="176" w:hanging="176"/>
              <w:rPr>
                <w:rFonts w:ascii="Times New Roman" w:hAnsi="Times New Roman" w:cs="Times New Roman"/>
                <w:color w:val="000000"/>
                <w:sz w:val="20"/>
                <w:szCs w:val="20"/>
              </w:rPr>
            </w:pPr>
            <w:r w:rsidRPr="006F46A5">
              <w:rPr>
                <w:rFonts w:ascii="Times New Roman" w:hAnsi="Times New Roman" w:cs="Times New Roman"/>
                <w:color w:val="000000"/>
                <w:sz w:val="20"/>
                <w:szCs w:val="20"/>
              </w:rPr>
              <w:t>zvýšit aktivní zapojení místních samospráv při řešení předmětné problematiky.</w:t>
            </w:r>
          </w:p>
          <w:p w:rsidR="008206A4" w:rsidRPr="006F46A5" w:rsidRDefault="003C301B" w:rsidP="0059011D">
            <w:pPr>
              <w:pStyle w:val="Odstavecseseznamem"/>
              <w:numPr>
                <w:ilvl w:val="0"/>
                <w:numId w:val="98"/>
              </w:numPr>
              <w:autoSpaceDE w:val="0"/>
              <w:autoSpaceDN w:val="0"/>
              <w:adjustRightInd w:val="0"/>
              <w:spacing w:after="0" w:line="240" w:lineRule="auto"/>
              <w:ind w:left="176" w:hanging="176"/>
              <w:rPr>
                <w:rFonts w:ascii="Times New Roman" w:hAnsi="Times New Roman" w:cs="Times New Roman"/>
                <w:color w:val="000000"/>
                <w:sz w:val="20"/>
                <w:szCs w:val="20"/>
              </w:rPr>
            </w:pPr>
            <w:r w:rsidRPr="006F46A5">
              <w:rPr>
                <w:rFonts w:ascii="Times New Roman" w:hAnsi="Times New Roman" w:cs="Times New Roman"/>
                <w:sz w:val="20"/>
                <w:szCs w:val="20"/>
              </w:rPr>
              <w:t xml:space="preserve">zvýšení uplatnitelnosti na trhu práce, </w:t>
            </w:r>
          </w:p>
          <w:p w:rsidR="008206A4" w:rsidRPr="006F46A5" w:rsidRDefault="003C301B" w:rsidP="0059011D">
            <w:pPr>
              <w:pStyle w:val="Odstavecseseznamem"/>
              <w:numPr>
                <w:ilvl w:val="0"/>
                <w:numId w:val="98"/>
              </w:numPr>
              <w:autoSpaceDE w:val="0"/>
              <w:autoSpaceDN w:val="0"/>
              <w:adjustRightInd w:val="0"/>
              <w:spacing w:after="0" w:line="240" w:lineRule="auto"/>
              <w:ind w:left="176" w:hanging="176"/>
              <w:rPr>
                <w:rFonts w:ascii="Times New Roman" w:hAnsi="Times New Roman" w:cs="Times New Roman"/>
                <w:color w:val="000000"/>
                <w:sz w:val="20"/>
                <w:szCs w:val="20"/>
              </w:rPr>
            </w:pPr>
            <w:r w:rsidRPr="006F46A5">
              <w:rPr>
                <w:rFonts w:ascii="Times New Roman" w:hAnsi="Times New Roman" w:cs="Times New Roman"/>
                <w:sz w:val="20"/>
                <w:szCs w:val="20"/>
              </w:rPr>
              <w:t xml:space="preserve">zlepšení kvality života, zdraví, </w:t>
            </w:r>
          </w:p>
          <w:p w:rsidR="008206A4" w:rsidRPr="006F46A5" w:rsidRDefault="003C301B" w:rsidP="0059011D">
            <w:pPr>
              <w:pStyle w:val="Odstavecseseznamem"/>
              <w:numPr>
                <w:ilvl w:val="0"/>
                <w:numId w:val="98"/>
              </w:numPr>
              <w:autoSpaceDE w:val="0"/>
              <w:autoSpaceDN w:val="0"/>
              <w:adjustRightInd w:val="0"/>
              <w:spacing w:after="0" w:line="240" w:lineRule="auto"/>
              <w:ind w:left="176" w:hanging="176"/>
              <w:rPr>
                <w:rFonts w:ascii="Times New Roman" w:hAnsi="Times New Roman" w:cs="Times New Roman"/>
                <w:color w:val="000000"/>
                <w:sz w:val="20"/>
                <w:szCs w:val="20"/>
              </w:rPr>
            </w:pPr>
            <w:r w:rsidRPr="006F46A5">
              <w:rPr>
                <w:rFonts w:ascii="Times New Roman" w:hAnsi="Times New Roman" w:cs="Times New Roman"/>
                <w:sz w:val="20"/>
                <w:szCs w:val="20"/>
              </w:rPr>
              <w:t>zvýšení účasti místních samospráv na prevenci a řešení problémů v oblasti sociálního začleňování prostřednictvím vytváření a realizace místních rozvojových strategií,</w:t>
            </w:r>
          </w:p>
          <w:p w:rsidR="008206A4" w:rsidRPr="006F46A5" w:rsidRDefault="003C301B" w:rsidP="0059011D">
            <w:pPr>
              <w:pStyle w:val="Odstavecseseznamem"/>
              <w:numPr>
                <w:ilvl w:val="0"/>
                <w:numId w:val="98"/>
              </w:numPr>
              <w:autoSpaceDE w:val="0"/>
              <w:autoSpaceDN w:val="0"/>
              <w:adjustRightInd w:val="0"/>
              <w:spacing w:after="0" w:line="240" w:lineRule="auto"/>
              <w:ind w:left="176" w:hanging="176"/>
              <w:rPr>
                <w:rFonts w:ascii="Times New Roman" w:hAnsi="Times New Roman" w:cs="Times New Roman"/>
                <w:color w:val="000000"/>
                <w:sz w:val="20"/>
                <w:szCs w:val="20"/>
              </w:rPr>
            </w:pPr>
            <w:r w:rsidRPr="006F46A5">
              <w:rPr>
                <w:rFonts w:ascii="Times New Roman" w:hAnsi="Times New Roman" w:cs="Times New Roman"/>
                <w:sz w:val="20"/>
                <w:szCs w:val="20"/>
              </w:rPr>
              <w:t xml:space="preserve"> zvýšení kvality a dostupnosti v poskytování sociálních a zdravotních služeb.</w:t>
            </w:r>
          </w:p>
          <w:p w:rsidR="003C301B" w:rsidRPr="006F46A5" w:rsidDel="00DD4C21" w:rsidRDefault="003C301B" w:rsidP="0059011D">
            <w:pPr>
              <w:autoSpaceDE w:val="0"/>
              <w:autoSpaceDN w:val="0"/>
              <w:adjustRightInd w:val="0"/>
              <w:spacing w:after="0" w:line="240" w:lineRule="auto"/>
              <w:rPr>
                <w:rFonts w:ascii="Times New Roman" w:hAnsi="Times New Roman" w:cs="Times New Roman"/>
                <w:color w:val="000000"/>
                <w:sz w:val="20"/>
                <w:szCs w:val="20"/>
              </w:rPr>
            </w:pPr>
          </w:p>
        </w:tc>
        <w:tc>
          <w:tcPr>
            <w:tcW w:w="1134" w:type="dxa"/>
            <w:vMerge w:val="restart"/>
            <w:vAlign w:val="center"/>
          </w:tcPr>
          <w:p w:rsidR="003C301B" w:rsidRPr="006F46A5" w:rsidRDefault="003C301B" w:rsidP="0059011D">
            <w:pPr>
              <w:autoSpaceDE w:val="0"/>
              <w:autoSpaceDN w:val="0"/>
              <w:adjustRightInd w:val="0"/>
              <w:spacing w:after="120" w:line="240" w:lineRule="auto"/>
              <w:jc w:val="center"/>
              <w:rPr>
                <w:rFonts w:ascii="Times New Roman" w:hAnsi="Times New Roman" w:cs="Times New Roman"/>
                <w:color w:val="000000"/>
                <w:sz w:val="20"/>
                <w:szCs w:val="20"/>
              </w:rPr>
            </w:pPr>
            <w:r w:rsidRPr="006F46A5">
              <w:rPr>
                <w:rFonts w:ascii="Times New Roman" w:hAnsi="Times New Roman" w:cs="Times New Roman"/>
                <w:color w:val="000000"/>
                <w:sz w:val="20"/>
                <w:szCs w:val="20"/>
              </w:rPr>
              <w:t>EFRR</w:t>
            </w:r>
          </w:p>
        </w:tc>
        <w:tc>
          <w:tcPr>
            <w:tcW w:w="2495" w:type="dxa"/>
          </w:tcPr>
          <w:p w:rsidR="008206A4" w:rsidRPr="006F46A5" w:rsidRDefault="003C301B" w:rsidP="0059011D">
            <w:pPr>
              <w:pStyle w:val="Odstavecseseznamem"/>
              <w:numPr>
                <w:ilvl w:val="0"/>
                <w:numId w:val="99"/>
              </w:numPr>
              <w:autoSpaceDE w:val="0"/>
              <w:autoSpaceDN w:val="0"/>
              <w:adjustRightInd w:val="0"/>
              <w:spacing w:after="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rPr>
              <w:t xml:space="preserve">zřizování a rozšiřování kapacity služeb poskytovaných v komunitě (terénní, ambulantní a pobytové formy sociálních, zdravotních a návazných služeb </w:t>
            </w:r>
          </w:p>
          <w:p w:rsidR="008206A4" w:rsidRPr="006F46A5" w:rsidRDefault="003C301B" w:rsidP="0059011D">
            <w:pPr>
              <w:pStyle w:val="Odstavecseseznamem"/>
              <w:numPr>
                <w:ilvl w:val="0"/>
                <w:numId w:val="99"/>
              </w:numPr>
              <w:autoSpaceDE w:val="0"/>
              <w:autoSpaceDN w:val="0"/>
              <w:adjustRightInd w:val="0"/>
              <w:spacing w:after="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rPr>
              <w:t>podpora zázemí pro vznik integračních center, komunitních center</w:t>
            </w:r>
          </w:p>
          <w:p w:rsidR="008206A4" w:rsidRPr="006F46A5" w:rsidRDefault="003C301B" w:rsidP="0059011D">
            <w:pPr>
              <w:pStyle w:val="Odstavecseseznamem"/>
              <w:numPr>
                <w:ilvl w:val="0"/>
                <w:numId w:val="99"/>
              </w:numPr>
              <w:autoSpaceDE w:val="0"/>
              <w:autoSpaceDN w:val="0"/>
              <w:adjustRightInd w:val="0"/>
              <w:spacing w:after="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rPr>
              <w:t>rozvoj spolupráce mezi ÚP ČR, místní a regionální samosprávou k zajištění koordinace APZ, veřejné služby atd.</w:t>
            </w:r>
          </w:p>
          <w:p w:rsidR="008206A4" w:rsidRPr="006F46A5" w:rsidRDefault="003C301B" w:rsidP="0059011D">
            <w:pPr>
              <w:pStyle w:val="Odstavecseseznamem"/>
              <w:numPr>
                <w:ilvl w:val="0"/>
                <w:numId w:val="99"/>
              </w:numPr>
              <w:autoSpaceDE w:val="0"/>
              <w:autoSpaceDN w:val="0"/>
              <w:adjustRightInd w:val="0"/>
              <w:spacing w:after="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rPr>
              <w:t>tvorba zařízení pro krizový pobyt sociálně vyloučených osob a rodin</w:t>
            </w:r>
          </w:p>
          <w:p w:rsidR="008206A4" w:rsidRPr="006F46A5" w:rsidRDefault="003C301B" w:rsidP="0059011D">
            <w:pPr>
              <w:pStyle w:val="Odstavecseseznamem"/>
              <w:numPr>
                <w:ilvl w:val="0"/>
                <w:numId w:val="99"/>
              </w:numPr>
              <w:autoSpaceDE w:val="0"/>
              <w:autoSpaceDN w:val="0"/>
              <w:adjustRightInd w:val="0"/>
              <w:spacing w:after="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rPr>
              <w:t xml:space="preserve">vznik nových a rozvoj existujících podnikatelských aktivit v oblasti sociálního podnikání </w:t>
            </w:r>
          </w:p>
        </w:tc>
        <w:tc>
          <w:tcPr>
            <w:tcW w:w="1191" w:type="dxa"/>
            <w:vAlign w:val="center"/>
          </w:tcPr>
          <w:p w:rsidR="003C301B" w:rsidRPr="006F46A5" w:rsidRDefault="003C301B" w:rsidP="0059011D">
            <w:pPr>
              <w:autoSpaceDE w:val="0"/>
              <w:autoSpaceDN w:val="0"/>
              <w:adjustRightInd w:val="0"/>
              <w:spacing w:after="120" w:line="240" w:lineRule="auto"/>
              <w:jc w:val="center"/>
              <w:rPr>
                <w:rFonts w:ascii="Times New Roman" w:hAnsi="Times New Roman" w:cs="Times New Roman"/>
                <w:color w:val="000000"/>
                <w:sz w:val="20"/>
                <w:szCs w:val="20"/>
              </w:rPr>
            </w:pPr>
            <w:r w:rsidRPr="006F46A5">
              <w:rPr>
                <w:rFonts w:ascii="Times New Roman" w:hAnsi="Times New Roman" w:cs="Times New Roman"/>
                <w:color w:val="000000"/>
                <w:sz w:val="20"/>
                <w:szCs w:val="20"/>
              </w:rPr>
              <w:t>IROP</w:t>
            </w:r>
          </w:p>
        </w:tc>
      </w:tr>
      <w:tr w:rsidR="003C301B" w:rsidRPr="006F46A5" w:rsidTr="00C66051">
        <w:trPr>
          <w:trHeight w:val="601"/>
        </w:trPr>
        <w:tc>
          <w:tcPr>
            <w:tcW w:w="1809" w:type="dxa"/>
            <w:vMerge/>
          </w:tcPr>
          <w:p w:rsidR="003C301B" w:rsidRPr="006F46A5" w:rsidRDefault="003C301B" w:rsidP="0059011D">
            <w:pPr>
              <w:autoSpaceDE w:val="0"/>
              <w:autoSpaceDN w:val="0"/>
              <w:adjustRightInd w:val="0"/>
              <w:spacing w:after="0" w:line="240" w:lineRule="auto"/>
              <w:rPr>
                <w:rFonts w:ascii="Times New Roman" w:hAnsi="Times New Roman" w:cs="Times New Roman"/>
                <w:i/>
                <w:iCs/>
                <w:color w:val="000000"/>
                <w:sz w:val="20"/>
                <w:szCs w:val="20"/>
              </w:rPr>
            </w:pPr>
          </w:p>
        </w:tc>
        <w:tc>
          <w:tcPr>
            <w:tcW w:w="2410" w:type="dxa"/>
            <w:vMerge/>
          </w:tcPr>
          <w:p w:rsidR="003C301B" w:rsidRPr="006F46A5" w:rsidDel="00DD4C21" w:rsidRDefault="003C301B" w:rsidP="0059011D">
            <w:pPr>
              <w:autoSpaceDE w:val="0"/>
              <w:autoSpaceDN w:val="0"/>
              <w:adjustRightInd w:val="0"/>
              <w:spacing w:after="0" w:line="240" w:lineRule="auto"/>
              <w:rPr>
                <w:rFonts w:ascii="Times New Roman" w:hAnsi="Times New Roman" w:cs="Times New Roman"/>
                <w:color w:val="000000"/>
                <w:sz w:val="20"/>
                <w:szCs w:val="20"/>
              </w:rPr>
            </w:pPr>
          </w:p>
        </w:tc>
        <w:tc>
          <w:tcPr>
            <w:tcW w:w="1134" w:type="dxa"/>
            <w:vMerge/>
          </w:tcPr>
          <w:p w:rsidR="003C301B" w:rsidRPr="006F46A5" w:rsidRDefault="003C301B" w:rsidP="0059011D">
            <w:pPr>
              <w:autoSpaceDE w:val="0"/>
              <w:autoSpaceDN w:val="0"/>
              <w:adjustRightInd w:val="0"/>
              <w:spacing w:after="0" w:line="240" w:lineRule="auto"/>
              <w:rPr>
                <w:rFonts w:ascii="Times New Roman" w:hAnsi="Times New Roman" w:cs="Times New Roman"/>
                <w:color w:val="000000"/>
                <w:sz w:val="20"/>
                <w:szCs w:val="20"/>
              </w:rPr>
            </w:pPr>
          </w:p>
        </w:tc>
        <w:tc>
          <w:tcPr>
            <w:tcW w:w="2495" w:type="dxa"/>
          </w:tcPr>
          <w:p w:rsidR="008206A4" w:rsidRPr="006F46A5" w:rsidRDefault="003C301B" w:rsidP="0059011D">
            <w:pPr>
              <w:pStyle w:val="Odstavecseseznamem"/>
              <w:numPr>
                <w:ilvl w:val="0"/>
                <w:numId w:val="99"/>
              </w:numPr>
              <w:autoSpaceDE w:val="0"/>
              <w:autoSpaceDN w:val="0"/>
              <w:adjustRightInd w:val="0"/>
              <w:spacing w:after="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rPr>
              <w:t>zvyšování kapacit ambulantních a pobytových služeb, nízkoprahových a kulturně komunitních center</w:t>
            </w:r>
          </w:p>
          <w:p w:rsidR="008206A4" w:rsidRPr="006F46A5" w:rsidRDefault="003C301B" w:rsidP="0059011D">
            <w:pPr>
              <w:pStyle w:val="Odstavecseseznamem"/>
              <w:numPr>
                <w:ilvl w:val="0"/>
                <w:numId w:val="99"/>
              </w:numPr>
              <w:autoSpaceDE w:val="0"/>
              <w:autoSpaceDN w:val="0"/>
              <w:adjustRightInd w:val="0"/>
              <w:spacing w:after="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rPr>
              <w:t>realizace diferencovaných forem sociálního bydlení</w:t>
            </w:r>
          </w:p>
          <w:p w:rsidR="008206A4" w:rsidRPr="006F46A5" w:rsidRDefault="003C301B" w:rsidP="0059011D">
            <w:pPr>
              <w:pStyle w:val="Odstavecseseznamem"/>
              <w:numPr>
                <w:ilvl w:val="0"/>
                <w:numId w:val="99"/>
              </w:numPr>
              <w:autoSpaceDE w:val="0"/>
              <w:autoSpaceDN w:val="0"/>
              <w:adjustRightInd w:val="0"/>
              <w:spacing w:after="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rPr>
              <w:t>rozvoj terénních služeb sociální péče (vč. sociálně zdravotní)</w:t>
            </w:r>
          </w:p>
          <w:p w:rsidR="008206A4" w:rsidRPr="006F46A5" w:rsidRDefault="003C301B" w:rsidP="0059011D">
            <w:pPr>
              <w:pStyle w:val="Odstavecseseznamem"/>
              <w:numPr>
                <w:ilvl w:val="0"/>
                <w:numId w:val="99"/>
              </w:numPr>
              <w:autoSpaceDE w:val="0"/>
              <w:autoSpaceDN w:val="0"/>
              <w:adjustRightInd w:val="0"/>
              <w:spacing w:after="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rPr>
              <w:t>rozvoj sociálního poradenství a programů prevence</w:t>
            </w:r>
          </w:p>
          <w:p w:rsidR="008206A4" w:rsidRPr="006F46A5" w:rsidRDefault="003C301B" w:rsidP="0059011D">
            <w:pPr>
              <w:pStyle w:val="Odstavecseseznamem"/>
              <w:numPr>
                <w:ilvl w:val="0"/>
                <w:numId w:val="99"/>
              </w:numPr>
              <w:autoSpaceDE w:val="0"/>
              <w:autoSpaceDN w:val="0"/>
              <w:adjustRightInd w:val="0"/>
              <w:spacing w:after="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rPr>
              <w:t>zvyšování informovanosti jednotlivých skupin obyvatel o sociálních službách</w:t>
            </w:r>
          </w:p>
          <w:p w:rsidR="008206A4" w:rsidRPr="006F46A5" w:rsidRDefault="003C301B" w:rsidP="0059011D">
            <w:pPr>
              <w:pStyle w:val="Odstavecseseznamem"/>
              <w:numPr>
                <w:ilvl w:val="0"/>
                <w:numId w:val="99"/>
              </w:numPr>
              <w:autoSpaceDE w:val="0"/>
              <w:autoSpaceDN w:val="0"/>
              <w:adjustRightInd w:val="0"/>
              <w:spacing w:after="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rPr>
              <w:t>rozvoj sociálních podniků a podnikání</w:t>
            </w:r>
          </w:p>
        </w:tc>
        <w:tc>
          <w:tcPr>
            <w:tcW w:w="1191" w:type="dxa"/>
            <w:vAlign w:val="center"/>
          </w:tcPr>
          <w:p w:rsidR="003C301B" w:rsidRPr="006F46A5" w:rsidRDefault="003C301B" w:rsidP="0059011D">
            <w:pPr>
              <w:autoSpaceDE w:val="0"/>
              <w:autoSpaceDN w:val="0"/>
              <w:adjustRightInd w:val="0"/>
              <w:spacing w:after="120" w:line="240" w:lineRule="auto"/>
              <w:jc w:val="center"/>
              <w:rPr>
                <w:rFonts w:ascii="Times New Roman" w:hAnsi="Times New Roman" w:cs="Times New Roman"/>
                <w:color w:val="000000"/>
                <w:sz w:val="20"/>
                <w:szCs w:val="20"/>
              </w:rPr>
            </w:pPr>
            <w:r w:rsidRPr="006F46A5">
              <w:rPr>
                <w:rFonts w:ascii="Times New Roman" w:hAnsi="Times New Roman" w:cs="Times New Roman"/>
                <w:color w:val="000000"/>
                <w:sz w:val="20"/>
                <w:szCs w:val="20"/>
              </w:rPr>
              <w:t>OP PPR</w:t>
            </w:r>
          </w:p>
        </w:tc>
      </w:tr>
      <w:tr w:rsidR="003C301B" w:rsidRPr="006F46A5" w:rsidTr="00C66051">
        <w:trPr>
          <w:trHeight w:val="601"/>
        </w:trPr>
        <w:tc>
          <w:tcPr>
            <w:tcW w:w="1809" w:type="dxa"/>
            <w:vMerge/>
          </w:tcPr>
          <w:p w:rsidR="003C301B" w:rsidRPr="006F46A5" w:rsidRDefault="003C301B" w:rsidP="0059011D">
            <w:pPr>
              <w:autoSpaceDE w:val="0"/>
              <w:autoSpaceDN w:val="0"/>
              <w:adjustRightInd w:val="0"/>
              <w:spacing w:after="0" w:line="240" w:lineRule="auto"/>
              <w:rPr>
                <w:rFonts w:ascii="Times New Roman" w:hAnsi="Times New Roman" w:cs="Times New Roman"/>
                <w:color w:val="000000"/>
                <w:sz w:val="20"/>
                <w:szCs w:val="20"/>
              </w:rPr>
            </w:pPr>
          </w:p>
        </w:tc>
        <w:tc>
          <w:tcPr>
            <w:tcW w:w="2410" w:type="dxa"/>
            <w:vMerge/>
          </w:tcPr>
          <w:p w:rsidR="003C301B" w:rsidRPr="006F46A5" w:rsidRDefault="003C301B" w:rsidP="0059011D">
            <w:pPr>
              <w:autoSpaceDE w:val="0"/>
              <w:autoSpaceDN w:val="0"/>
              <w:adjustRightInd w:val="0"/>
              <w:spacing w:after="0" w:line="240" w:lineRule="auto"/>
              <w:rPr>
                <w:rFonts w:ascii="Times New Roman" w:hAnsi="Times New Roman" w:cs="Times New Roman"/>
                <w:color w:val="000000"/>
                <w:sz w:val="20"/>
                <w:szCs w:val="20"/>
              </w:rPr>
            </w:pPr>
          </w:p>
        </w:tc>
        <w:tc>
          <w:tcPr>
            <w:tcW w:w="1134" w:type="dxa"/>
            <w:vMerge w:val="restart"/>
            <w:vAlign w:val="center"/>
          </w:tcPr>
          <w:p w:rsidR="003C301B" w:rsidRPr="006F46A5" w:rsidRDefault="003C301B" w:rsidP="0059011D">
            <w:pPr>
              <w:autoSpaceDE w:val="0"/>
              <w:autoSpaceDN w:val="0"/>
              <w:adjustRightInd w:val="0"/>
              <w:spacing w:after="120" w:line="240" w:lineRule="auto"/>
              <w:jc w:val="center"/>
              <w:rPr>
                <w:rFonts w:ascii="Times New Roman" w:hAnsi="Times New Roman" w:cs="Times New Roman"/>
                <w:color w:val="000000"/>
                <w:sz w:val="20"/>
                <w:szCs w:val="20"/>
              </w:rPr>
            </w:pPr>
            <w:r w:rsidRPr="006F46A5">
              <w:rPr>
                <w:rFonts w:ascii="Times New Roman" w:hAnsi="Times New Roman" w:cs="Times New Roman"/>
                <w:color w:val="000000"/>
                <w:sz w:val="20"/>
                <w:szCs w:val="20"/>
              </w:rPr>
              <w:t>ESF</w:t>
            </w:r>
          </w:p>
          <w:p w:rsidR="003C301B" w:rsidRPr="006F46A5" w:rsidRDefault="003C301B" w:rsidP="0059011D">
            <w:pPr>
              <w:autoSpaceDE w:val="0"/>
              <w:autoSpaceDN w:val="0"/>
              <w:adjustRightInd w:val="0"/>
              <w:spacing w:after="0" w:line="240" w:lineRule="auto"/>
              <w:jc w:val="center"/>
              <w:rPr>
                <w:rFonts w:ascii="Times New Roman" w:hAnsi="Times New Roman" w:cs="Times New Roman"/>
                <w:color w:val="000000"/>
                <w:sz w:val="20"/>
                <w:szCs w:val="20"/>
              </w:rPr>
            </w:pPr>
          </w:p>
        </w:tc>
        <w:tc>
          <w:tcPr>
            <w:tcW w:w="2495" w:type="dxa"/>
          </w:tcPr>
          <w:p w:rsidR="008206A4" w:rsidRPr="006F46A5" w:rsidRDefault="003C301B" w:rsidP="0059011D">
            <w:pPr>
              <w:pStyle w:val="Odstavecseseznamem"/>
              <w:numPr>
                <w:ilvl w:val="0"/>
                <w:numId w:val="99"/>
              </w:numPr>
              <w:autoSpaceDE w:val="0"/>
              <w:autoSpaceDN w:val="0"/>
              <w:adjustRightInd w:val="0"/>
              <w:spacing w:after="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rPr>
              <w:t>podpora vytváření nových pracovních míst na lokální úrovni</w:t>
            </w:r>
          </w:p>
          <w:p w:rsidR="008206A4" w:rsidRPr="006F46A5" w:rsidRDefault="003C301B" w:rsidP="0059011D">
            <w:pPr>
              <w:pStyle w:val="Odstavecseseznamem"/>
              <w:numPr>
                <w:ilvl w:val="0"/>
                <w:numId w:val="99"/>
              </w:numPr>
              <w:autoSpaceDE w:val="0"/>
              <w:autoSpaceDN w:val="0"/>
              <w:adjustRightInd w:val="0"/>
              <w:spacing w:after="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rPr>
              <w:t>podpora spolupráce aktérů na místní úrovni s důrazem na řešení nezaměstnanosti</w:t>
            </w:r>
          </w:p>
          <w:p w:rsidR="008206A4" w:rsidRPr="006F46A5" w:rsidRDefault="003C301B" w:rsidP="0059011D">
            <w:pPr>
              <w:pStyle w:val="Odstavecseseznamem"/>
              <w:numPr>
                <w:ilvl w:val="0"/>
                <w:numId w:val="99"/>
              </w:numPr>
              <w:autoSpaceDE w:val="0"/>
              <w:autoSpaceDN w:val="0"/>
              <w:adjustRightInd w:val="0"/>
              <w:spacing w:after="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rPr>
              <w:t>vznik a rozvoj specifických nástrojů k prevenci a řešení problémů</w:t>
            </w:r>
          </w:p>
          <w:p w:rsidR="008206A4" w:rsidRPr="006F46A5" w:rsidRDefault="003C301B" w:rsidP="0059011D">
            <w:pPr>
              <w:pStyle w:val="Odstavecseseznamem"/>
              <w:numPr>
                <w:ilvl w:val="0"/>
                <w:numId w:val="100"/>
              </w:numPr>
              <w:autoSpaceDE w:val="0"/>
              <w:autoSpaceDN w:val="0"/>
              <w:adjustRightInd w:val="0"/>
              <w:spacing w:after="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rPr>
              <w:t>podpora komunitní sociální práce</w:t>
            </w:r>
          </w:p>
          <w:p w:rsidR="008206A4" w:rsidRPr="006F46A5" w:rsidRDefault="003C301B" w:rsidP="0059011D">
            <w:pPr>
              <w:pStyle w:val="Odstavecseseznamem"/>
              <w:numPr>
                <w:ilvl w:val="0"/>
                <w:numId w:val="100"/>
              </w:numPr>
              <w:autoSpaceDE w:val="0"/>
              <w:autoSpaceDN w:val="0"/>
              <w:adjustRightInd w:val="0"/>
              <w:spacing w:after="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rPr>
              <w:t>podpora procesu střednědobého plánování služeb</w:t>
            </w:r>
          </w:p>
          <w:p w:rsidR="008206A4" w:rsidRPr="006F46A5" w:rsidRDefault="003C301B" w:rsidP="0059011D">
            <w:pPr>
              <w:pStyle w:val="Odstavecseseznamem"/>
              <w:numPr>
                <w:ilvl w:val="0"/>
                <w:numId w:val="100"/>
              </w:numPr>
              <w:autoSpaceDE w:val="0"/>
              <w:autoSpaceDN w:val="0"/>
              <w:adjustRightInd w:val="0"/>
              <w:spacing w:after="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rPr>
              <w:t>vzdělávání v sociální oblasti, vzdělávání sociálních pracovníků ve službách a VS</w:t>
            </w:r>
          </w:p>
          <w:p w:rsidR="003C301B" w:rsidRPr="006F46A5" w:rsidRDefault="003C301B" w:rsidP="0059011D">
            <w:pPr>
              <w:autoSpaceDE w:val="0"/>
              <w:autoSpaceDN w:val="0"/>
              <w:adjustRightInd w:val="0"/>
              <w:spacing w:after="0" w:line="240" w:lineRule="auto"/>
              <w:rPr>
                <w:rFonts w:ascii="Times New Roman" w:hAnsi="Times New Roman" w:cs="Times New Roman"/>
                <w:color w:val="000000"/>
                <w:sz w:val="20"/>
                <w:szCs w:val="20"/>
              </w:rPr>
            </w:pPr>
          </w:p>
        </w:tc>
        <w:tc>
          <w:tcPr>
            <w:tcW w:w="1191" w:type="dxa"/>
            <w:vAlign w:val="center"/>
          </w:tcPr>
          <w:p w:rsidR="003C301B" w:rsidRPr="006F46A5" w:rsidRDefault="003C301B" w:rsidP="0059011D">
            <w:pPr>
              <w:autoSpaceDE w:val="0"/>
              <w:autoSpaceDN w:val="0"/>
              <w:adjustRightInd w:val="0"/>
              <w:spacing w:after="120" w:line="240" w:lineRule="auto"/>
              <w:jc w:val="center"/>
              <w:rPr>
                <w:rFonts w:ascii="Times New Roman" w:hAnsi="Times New Roman" w:cs="Times New Roman"/>
                <w:color w:val="000000"/>
                <w:sz w:val="20"/>
                <w:szCs w:val="20"/>
              </w:rPr>
            </w:pPr>
            <w:r w:rsidRPr="006F46A5">
              <w:rPr>
                <w:rFonts w:ascii="Times New Roman" w:hAnsi="Times New Roman" w:cs="Times New Roman"/>
                <w:color w:val="000000"/>
                <w:sz w:val="20"/>
                <w:szCs w:val="20"/>
              </w:rPr>
              <w:t>OP Z</w:t>
            </w:r>
          </w:p>
          <w:p w:rsidR="003C301B" w:rsidRPr="006F46A5" w:rsidRDefault="003C301B" w:rsidP="0059011D">
            <w:pPr>
              <w:autoSpaceDE w:val="0"/>
              <w:autoSpaceDN w:val="0"/>
              <w:adjustRightInd w:val="0"/>
              <w:spacing w:after="0" w:line="240" w:lineRule="auto"/>
              <w:jc w:val="center"/>
              <w:rPr>
                <w:rFonts w:ascii="Times New Roman" w:hAnsi="Times New Roman" w:cs="Times New Roman"/>
                <w:color w:val="000000"/>
                <w:sz w:val="20"/>
                <w:szCs w:val="20"/>
              </w:rPr>
            </w:pPr>
          </w:p>
        </w:tc>
      </w:tr>
      <w:tr w:rsidR="003C301B" w:rsidRPr="006F46A5" w:rsidTr="00C66051">
        <w:trPr>
          <w:trHeight w:val="601"/>
        </w:trPr>
        <w:tc>
          <w:tcPr>
            <w:tcW w:w="1809" w:type="dxa"/>
            <w:vMerge/>
          </w:tcPr>
          <w:p w:rsidR="003C301B" w:rsidRPr="006F46A5" w:rsidRDefault="003C301B" w:rsidP="0059011D">
            <w:pPr>
              <w:autoSpaceDE w:val="0"/>
              <w:autoSpaceDN w:val="0"/>
              <w:adjustRightInd w:val="0"/>
              <w:spacing w:after="0" w:line="240" w:lineRule="auto"/>
              <w:rPr>
                <w:rFonts w:ascii="Times New Roman" w:hAnsi="Times New Roman" w:cs="Times New Roman"/>
                <w:color w:val="000000"/>
                <w:sz w:val="20"/>
                <w:szCs w:val="20"/>
              </w:rPr>
            </w:pPr>
          </w:p>
        </w:tc>
        <w:tc>
          <w:tcPr>
            <w:tcW w:w="2410" w:type="dxa"/>
            <w:vMerge/>
          </w:tcPr>
          <w:p w:rsidR="003C301B" w:rsidRPr="006F46A5" w:rsidRDefault="003C301B" w:rsidP="0059011D">
            <w:pPr>
              <w:autoSpaceDE w:val="0"/>
              <w:autoSpaceDN w:val="0"/>
              <w:adjustRightInd w:val="0"/>
              <w:spacing w:after="0" w:line="240" w:lineRule="auto"/>
              <w:rPr>
                <w:rFonts w:ascii="Times New Roman" w:hAnsi="Times New Roman" w:cs="Times New Roman"/>
                <w:color w:val="000000"/>
                <w:sz w:val="20"/>
                <w:szCs w:val="20"/>
              </w:rPr>
            </w:pPr>
          </w:p>
        </w:tc>
        <w:tc>
          <w:tcPr>
            <w:tcW w:w="1134" w:type="dxa"/>
            <w:vMerge/>
          </w:tcPr>
          <w:p w:rsidR="003C301B" w:rsidRPr="006F46A5" w:rsidDel="009D7669" w:rsidRDefault="003C301B" w:rsidP="0059011D">
            <w:pPr>
              <w:autoSpaceDE w:val="0"/>
              <w:autoSpaceDN w:val="0"/>
              <w:adjustRightInd w:val="0"/>
              <w:spacing w:after="0" w:line="240" w:lineRule="auto"/>
              <w:rPr>
                <w:rFonts w:ascii="Times New Roman" w:hAnsi="Times New Roman" w:cs="Times New Roman"/>
                <w:color w:val="000000"/>
                <w:sz w:val="20"/>
                <w:szCs w:val="20"/>
              </w:rPr>
            </w:pPr>
          </w:p>
        </w:tc>
        <w:tc>
          <w:tcPr>
            <w:tcW w:w="2495" w:type="dxa"/>
          </w:tcPr>
          <w:p w:rsidR="008206A4" w:rsidRPr="006F46A5" w:rsidRDefault="003C301B" w:rsidP="0059011D">
            <w:pPr>
              <w:pStyle w:val="Odstavecseseznamem"/>
              <w:numPr>
                <w:ilvl w:val="0"/>
                <w:numId w:val="99"/>
              </w:numPr>
              <w:autoSpaceDE w:val="0"/>
              <w:autoSpaceDN w:val="0"/>
              <w:adjustRightInd w:val="0"/>
              <w:spacing w:after="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rPr>
              <w:t>rozvoj inkluzivního vzdělávání</w:t>
            </w:r>
          </w:p>
          <w:p w:rsidR="008206A4" w:rsidRPr="006F46A5" w:rsidRDefault="003C301B" w:rsidP="0059011D">
            <w:pPr>
              <w:pStyle w:val="Odstavecseseznamem"/>
              <w:numPr>
                <w:ilvl w:val="0"/>
                <w:numId w:val="99"/>
              </w:numPr>
              <w:autoSpaceDE w:val="0"/>
              <w:autoSpaceDN w:val="0"/>
              <w:adjustRightInd w:val="0"/>
              <w:spacing w:after="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rPr>
              <w:t>zvýšení počtu proinkluzivně nastavených běžných škol a školských zařízení směrem k vyšší úrovni sociálního začleňování</w:t>
            </w:r>
          </w:p>
          <w:p w:rsidR="008206A4" w:rsidRPr="006F46A5" w:rsidRDefault="003C301B" w:rsidP="0059011D">
            <w:pPr>
              <w:pStyle w:val="Odstavecseseznamem"/>
              <w:numPr>
                <w:ilvl w:val="0"/>
                <w:numId w:val="99"/>
              </w:numPr>
              <w:autoSpaceDE w:val="0"/>
              <w:autoSpaceDN w:val="0"/>
              <w:adjustRightInd w:val="0"/>
              <w:spacing w:after="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rPr>
              <w:t>zvýšení počtu dětí v účasti na předškolním vzdělávání (PV) s ohledem na děti se specifickými vzdělávacími potřebami (SVP)  a rozvoj systému včasné peče o ohrožené děti.</w:t>
            </w:r>
          </w:p>
          <w:p w:rsidR="008206A4" w:rsidRPr="006F46A5" w:rsidRDefault="003C301B" w:rsidP="0059011D">
            <w:pPr>
              <w:pStyle w:val="Odstavecseseznamem"/>
              <w:numPr>
                <w:ilvl w:val="0"/>
                <w:numId w:val="99"/>
              </w:numPr>
              <w:autoSpaceDE w:val="0"/>
              <w:autoSpaceDN w:val="0"/>
              <w:adjustRightInd w:val="0"/>
              <w:spacing w:after="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rPr>
              <w:t>odstranění bariér k přístupu ke kvalitnímu vzdělání</w:t>
            </w:r>
          </w:p>
          <w:p w:rsidR="008206A4" w:rsidRPr="006F46A5" w:rsidRDefault="003C301B" w:rsidP="0059011D">
            <w:pPr>
              <w:pStyle w:val="Odstavecseseznamem"/>
              <w:numPr>
                <w:ilvl w:val="0"/>
                <w:numId w:val="99"/>
              </w:numPr>
              <w:autoSpaceDE w:val="0"/>
              <w:autoSpaceDN w:val="0"/>
              <w:adjustRightInd w:val="0"/>
              <w:spacing w:after="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rPr>
              <w:t>zlepšení systému pedagogicko-psychologického poradenství</w:t>
            </w:r>
          </w:p>
          <w:p w:rsidR="008206A4" w:rsidRPr="006F46A5" w:rsidRDefault="003C301B" w:rsidP="0059011D">
            <w:pPr>
              <w:pStyle w:val="Odstavecseseznamem"/>
              <w:numPr>
                <w:ilvl w:val="0"/>
                <w:numId w:val="99"/>
              </w:numPr>
              <w:spacing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rPr>
              <w:t>vyšší míra začleňování dětí a žáků se SVP do již existujících zájmových a volnočasových aktivit.</w:t>
            </w:r>
          </w:p>
        </w:tc>
        <w:tc>
          <w:tcPr>
            <w:tcW w:w="1191" w:type="dxa"/>
            <w:vAlign w:val="center"/>
          </w:tcPr>
          <w:p w:rsidR="003C301B" w:rsidRPr="006F46A5" w:rsidDel="009D7669" w:rsidRDefault="003C301B" w:rsidP="0059011D">
            <w:pPr>
              <w:autoSpaceDE w:val="0"/>
              <w:autoSpaceDN w:val="0"/>
              <w:adjustRightInd w:val="0"/>
              <w:spacing w:after="120" w:line="240" w:lineRule="auto"/>
              <w:jc w:val="center"/>
              <w:rPr>
                <w:rFonts w:ascii="Times New Roman" w:hAnsi="Times New Roman" w:cs="Times New Roman"/>
                <w:color w:val="000000"/>
                <w:sz w:val="20"/>
                <w:szCs w:val="20"/>
              </w:rPr>
            </w:pPr>
            <w:r w:rsidRPr="006F46A5">
              <w:rPr>
                <w:rFonts w:ascii="Times New Roman" w:hAnsi="Times New Roman" w:cs="Times New Roman"/>
                <w:color w:val="000000"/>
                <w:sz w:val="20"/>
                <w:szCs w:val="20"/>
              </w:rPr>
              <w:t>OP VVV</w:t>
            </w:r>
          </w:p>
        </w:tc>
      </w:tr>
      <w:tr w:rsidR="003C301B" w:rsidRPr="006F46A5" w:rsidTr="00C66051">
        <w:trPr>
          <w:trHeight w:val="1802"/>
        </w:trPr>
        <w:tc>
          <w:tcPr>
            <w:tcW w:w="1809" w:type="dxa"/>
            <w:vMerge/>
          </w:tcPr>
          <w:p w:rsidR="003C301B" w:rsidRPr="006F46A5" w:rsidRDefault="003C301B" w:rsidP="0059011D">
            <w:pPr>
              <w:autoSpaceDE w:val="0"/>
              <w:autoSpaceDN w:val="0"/>
              <w:adjustRightInd w:val="0"/>
              <w:spacing w:after="0" w:line="240" w:lineRule="auto"/>
              <w:rPr>
                <w:rFonts w:ascii="Times New Roman" w:hAnsi="Times New Roman" w:cs="Times New Roman"/>
                <w:color w:val="000000"/>
                <w:sz w:val="20"/>
                <w:szCs w:val="20"/>
              </w:rPr>
            </w:pPr>
          </w:p>
        </w:tc>
        <w:tc>
          <w:tcPr>
            <w:tcW w:w="2410" w:type="dxa"/>
            <w:vMerge/>
          </w:tcPr>
          <w:p w:rsidR="003C301B" w:rsidRPr="006F46A5" w:rsidRDefault="003C301B" w:rsidP="0059011D">
            <w:pPr>
              <w:autoSpaceDE w:val="0"/>
              <w:autoSpaceDN w:val="0"/>
              <w:adjustRightInd w:val="0"/>
              <w:spacing w:after="0" w:line="240" w:lineRule="auto"/>
              <w:rPr>
                <w:rFonts w:ascii="Times New Roman" w:hAnsi="Times New Roman" w:cs="Times New Roman"/>
                <w:color w:val="000000"/>
                <w:sz w:val="20"/>
                <w:szCs w:val="20"/>
              </w:rPr>
            </w:pPr>
          </w:p>
        </w:tc>
        <w:tc>
          <w:tcPr>
            <w:tcW w:w="1134" w:type="dxa"/>
          </w:tcPr>
          <w:p w:rsidR="003C301B" w:rsidRPr="006F46A5" w:rsidDel="009D7669" w:rsidRDefault="00041452" w:rsidP="00041452">
            <w:pPr>
              <w:autoSpaceDE w:val="0"/>
              <w:autoSpaceDN w:val="0"/>
              <w:adjustRightInd w:val="0"/>
              <w:spacing w:after="12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rPr>
              <w:t>E</w:t>
            </w:r>
            <w:r>
              <w:rPr>
                <w:rFonts w:ascii="Times New Roman" w:hAnsi="Times New Roman" w:cs="Times New Roman"/>
                <w:color w:val="000000"/>
                <w:sz w:val="20"/>
                <w:szCs w:val="20"/>
              </w:rPr>
              <w:t>ZFRV</w:t>
            </w:r>
          </w:p>
        </w:tc>
        <w:tc>
          <w:tcPr>
            <w:tcW w:w="2495" w:type="dxa"/>
          </w:tcPr>
          <w:p w:rsidR="008206A4" w:rsidRPr="006F46A5" w:rsidRDefault="003C301B" w:rsidP="0059011D">
            <w:pPr>
              <w:pStyle w:val="Odstavecseseznamem"/>
              <w:numPr>
                <w:ilvl w:val="0"/>
                <w:numId w:val="101"/>
              </w:numPr>
              <w:tabs>
                <w:tab w:val="left" w:pos="176"/>
              </w:tabs>
              <w:autoSpaceDE w:val="0"/>
              <w:autoSpaceDN w:val="0"/>
              <w:adjustRightInd w:val="0"/>
              <w:spacing w:after="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rPr>
              <w:t>- podpora podnikání a usnadnění diverzifikace, vytváření nových podniků a pracovních míst</w:t>
            </w:r>
          </w:p>
          <w:p w:rsidR="008206A4" w:rsidRPr="006F46A5" w:rsidRDefault="003C301B" w:rsidP="0059011D">
            <w:pPr>
              <w:pStyle w:val="Odstavecseseznamem"/>
              <w:numPr>
                <w:ilvl w:val="0"/>
                <w:numId w:val="101"/>
              </w:numPr>
              <w:tabs>
                <w:tab w:val="left" w:pos="176"/>
              </w:tabs>
              <w:autoSpaceDE w:val="0"/>
              <w:autoSpaceDN w:val="0"/>
              <w:adjustRightInd w:val="0"/>
              <w:spacing w:after="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rPr>
              <w:t>- Investice do nezemědělských činností a podpora cestovního ruchu.</w:t>
            </w:r>
          </w:p>
          <w:p w:rsidR="008206A4" w:rsidRPr="006F46A5" w:rsidRDefault="003C301B" w:rsidP="0059011D">
            <w:pPr>
              <w:pStyle w:val="Odstavecseseznamem"/>
              <w:numPr>
                <w:ilvl w:val="0"/>
                <w:numId w:val="101"/>
              </w:numPr>
              <w:tabs>
                <w:tab w:val="left" w:pos="176"/>
              </w:tabs>
              <w:autoSpaceDE w:val="0"/>
              <w:autoSpaceDN w:val="0"/>
              <w:adjustRightInd w:val="0"/>
              <w:spacing w:after="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rPr>
              <w:t>- zvýšení spolupráce a integrace v rozvoji venkova</w:t>
            </w:r>
          </w:p>
        </w:tc>
        <w:tc>
          <w:tcPr>
            <w:tcW w:w="1191" w:type="dxa"/>
          </w:tcPr>
          <w:p w:rsidR="003C301B" w:rsidRPr="006F46A5" w:rsidDel="009D7669" w:rsidRDefault="003C301B" w:rsidP="0059011D">
            <w:pPr>
              <w:autoSpaceDE w:val="0"/>
              <w:autoSpaceDN w:val="0"/>
              <w:adjustRightInd w:val="0"/>
              <w:spacing w:after="120" w:line="240" w:lineRule="auto"/>
              <w:rPr>
                <w:rFonts w:ascii="Times New Roman" w:hAnsi="Times New Roman" w:cs="Times New Roman"/>
                <w:color w:val="000000"/>
                <w:sz w:val="20"/>
                <w:szCs w:val="20"/>
              </w:rPr>
            </w:pPr>
            <w:r w:rsidRPr="006F46A5">
              <w:rPr>
                <w:rFonts w:ascii="Times New Roman" w:hAnsi="Times New Roman" w:cs="Times New Roman"/>
                <w:color w:val="000000"/>
                <w:sz w:val="20"/>
                <w:szCs w:val="20"/>
              </w:rPr>
              <w:t>PRV</w:t>
            </w:r>
          </w:p>
        </w:tc>
      </w:tr>
    </w:tbl>
    <w:p w:rsidR="00507842" w:rsidRPr="000B521F" w:rsidRDefault="00BF44A0" w:rsidP="0059011D">
      <w:pPr>
        <w:pStyle w:val="Nadpis3"/>
        <w:spacing w:after="120"/>
        <w:rPr>
          <w:rFonts w:ascii="Times New Roman" w:hAnsi="Times New Roman" w:cs="Times New Roman"/>
        </w:rPr>
      </w:pPr>
      <w:bookmarkStart w:id="118" w:name="_Toc374702910"/>
      <w:r w:rsidRPr="000B521F">
        <w:rPr>
          <w:rFonts w:ascii="Times New Roman" w:hAnsi="Times New Roman" w:cs="Times New Roman"/>
        </w:rPr>
        <w:t>I</w:t>
      </w:r>
      <w:r w:rsidR="00507842" w:rsidRPr="000B521F">
        <w:rPr>
          <w:rFonts w:ascii="Times New Roman" w:hAnsi="Times New Roman" w:cs="Times New Roman"/>
        </w:rPr>
        <w:t>ntegrovaný přístup k řešení demografických problémů v regionech nebo specifické potřeby geografických oblastí, postižených silnými nebo trvalým přírodním nebo demografickým znevýhodněním</w:t>
      </w:r>
      <w:bookmarkEnd w:id="116"/>
      <w:bookmarkEnd w:id="118"/>
    </w:p>
    <w:p w:rsidR="00507842" w:rsidRPr="000B521F" w:rsidRDefault="00507842" w:rsidP="0059011D">
      <w:pPr>
        <w:pStyle w:val="Default"/>
        <w:spacing w:after="120"/>
        <w:jc w:val="both"/>
        <w:rPr>
          <w:rFonts w:ascii="Times New Roman" w:hAnsi="Times New Roman" w:cs="Times New Roman"/>
          <w:color w:val="auto"/>
          <w:lang w:eastAsia="en-US"/>
        </w:rPr>
      </w:pPr>
      <w:r w:rsidRPr="000B521F">
        <w:rPr>
          <w:rFonts w:ascii="Times New Roman" w:hAnsi="Times New Roman" w:cs="Times New Roman"/>
          <w:color w:val="auto"/>
          <w:lang w:eastAsia="en-US"/>
        </w:rPr>
        <w:t>Pro ČR není využití tohoto oddílu vzhledem k tomu, že se na jejím území nenacházejí regiony, na něž se vztahují parametry čl. 174 Smlouvy.</w:t>
      </w:r>
    </w:p>
    <w:p w:rsidR="003963D4" w:rsidRPr="000B521F" w:rsidRDefault="00507842" w:rsidP="0059011D">
      <w:pPr>
        <w:pStyle w:val="Default"/>
        <w:spacing w:after="120"/>
        <w:jc w:val="both"/>
        <w:rPr>
          <w:rFonts w:ascii="Times New Roman" w:hAnsi="Times New Roman" w:cs="Times New Roman"/>
          <w:color w:val="auto"/>
          <w:lang w:eastAsia="en-US"/>
        </w:rPr>
      </w:pPr>
      <w:r w:rsidRPr="000B521F">
        <w:rPr>
          <w:rFonts w:ascii="Times New Roman" w:hAnsi="Times New Roman" w:cs="Times New Roman"/>
          <w:color w:val="auto"/>
          <w:lang w:eastAsia="en-US"/>
        </w:rPr>
        <w:t>Protože se tyto regiony týkají pouze některých členských států, není tento oddíl ve všech případech relevantní.</w:t>
      </w:r>
      <w:bookmarkStart w:id="119" w:name="_Toc350333651"/>
    </w:p>
    <w:p w:rsidR="00507842" w:rsidRPr="000B521F" w:rsidRDefault="003963D4" w:rsidP="0059011D">
      <w:pPr>
        <w:pStyle w:val="Nadpis1"/>
        <w:spacing w:before="0" w:after="240"/>
        <w:rPr>
          <w:rFonts w:ascii="Times New Roman" w:hAnsi="Times New Roman" w:cs="Times New Roman"/>
        </w:rPr>
      </w:pPr>
      <w:r w:rsidRPr="000B521F">
        <w:rPr>
          <w:rFonts w:ascii="Times New Roman" w:hAnsi="Times New Roman" w:cs="Times New Roman"/>
          <w:lang w:eastAsia="en-US"/>
        </w:rPr>
        <w:br w:type="page"/>
      </w:r>
      <w:bookmarkStart w:id="120" w:name="_Toc374702911"/>
      <w:r w:rsidR="00507842" w:rsidRPr="000B521F">
        <w:rPr>
          <w:rFonts w:ascii="Times New Roman" w:hAnsi="Times New Roman" w:cs="Times New Roman"/>
        </w:rPr>
        <w:t>Opatření k zajištění efektivní implementace Dohody a programů podle čl. 14 (2,B) obecného nařízení</w:t>
      </w:r>
      <w:bookmarkEnd w:id="119"/>
      <w:bookmarkEnd w:id="120"/>
    </w:p>
    <w:p w:rsidR="00507842" w:rsidRPr="000B521F" w:rsidRDefault="00341ABA" w:rsidP="0059011D">
      <w:pPr>
        <w:pStyle w:val="Nadpis2"/>
      </w:pPr>
      <w:bookmarkStart w:id="121" w:name="_Toc374702912"/>
      <w:r w:rsidRPr="000B521F">
        <w:t>Elektronizace dat</w:t>
      </w:r>
      <w:bookmarkEnd w:id="121"/>
    </w:p>
    <w:p w:rsidR="006B3A0A" w:rsidRPr="00EA6990" w:rsidRDefault="006B3A0A" w:rsidP="006B3A0A">
      <w:pPr>
        <w:pStyle w:val="Default"/>
        <w:jc w:val="both"/>
        <w:rPr>
          <w:rFonts w:ascii="Times New Roman" w:hAnsi="Times New Roman" w:cs="Times New Roman"/>
          <w:color w:val="auto"/>
          <w:lang w:eastAsia="en-US"/>
        </w:rPr>
      </w:pPr>
      <w:bookmarkStart w:id="122" w:name="_Toc356584763"/>
      <w:r w:rsidRPr="00EA6990">
        <w:rPr>
          <w:rFonts w:ascii="Times New Roman" w:hAnsi="Times New Roman" w:cs="Times New Roman"/>
          <w:color w:val="auto"/>
          <w:lang w:eastAsia="en-US"/>
        </w:rPr>
        <w:t xml:space="preserve">Jedním z principů přípravy jednotného metodického prostředí je také oblast elektronizace procesů administrace. V souvislosti s požadavky na zjednodušení a snížení administrativní zátěže bude ze strany MMR-NOK zajištěna maximální vhodná míra elektronické výměny informací mezi jednotlivými subjekty při řízení a administraci programů. Toto opatření se pozitivně projeví zejména na úrovni žadatelů/ příjemců podpory a na úrovni řídících orgánů. </w:t>
      </w:r>
    </w:p>
    <w:p w:rsidR="006B3A0A" w:rsidRPr="00EA6990" w:rsidRDefault="006B3A0A" w:rsidP="006B3A0A">
      <w:pPr>
        <w:pStyle w:val="Default"/>
        <w:jc w:val="both"/>
        <w:rPr>
          <w:rFonts w:ascii="Times New Roman" w:hAnsi="Times New Roman" w:cs="Times New Roman"/>
          <w:color w:val="auto"/>
          <w:lang w:eastAsia="en-US"/>
        </w:rPr>
      </w:pPr>
    </w:p>
    <w:p w:rsidR="006B3A0A" w:rsidRPr="00EA6990" w:rsidRDefault="006B3A0A" w:rsidP="006B3A0A">
      <w:pPr>
        <w:pStyle w:val="Default"/>
        <w:jc w:val="both"/>
        <w:rPr>
          <w:rFonts w:ascii="Times New Roman" w:hAnsi="Times New Roman" w:cs="Times New Roman"/>
          <w:color w:val="auto"/>
          <w:lang w:eastAsia="en-US"/>
        </w:rPr>
      </w:pPr>
      <w:r w:rsidRPr="00EA6990">
        <w:rPr>
          <w:rFonts w:ascii="Times New Roman" w:hAnsi="Times New Roman" w:cs="Times New Roman"/>
          <w:color w:val="auto"/>
          <w:lang w:eastAsia="en-US"/>
        </w:rPr>
        <w:t>Stávající systém elektronické výměny dat již zahrnuje některé prvky e-Cohesion</w:t>
      </w:r>
      <w:r>
        <w:rPr>
          <w:rFonts w:ascii="Times New Roman" w:hAnsi="Times New Roman" w:cs="Times New Roman"/>
          <w:color w:val="auto"/>
          <w:lang w:eastAsia="en-US"/>
        </w:rPr>
        <w:t xml:space="preserve"> </w:t>
      </w:r>
      <w:r w:rsidRPr="00EA6990">
        <w:rPr>
          <w:rFonts w:ascii="Times New Roman" w:hAnsi="Times New Roman" w:cs="Times New Roman"/>
          <w:color w:val="auto"/>
          <w:lang w:eastAsia="en-US"/>
        </w:rPr>
        <w:t xml:space="preserve">policy a jsou tedy  s aplikací této politiky určité zkušenosti, které je možné dále rozvíjet.  Elektronické služby, které jsou již v současné době k dispozici, pokrývají určité klíčové oblasti, např. v rámci komunikace žadatele/příjemce s ŘO je umožněno elektronické podávání  projektové žádosti, není však většinou používán kvalifikovaný elektronický  podpis (žadatel/příjemce zároveň podává projektovou žádost i v listinné podobě). V rámci realizace projektu je dále umožněna elektronická registrace zpráv o pokroku projektu (monitorovacích zpráv), která však není v plné míře využívána ze strany ŘO, elektronicky je možné předkládat i žádosti o platbu (nicméně zároveň je žádost o platbu i  požadované přílohy předkládána v listinné podobě). Existuje však celá řada dalších oblastí, které  elektronická výměna dat plně nepokrývá (např. kontrola a audit) a jejichž elektronizace  je plánována v rámci programového období 2014-2020.Dále je  úzkým místem existujících systémů poněkud ztěžujícím implementaci i roztříštěnost a duplicitní ukládání  elektronických dat, není zpravidla možné pracovat nad jednou zadanou  množinou dat v rámci celého procesu implementace včetně kontrol. </w:t>
      </w:r>
    </w:p>
    <w:p w:rsidR="006B3A0A" w:rsidRPr="00EA6990" w:rsidRDefault="006B3A0A" w:rsidP="006B3A0A">
      <w:pPr>
        <w:pStyle w:val="Default"/>
        <w:jc w:val="both"/>
        <w:rPr>
          <w:rFonts w:ascii="Times New Roman" w:hAnsi="Times New Roman" w:cs="Times New Roman"/>
          <w:color w:val="auto"/>
          <w:lang w:eastAsia="en-US"/>
        </w:rPr>
      </w:pPr>
    </w:p>
    <w:p w:rsidR="006B3A0A" w:rsidRPr="00EA6990" w:rsidRDefault="006B3A0A" w:rsidP="006B3A0A">
      <w:pPr>
        <w:pStyle w:val="Default"/>
        <w:jc w:val="both"/>
        <w:rPr>
          <w:rFonts w:ascii="Times New Roman" w:hAnsi="Times New Roman" w:cs="Times New Roman"/>
          <w:color w:val="auto"/>
          <w:lang w:eastAsia="en-US"/>
        </w:rPr>
      </w:pPr>
      <w:r w:rsidRPr="00EA6990">
        <w:rPr>
          <w:rFonts w:ascii="Times New Roman" w:hAnsi="Times New Roman" w:cs="Times New Roman"/>
          <w:color w:val="auto"/>
          <w:lang w:eastAsia="en-US"/>
        </w:rPr>
        <w:t>Realizuje se nový jednotný monitorovací systém MS2014+ zajišťující potřeby celé implementační struktury. V MS2014+ budou zaznamenávána, zpracovávána a uchovávána data o všech operacích potřebná pro monitorování, vyhodnocování, finanční řízení, kontrolu, audit a další potřeby řízení programů. Kde to bude vyžadováno podle přílohy I Nařízení ESF, budou data o indikátorech specifikována podle pohlaví.</w:t>
      </w:r>
    </w:p>
    <w:p w:rsidR="006B3A0A" w:rsidRPr="00EA6990" w:rsidRDefault="006B3A0A" w:rsidP="006B3A0A">
      <w:pPr>
        <w:pStyle w:val="Default"/>
        <w:jc w:val="both"/>
        <w:rPr>
          <w:rFonts w:ascii="Times New Roman" w:hAnsi="Times New Roman" w:cs="Times New Roman"/>
          <w:color w:val="auto"/>
          <w:lang w:eastAsia="en-US"/>
        </w:rPr>
      </w:pPr>
    </w:p>
    <w:p w:rsidR="006B3A0A" w:rsidRPr="00EA6990" w:rsidRDefault="006B3A0A" w:rsidP="006B3A0A">
      <w:pPr>
        <w:pStyle w:val="Default"/>
        <w:jc w:val="both"/>
        <w:rPr>
          <w:rFonts w:ascii="Times New Roman" w:hAnsi="Times New Roman" w:cs="Times New Roman"/>
          <w:color w:val="auto"/>
          <w:lang w:eastAsia="en-US"/>
        </w:rPr>
      </w:pPr>
      <w:r w:rsidRPr="00EA6990">
        <w:rPr>
          <w:rFonts w:ascii="Times New Roman" w:hAnsi="Times New Roman" w:cs="Times New Roman"/>
          <w:color w:val="auto"/>
          <w:lang w:eastAsia="en-US"/>
        </w:rPr>
        <w:t>MS2014+ bude zajišťovat vzájemnou komunikaci mezi subjekty implementační struktury zapojené do přípravy, administrace, hodnocení a kontroly poskytování finančních prostředků a zároveň komunikaci s žadateli a příjemci podpory z</w:t>
      </w:r>
      <w:r>
        <w:rPr>
          <w:rFonts w:ascii="Times New Roman" w:hAnsi="Times New Roman" w:cs="Times New Roman"/>
          <w:color w:val="auto"/>
          <w:lang w:eastAsia="en-US"/>
        </w:rPr>
        <w:t> </w:t>
      </w:r>
      <w:r w:rsidRPr="00EA6990">
        <w:rPr>
          <w:rFonts w:ascii="Times New Roman" w:hAnsi="Times New Roman" w:cs="Times New Roman"/>
          <w:color w:val="auto"/>
          <w:lang w:eastAsia="en-US"/>
        </w:rPr>
        <w:t>ESI</w:t>
      </w:r>
      <w:r>
        <w:rPr>
          <w:rFonts w:ascii="Times New Roman" w:hAnsi="Times New Roman" w:cs="Times New Roman"/>
          <w:color w:val="auto"/>
          <w:lang w:eastAsia="en-US"/>
        </w:rPr>
        <w:t xml:space="preserve"> fondů</w:t>
      </w:r>
      <w:r w:rsidRPr="00EA6990">
        <w:rPr>
          <w:rFonts w:ascii="Times New Roman" w:hAnsi="Times New Roman" w:cs="Times New Roman"/>
          <w:color w:val="auto"/>
          <w:lang w:eastAsia="en-US"/>
        </w:rPr>
        <w:t>.</w:t>
      </w:r>
      <w:r>
        <w:rPr>
          <w:rFonts w:ascii="Times New Roman" w:hAnsi="Times New Roman" w:cs="Times New Roman"/>
          <w:color w:val="auto"/>
          <w:lang w:eastAsia="en-US"/>
        </w:rPr>
        <w:t xml:space="preserve"> Tyto subjekty budou využívat jednotnou aplikaci pro centrální řízení a řízení programů.</w:t>
      </w:r>
    </w:p>
    <w:p w:rsidR="006B3A0A" w:rsidRPr="00EA6990" w:rsidRDefault="006B3A0A" w:rsidP="006B3A0A">
      <w:pPr>
        <w:pStyle w:val="Default"/>
        <w:jc w:val="both"/>
        <w:rPr>
          <w:rFonts w:ascii="Times New Roman" w:hAnsi="Times New Roman" w:cs="Times New Roman"/>
          <w:color w:val="auto"/>
          <w:lang w:eastAsia="en-US"/>
        </w:rPr>
      </w:pPr>
    </w:p>
    <w:p w:rsidR="006B3A0A" w:rsidRPr="00EA6990" w:rsidRDefault="006B3A0A" w:rsidP="006B3A0A">
      <w:pPr>
        <w:pStyle w:val="Default"/>
        <w:jc w:val="both"/>
        <w:rPr>
          <w:rFonts w:ascii="Times New Roman" w:hAnsi="Times New Roman" w:cs="Times New Roman"/>
          <w:color w:val="auto"/>
          <w:lang w:eastAsia="en-US"/>
        </w:rPr>
      </w:pPr>
      <w:r>
        <w:rPr>
          <w:rFonts w:ascii="Times New Roman" w:hAnsi="Times New Roman" w:cs="Times New Roman"/>
          <w:color w:val="auto"/>
          <w:lang w:eastAsia="en-US"/>
        </w:rPr>
        <w:t xml:space="preserve">Součástí aplikace </w:t>
      </w:r>
      <w:r w:rsidRPr="00EA6990">
        <w:rPr>
          <w:rFonts w:ascii="Times New Roman" w:hAnsi="Times New Roman" w:cs="Times New Roman"/>
          <w:color w:val="auto"/>
          <w:lang w:eastAsia="en-US"/>
        </w:rPr>
        <w:t xml:space="preserve">MS2014+ </w:t>
      </w:r>
      <w:r>
        <w:rPr>
          <w:rFonts w:ascii="Times New Roman" w:hAnsi="Times New Roman" w:cs="Times New Roman"/>
          <w:color w:val="auto"/>
          <w:lang w:eastAsia="en-US"/>
        </w:rPr>
        <w:t xml:space="preserve">je modul s </w:t>
      </w:r>
      <w:r w:rsidRPr="00EA6990">
        <w:rPr>
          <w:rFonts w:ascii="Times New Roman" w:hAnsi="Times New Roman" w:cs="Times New Roman"/>
          <w:color w:val="auto"/>
          <w:lang w:eastAsia="en-US"/>
        </w:rPr>
        <w:t>webový</w:t>
      </w:r>
      <w:r>
        <w:rPr>
          <w:rFonts w:ascii="Times New Roman" w:hAnsi="Times New Roman" w:cs="Times New Roman"/>
          <w:color w:val="auto"/>
          <w:lang w:eastAsia="en-US"/>
        </w:rPr>
        <w:t>m</w:t>
      </w:r>
      <w:r w:rsidRPr="00EA6990">
        <w:rPr>
          <w:rFonts w:ascii="Times New Roman" w:hAnsi="Times New Roman" w:cs="Times New Roman"/>
          <w:color w:val="auto"/>
          <w:lang w:eastAsia="en-US"/>
        </w:rPr>
        <w:t xml:space="preserve"> přístup</w:t>
      </w:r>
      <w:r>
        <w:rPr>
          <w:rFonts w:ascii="Times New Roman" w:hAnsi="Times New Roman" w:cs="Times New Roman"/>
          <w:color w:val="auto"/>
          <w:lang w:eastAsia="en-US"/>
        </w:rPr>
        <w:t>em</w:t>
      </w:r>
      <w:r w:rsidRPr="00EA6990">
        <w:rPr>
          <w:rFonts w:ascii="Times New Roman" w:hAnsi="Times New Roman" w:cs="Times New Roman"/>
          <w:color w:val="auto"/>
          <w:lang w:eastAsia="en-US"/>
        </w:rPr>
        <w:t xml:space="preserve"> pro žadatele k získání informací o aktuálně vyhlášených výzvách a možnostech předkládání žádostí o podporu a umožní realizaci všech nutných postupů k řádnému předložení žádosti o podporu nebo návratné finanční výpomoci a sledování stavu administrace schvalování projektů.</w:t>
      </w:r>
      <w:r>
        <w:rPr>
          <w:rFonts w:ascii="Times New Roman" w:hAnsi="Times New Roman" w:cs="Times New Roman"/>
          <w:color w:val="auto"/>
          <w:lang w:eastAsia="en-US"/>
        </w:rPr>
        <w:t xml:space="preserve">. </w:t>
      </w:r>
    </w:p>
    <w:p w:rsidR="006B3A0A" w:rsidRPr="00EA6990" w:rsidRDefault="006B3A0A" w:rsidP="006B3A0A">
      <w:pPr>
        <w:pStyle w:val="Default"/>
        <w:jc w:val="both"/>
        <w:rPr>
          <w:rFonts w:ascii="Times New Roman" w:hAnsi="Times New Roman" w:cs="Times New Roman"/>
          <w:color w:val="auto"/>
          <w:lang w:eastAsia="en-US"/>
        </w:rPr>
      </w:pPr>
    </w:p>
    <w:p w:rsidR="006B3A0A" w:rsidRPr="00EA6990" w:rsidRDefault="006B3A0A" w:rsidP="006B3A0A">
      <w:pPr>
        <w:pStyle w:val="Default"/>
        <w:jc w:val="both"/>
        <w:rPr>
          <w:rFonts w:ascii="Times New Roman" w:hAnsi="Times New Roman" w:cs="Times New Roman"/>
          <w:color w:val="auto"/>
          <w:lang w:eastAsia="en-US"/>
        </w:rPr>
      </w:pPr>
      <w:r w:rsidRPr="00EA6990">
        <w:rPr>
          <w:rFonts w:ascii="Times New Roman" w:hAnsi="Times New Roman" w:cs="Times New Roman"/>
          <w:color w:val="auto"/>
          <w:lang w:eastAsia="en-US"/>
        </w:rPr>
        <w:t>MS2014+ umožní žadatelům/příjemcům dále spravovat své informace o projektu, efektivně komunikovat s řídicím orgánem/zprostředkujícím subjektem a administrovat další nezbytné kroky v průběhu realizace projektu, jako je pravidelné předkládání zpráv a hlášení o stavu realizace projektu, administrace změnových řízení a předkládání žádostí o uvolnění finančních prostředků souvisejících s realizací projektu.</w:t>
      </w:r>
      <w:r w:rsidRPr="00182351">
        <w:rPr>
          <w:rFonts w:ascii="Times New Roman" w:hAnsi="Times New Roman" w:cs="Times New Roman"/>
          <w:color w:val="auto"/>
          <w:lang w:eastAsia="en-US"/>
        </w:rPr>
        <w:t xml:space="preserve"> </w:t>
      </w:r>
      <w:r>
        <w:rPr>
          <w:rFonts w:ascii="Times New Roman" w:hAnsi="Times New Roman" w:cs="Times New Roman"/>
          <w:color w:val="auto"/>
          <w:lang w:eastAsia="en-US"/>
        </w:rPr>
        <w:t>Výměna dat s žadatelem/příjemcem bude probíhat pouze elektronickou formou.</w:t>
      </w:r>
    </w:p>
    <w:p w:rsidR="006B3A0A" w:rsidRPr="00EA6990" w:rsidRDefault="006B3A0A" w:rsidP="006B3A0A">
      <w:pPr>
        <w:pStyle w:val="Default"/>
        <w:jc w:val="both"/>
        <w:rPr>
          <w:rFonts w:ascii="Times New Roman" w:hAnsi="Times New Roman" w:cs="Times New Roman"/>
          <w:color w:val="auto"/>
          <w:lang w:eastAsia="en-US"/>
        </w:rPr>
      </w:pPr>
    </w:p>
    <w:p w:rsidR="006B3A0A" w:rsidRPr="00EA6990" w:rsidRDefault="006B3A0A" w:rsidP="006B3A0A">
      <w:pPr>
        <w:pStyle w:val="Default"/>
        <w:jc w:val="both"/>
        <w:rPr>
          <w:rFonts w:ascii="Times New Roman" w:hAnsi="Times New Roman" w:cs="Times New Roman"/>
          <w:color w:val="auto"/>
          <w:lang w:eastAsia="en-US"/>
        </w:rPr>
      </w:pPr>
      <w:r w:rsidRPr="00EA6990">
        <w:rPr>
          <w:rFonts w:ascii="Times New Roman" w:hAnsi="Times New Roman" w:cs="Times New Roman"/>
          <w:color w:val="auto"/>
          <w:lang w:eastAsia="en-US"/>
        </w:rPr>
        <w:t>MS2014+ bude zajišťovat nezbytné kontrolní a hodnotící mechanismy nápomocné pro výběr a kontrolu předložených žádostí o podporu. Součástí MS2014+ jsou i formuláře a základní šablony vztahující se k administrativní stránce poskytování finančních prostředků jako jsou formulář žádosti o podporu nebo monitorovací zprávy, šablona právního aktu o poskytnutí podpory apod.</w:t>
      </w:r>
    </w:p>
    <w:p w:rsidR="006B3A0A" w:rsidRPr="00EA6990" w:rsidRDefault="006B3A0A" w:rsidP="006B3A0A">
      <w:pPr>
        <w:pStyle w:val="Default"/>
        <w:jc w:val="both"/>
        <w:rPr>
          <w:rFonts w:ascii="Times New Roman" w:hAnsi="Times New Roman" w:cs="Times New Roman"/>
          <w:color w:val="auto"/>
          <w:lang w:eastAsia="en-US"/>
        </w:rPr>
      </w:pPr>
    </w:p>
    <w:p w:rsidR="006B3A0A" w:rsidRPr="00EA6990" w:rsidRDefault="006B3A0A" w:rsidP="006B3A0A">
      <w:pPr>
        <w:pStyle w:val="Default"/>
        <w:jc w:val="both"/>
        <w:rPr>
          <w:rFonts w:ascii="Times New Roman" w:hAnsi="Times New Roman" w:cs="Times New Roman"/>
          <w:b/>
          <w:color w:val="auto"/>
          <w:lang w:eastAsia="en-US"/>
        </w:rPr>
      </w:pPr>
      <w:r w:rsidRPr="00EA6990">
        <w:rPr>
          <w:rFonts w:ascii="Times New Roman" w:hAnsi="Times New Roman" w:cs="Times New Roman"/>
          <w:b/>
          <w:color w:val="auto"/>
          <w:lang w:eastAsia="en-US"/>
        </w:rPr>
        <w:t xml:space="preserve">Plánovaná opatření (rozvojové potřeby) pro období 2014-2020 </w:t>
      </w:r>
    </w:p>
    <w:p w:rsidR="006B3A0A" w:rsidRDefault="006B3A0A" w:rsidP="006B3A0A">
      <w:pPr>
        <w:pStyle w:val="Default"/>
        <w:numPr>
          <w:ilvl w:val="0"/>
          <w:numId w:val="4"/>
        </w:numPr>
        <w:jc w:val="both"/>
        <w:rPr>
          <w:rFonts w:ascii="Times New Roman" w:hAnsi="Times New Roman" w:cs="Times New Roman"/>
          <w:color w:val="auto"/>
          <w:lang w:eastAsia="en-US"/>
        </w:rPr>
      </w:pPr>
      <w:r w:rsidRPr="00EA6990">
        <w:rPr>
          <w:rFonts w:ascii="Times New Roman" w:hAnsi="Times New Roman" w:cs="Times New Roman"/>
          <w:color w:val="auto"/>
          <w:lang w:eastAsia="en-US"/>
        </w:rPr>
        <w:t>Jednotná centrální databáze zahrnující dat</w:t>
      </w:r>
      <w:r>
        <w:rPr>
          <w:rFonts w:ascii="Times New Roman" w:hAnsi="Times New Roman" w:cs="Times New Roman"/>
          <w:color w:val="auto"/>
          <w:lang w:eastAsia="en-US"/>
        </w:rPr>
        <w:t>a pro vyhodnocení realizace DoP</w:t>
      </w:r>
    </w:p>
    <w:p w:rsidR="006B3A0A" w:rsidRDefault="006B3A0A" w:rsidP="006B3A0A">
      <w:pPr>
        <w:pStyle w:val="Default"/>
        <w:numPr>
          <w:ilvl w:val="0"/>
          <w:numId w:val="4"/>
        </w:numPr>
        <w:jc w:val="both"/>
        <w:rPr>
          <w:rFonts w:ascii="Times New Roman" w:hAnsi="Times New Roman" w:cs="Times New Roman"/>
          <w:color w:val="auto"/>
          <w:lang w:eastAsia="en-US"/>
        </w:rPr>
      </w:pPr>
      <w:r w:rsidRPr="00EA6990">
        <w:rPr>
          <w:rFonts w:ascii="Times New Roman" w:hAnsi="Times New Roman" w:cs="Times New Roman"/>
          <w:color w:val="auto"/>
          <w:lang w:eastAsia="en-US"/>
        </w:rPr>
        <w:t>Možnost plně elektronické výměny dat mezi žadatelem/příjemcem a ŘO, včetně  využití elektronického  podpisu, snížení administrativní zátěže příjemců (např. efektivní přístup do systému, automatické ověřování, ověřená komunikační linka mezi žadatelem/příjemcem a ŘO), posílení principu „only</w:t>
      </w:r>
      <w:r>
        <w:rPr>
          <w:rFonts w:ascii="Times New Roman" w:hAnsi="Times New Roman" w:cs="Times New Roman"/>
          <w:color w:val="auto"/>
          <w:lang w:eastAsia="en-US"/>
        </w:rPr>
        <w:t xml:space="preserve"> </w:t>
      </w:r>
      <w:r w:rsidRPr="00EA6990">
        <w:rPr>
          <w:rFonts w:ascii="Times New Roman" w:hAnsi="Times New Roman" w:cs="Times New Roman"/>
          <w:color w:val="auto"/>
          <w:lang w:eastAsia="en-US"/>
        </w:rPr>
        <w:t>once</w:t>
      </w:r>
      <w:r>
        <w:rPr>
          <w:rFonts w:ascii="Times New Roman" w:hAnsi="Times New Roman" w:cs="Times New Roman"/>
          <w:color w:val="auto"/>
          <w:lang w:eastAsia="en-US"/>
        </w:rPr>
        <w:t xml:space="preserve"> </w:t>
      </w:r>
      <w:r w:rsidRPr="00EA6990">
        <w:rPr>
          <w:rFonts w:ascii="Times New Roman" w:hAnsi="Times New Roman" w:cs="Times New Roman"/>
          <w:color w:val="auto"/>
          <w:lang w:eastAsia="en-US"/>
        </w:rPr>
        <w:t>encodi</w:t>
      </w:r>
      <w:r>
        <w:rPr>
          <w:rFonts w:ascii="Times New Roman" w:hAnsi="Times New Roman" w:cs="Times New Roman"/>
          <w:color w:val="auto"/>
          <w:lang w:eastAsia="en-US"/>
        </w:rPr>
        <w:t>ng“ (pořízení dat pouze jednou)  prostřednictvím používání centralizované databáze</w:t>
      </w:r>
    </w:p>
    <w:p w:rsidR="006B3A0A" w:rsidRDefault="006B3A0A" w:rsidP="006B3A0A">
      <w:pPr>
        <w:pStyle w:val="Default"/>
        <w:numPr>
          <w:ilvl w:val="0"/>
          <w:numId w:val="4"/>
        </w:numPr>
        <w:jc w:val="both"/>
        <w:rPr>
          <w:rFonts w:ascii="Times New Roman" w:hAnsi="Times New Roman" w:cs="Times New Roman"/>
          <w:color w:val="auto"/>
          <w:lang w:eastAsia="en-US"/>
        </w:rPr>
      </w:pPr>
      <w:r w:rsidRPr="00EA6990">
        <w:rPr>
          <w:rFonts w:ascii="Times New Roman" w:hAnsi="Times New Roman" w:cs="Times New Roman"/>
          <w:color w:val="auto"/>
          <w:lang w:eastAsia="en-US"/>
        </w:rPr>
        <w:t>Posílení elektronické výměny a sdílení dat mezi  ostatními  aktéry implementační struktury, využití výměny dat s databázovými systémy e-governmentu ČR (základní registry, registr podp</w:t>
      </w:r>
      <w:r>
        <w:rPr>
          <w:rFonts w:ascii="Times New Roman" w:hAnsi="Times New Roman" w:cs="Times New Roman"/>
          <w:color w:val="auto"/>
          <w:lang w:eastAsia="en-US"/>
        </w:rPr>
        <w:t>or de minimis, státní pokladna)</w:t>
      </w:r>
    </w:p>
    <w:p w:rsidR="006B3A0A" w:rsidRDefault="006B3A0A" w:rsidP="006B3A0A">
      <w:pPr>
        <w:pStyle w:val="Default"/>
        <w:numPr>
          <w:ilvl w:val="0"/>
          <w:numId w:val="4"/>
        </w:numPr>
        <w:jc w:val="both"/>
        <w:rPr>
          <w:rFonts w:ascii="Times New Roman" w:hAnsi="Times New Roman" w:cs="Times New Roman"/>
          <w:color w:val="auto"/>
          <w:lang w:eastAsia="en-US"/>
        </w:rPr>
      </w:pPr>
      <w:r w:rsidRPr="00EA6990">
        <w:rPr>
          <w:rFonts w:ascii="Times New Roman" w:hAnsi="Times New Roman" w:cs="Times New Roman"/>
          <w:color w:val="auto"/>
          <w:lang w:eastAsia="en-US"/>
        </w:rPr>
        <w:t>Digitalizace dokumentace a její uchovávání (e-storage)</w:t>
      </w:r>
      <w:r>
        <w:rPr>
          <w:rFonts w:ascii="Times New Roman" w:hAnsi="Times New Roman" w:cs="Times New Roman"/>
          <w:color w:val="auto"/>
          <w:lang w:eastAsia="en-US"/>
        </w:rPr>
        <w:t>, důvěryhodný dlouhodobý archiv</w:t>
      </w:r>
    </w:p>
    <w:p w:rsidR="006B3A0A" w:rsidRDefault="006B3A0A" w:rsidP="006B3A0A">
      <w:pPr>
        <w:pStyle w:val="Default"/>
        <w:numPr>
          <w:ilvl w:val="0"/>
          <w:numId w:val="4"/>
        </w:numPr>
        <w:jc w:val="both"/>
        <w:rPr>
          <w:rFonts w:ascii="Times New Roman" w:hAnsi="Times New Roman" w:cs="Times New Roman"/>
          <w:color w:val="auto"/>
          <w:lang w:eastAsia="en-US"/>
        </w:rPr>
      </w:pPr>
      <w:r w:rsidRPr="00EA6990">
        <w:rPr>
          <w:rFonts w:ascii="Times New Roman" w:hAnsi="Times New Roman" w:cs="Times New Roman"/>
          <w:color w:val="auto"/>
          <w:lang w:eastAsia="en-US"/>
        </w:rPr>
        <w:t>Posílení e-audit</w:t>
      </w:r>
      <w:r>
        <w:rPr>
          <w:rFonts w:ascii="Times New Roman" w:hAnsi="Times New Roman" w:cs="Times New Roman"/>
          <w:color w:val="auto"/>
          <w:lang w:eastAsia="en-US"/>
        </w:rPr>
        <w:t xml:space="preserve"> </w:t>
      </w:r>
      <w:r w:rsidRPr="00EA6990">
        <w:rPr>
          <w:rFonts w:ascii="Times New Roman" w:hAnsi="Times New Roman" w:cs="Times New Roman"/>
          <w:color w:val="auto"/>
          <w:lang w:eastAsia="en-US"/>
        </w:rPr>
        <w:t>trailu (forma elektronické „auditní stopy“ k využívání při ověřování legálnosti a korektnosti)</w:t>
      </w:r>
    </w:p>
    <w:p w:rsidR="006B3A0A" w:rsidRDefault="006B3A0A" w:rsidP="006B3A0A">
      <w:pPr>
        <w:pStyle w:val="Default"/>
        <w:numPr>
          <w:ilvl w:val="0"/>
          <w:numId w:val="4"/>
        </w:numPr>
        <w:jc w:val="both"/>
        <w:rPr>
          <w:rFonts w:ascii="Times New Roman" w:hAnsi="Times New Roman" w:cs="Times New Roman"/>
          <w:color w:val="auto"/>
          <w:lang w:eastAsia="en-US"/>
        </w:rPr>
      </w:pPr>
      <w:r w:rsidRPr="00EA6990">
        <w:rPr>
          <w:rFonts w:ascii="Times New Roman" w:hAnsi="Times New Roman" w:cs="Times New Roman"/>
          <w:color w:val="auto"/>
          <w:lang w:eastAsia="en-US"/>
        </w:rPr>
        <w:t>Efektivnější nástroje pro podporu procesů a řízení (např. workflow, zabudované nástroje pro komunikaci,</w:t>
      </w:r>
      <w:r>
        <w:rPr>
          <w:rFonts w:ascii="Times New Roman" w:hAnsi="Times New Roman" w:cs="Times New Roman"/>
          <w:color w:val="auto"/>
          <w:lang w:eastAsia="en-US"/>
        </w:rPr>
        <w:t xml:space="preserve"> reportování a získávání údajů)</w:t>
      </w:r>
    </w:p>
    <w:p w:rsidR="006B3A0A" w:rsidRPr="00EA6990" w:rsidRDefault="006B3A0A" w:rsidP="006B3A0A">
      <w:pPr>
        <w:pStyle w:val="Default"/>
        <w:ind w:left="720"/>
        <w:jc w:val="both"/>
        <w:rPr>
          <w:rFonts w:ascii="Times New Roman" w:hAnsi="Times New Roman" w:cs="Times New Roman"/>
          <w:color w:val="auto"/>
          <w:lang w:eastAsia="en-US"/>
        </w:rPr>
      </w:pPr>
    </w:p>
    <w:p w:rsidR="006B3A0A" w:rsidRPr="00EA6990" w:rsidRDefault="006B3A0A" w:rsidP="006B3A0A">
      <w:pPr>
        <w:pStyle w:val="Default"/>
        <w:jc w:val="both"/>
        <w:rPr>
          <w:rFonts w:ascii="Times New Roman" w:hAnsi="Times New Roman" w:cs="Times New Roman"/>
          <w:color w:val="auto"/>
          <w:lang w:eastAsia="en-US"/>
        </w:rPr>
      </w:pPr>
    </w:p>
    <w:p w:rsidR="006B3A0A" w:rsidRPr="00EA6990" w:rsidRDefault="006B3A0A" w:rsidP="006B3A0A">
      <w:pPr>
        <w:pStyle w:val="Default"/>
        <w:jc w:val="both"/>
        <w:rPr>
          <w:rFonts w:ascii="Times New Roman" w:hAnsi="Times New Roman" w:cs="Times New Roman"/>
          <w:color w:val="auto"/>
          <w:lang w:eastAsia="en-US"/>
        </w:rPr>
      </w:pPr>
      <w:r w:rsidRPr="00EA6990">
        <w:rPr>
          <w:rFonts w:ascii="Times New Roman" w:hAnsi="Times New Roman" w:cs="Times New Roman"/>
          <w:color w:val="auto"/>
          <w:lang w:eastAsia="en-US"/>
        </w:rPr>
        <w:t>Tyto principy a opatření budou promítnuty do metodických dokumentů upravujících implementaci programů  a budou zapracovány do  příslušné SW aplikace. Základní funkce monitorovacího systému potřebné pro příjemce a implementační strukturu s cílem umožnit příjem a administraci žádostí o podporu budou v provozu v lednu 2014, všechny funkce monitorovacího systému budou v návaznosti na schvalování příslušných nařízení, metodických dokumentů a finálních znění programů dokončované průběžně do konce roku 2014.</w:t>
      </w:r>
    </w:p>
    <w:p w:rsidR="006044D5" w:rsidRPr="000B521F" w:rsidRDefault="003963D4" w:rsidP="0059011D">
      <w:pPr>
        <w:pStyle w:val="Nadpis1"/>
        <w:spacing w:before="0" w:after="240"/>
        <w:rPr>
          <w:rFonts w:ascii="Times New Roman" w:hAnsi="Times New Roman" w:cs="Times New Roman"/>
        </w:rPr>
      </w:pPr>
      <w:r w:rsidRPr="000B521F">
        <w:rPr>
          <w:rFonts w:ascii="Times New Roman" w:hAnsi="Times New Roman" w:cs="Times New Roman"/>
          <w:lang w:eastAsia="en-US"/>
        </w:rPr>
        <w:br w:type="page"/>
      </w:r>
      <w:bookmarkStart w:id="123" w:name="_Toc374702913"/>
      <w:r w:rsidR="006044D5" w:rsidRPr="000B521F">
        <w:rPr>
          <w:rFonts w:ascii="Times New Roman" w:hAnsi="Times New Roman" w:cs="Times New Roman"/>
        </w:rPr>
        <w:t>Přílohy</w:t>
      </w:r>
      <w:bookmarkEnd w:id="122"/>
      <w:bookmarkEnd w:id="123"/>
    </w:p>
    <w:p w:rsidR="005E6F2D" w:rsidRPr="000B521F" w:rsidRDefault="005E6F2D" w:rsidP="0059011D">
      <w:pPr>
        <w:pStyle w:val="Nadpis2"/>
      </w:pPr>
      <w:bookmarkStart w:id="124" w:name="_Toc374702914"/>
      <w:r w:rsidRPr="000B521F">
        <w:t>5.</w:t>
      </w:r>
      <w:r w:rsidR="00652AE2" w:rsidRPr="000B521F">
        <w:t>1</w:t>
      </w:r>
      <w:r w:rsidRPr="000B521F">
        <w:t>. Platformy pro přípravu programového období 2014–2020</w:t>
      </w:r>
      <w:r w:rsidR="00652AE2" w:rsidRPr="000B521F">
        <w:t xml:space="preserve"> a členství v klíčových platformách</w:t>
      </w:r>
      <w:bookmarkEnd w:id="124"/>
    </w:p>
    <w:p w:rsidR="005E6F2D" w:rsidRPr="000B521F" w:rsidRDefault="005E6F2D" w:rsidP="0059011D">
      <w:pPr>
        <w:spacing w:after="120" w:line="240" w:lineRule="auto"/>
        <w:jc w:val="both"/>
        <w:rPr>
          <w:rFonts w:ascii="Times New Roman" w:hAnsi="Times New Roman" w:cs="Times New Roman"/>
          <w:sz w:val="24"/>
          <w:szCs w:val="24"/>
        </w:rPr>
      </w:pPr>
      <w:r w:rsidRPr="000B521F">
        <w:rPr>
          <w:rFonts w:ascii="Times New Roman" w:hAnsi="Times New Roman" w:cs="Times New Roman"/>
          <w:sz w:val="24"/>
          <w:szCs w:val="24"/>
        </w:rPr>
        <w:t>Platformy pro fázi přípravy programového období 2014–2020</w:t>
      </w:r>
    </w:p>
    <w:p w:rsidR="008206A4" w:rsidRPr="000B521F" w:rsidRDefault="005E6F2D" w:rsidP="0059011D">
      <w:pPr>
        <w:pStyle w:val="Odstavecseseznamem"/>
        <w:numPr>
          <w:ilvl w:val="0"/>
          <w:numId w:val="48"/>
        </w:num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b/>
          <w:color w:val="000000"/>
          <w:sz w:val="24"/>
          <w:szCs w:val="24"/>
        </w:rPr>
        <w:t>Rada pro fondy ESIF</w:t>
      </w:r>
      <w:r w:rsidRPr="000B521F">
        <w:rPr>
          <w:rFonts w:ascii="Times New Roman" w:hAnsi="Times New Roman" w:cs="Times New Roman"/>
          <w:color w:val="000000"/>
          <w:sz w:val="24"/>
          <w:szCs w:val="24"/>
        </w:rPr>
        <w:t xml:space="preserve"> – nadresortní odborný a poradní orgán vlády ČR, který zajišťuje věcné zaměření intervencí všech fondů ESIF v ČR v programovém období 2014–2020, Rada pro fondy ESIF </w:t>
      </w:r>
      <w:r w:rsidRPr="000B521F">
        <w:rPr>
          <w:rFonts w:ascii="Times New Roman" w:hAnsi="Times New Roman" w:cs="Times New Roman"/>
          <w:sz w:val="24"/>
          <w:szCs w:val="24"/>
        </w:rPr>
        <w:t xml:space="preserve">převezme úlohu současného Řídicího a koordinačního výboru pro potřeby koordinace pomoci poskytované v programovém období 2007–2013 </w:t>
      </w:r>
      <w:r w:rsidRPr="000B521F">
        <w:rPr>
          <w:rFonts w:ascii="Times New Roman" w:hAnsi="Times New Roman" w:cs="Times New Roman"/>
          <w:color w:val="000000"/>
          <w:sz w:val="24"/>
          <w:szCs w:val="24"/>
        </w:rPr>
        <w:t>(členství Rady pro fondy ESIF uvedeno v příloze 5.4);</w:t>
      </w:r>
    </w:p>
    <w:p w:rsidR="008206A4" w:rsidRPr="000B521F" w:rsidRDefault="005E6F2D" w:rsidP="0059011D">
      <w:pPr>
        <w:pStyle w:val="Odstavecseseznamem"/>
        <w:numPr>
          <w:ilvl w:val="0"/>
          <w:numId w:val="48"/>
        </w:num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b/>
          <w:color w:val="000000"/>
          <w:sz w:val="24"/>
          <w:szCs w:val="24"/>
        </w:rPr>
        <w:t>Pracovní skupiny Rady pro fondy ESIF</w:t>
      </w:r>
      <w:r w:rsidRPr="000B521F">
        <w:rPr>
          <w:rFonts w:ascii="Times New Roman" w:hAnsi="Times New Roman" w:cs="Times New Roman"/>
          <w:color w:val="000000"/>
          <w:sz w:val="24"/>
          <w:szCs w:val="24"/>
        </w:rPr>
        <w:t xml:space="preserve"> – pět pracovních skupin s konkrétním tematickým zaměřením, které řeší soulad se strategiemi a dosažení synergií v příslušných oblastech, vedené generálními sekretáři, resp. generálním zmocněncem;</w:t>
      </w:r>
    </w:p>
    <w:p w:rsidR="008206A4" w:rsidRPr="000B521F" w:rsidRDefault="005E6F2D" w:rsidP="0059011D">
      <w:pPr>
        <w:pStyle w:val="Odstavecseseznamem"/>
        <w:numPr>
          <w:ilvl w:val="0"/>
          <w:numId w:val="48"/>
        </w:num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b/>
          <w:color w:val="000000"/>
          <w:sz w:val="24"/>
          <w:szCs w:val="24"/>
        </w:rPr>
        <w:t>Pracovní skupina pro přípravu Dohody o partnerství 2014–2020</w:t>
      </w:r>
      <w:r w:rsidRPr="000B521F">
        <w:rPr>
          <w:rFonts w:ascii="Times New Roman" w:hAnsi="Times New Roman" w:cs="Times New Roman"/>
          <w:color w:val="000000"/>
          <w:sz w:val="24"/>
          <w:szCs w:val="24"/>
        </w:rPr>
        <w:t xml:space="preserve"> – klíčová platforma pro projednávání zpracování Dohody se zástupci řídicích orgánů programů i ostatních partnerů z řad regionálních partnerů, hospodářských a sociálních partnerů a zástupců neziskové, akademické a vědecko-výzkumné sféry (seznam členů a hostů pracovní skupiny uveden v příloze 5.4);</w:t>
      </w:r>
    </w:p>
    <w:p w:rsidR="008206A4" w:rsidRPr="000B521F" w:rsidRDefault="005E6F2D" w:rsidP="0059011D">
      <w:pPr>
        <w:pStyle w:val="Odstavecseseznamem"/>
        <w:numPr>
          <w:ilvl w:val="0"/>
          <w:numId w:val="48"/>
        </w:num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b/>
          <w:color w:val="000000"/>
          <w:sz w:val="24"/>
          <w:szCs w:val="24"/>
        </w:rPr>
        <w:t>Pracovní skupiny k rozpracování programů 2014–2020</w:t>
      </w:r>
      <w:r w:rsidRPr="000B521F">
        <w:rPr>
          <w:rFonts w:ascii="Times New Roman" w:hAnsi="Times New Roman" w:cs="Times New Roman"/>
          <w:color w:val="000000"/>
          <w:sz w:val="24"/>
          <w:szCs w:val="24"/>
        </w:rPr>
        <w:t xml:space="preserve"> – projednávání rozpracování programových dokumentů s řídicími orgány pod koordinačním vedením MMR, které v této souvislosti připravilo „Metodický pokyn pro přípravu programových dokumentů pro programové období 2014–2020“, který byl se všemi partnery široce komunikován a následně schválen vládou usnesením č. 401 ze dne 29. května 2013.</w:t>
      </w:r>
    </w:p>
    <w:p w:rsidR="008206A4" w:rsidRPr="000B521F" w:rsidRDefault="005E6F2D" w:rsidP="0059011D">
      <w:pPr>
        <w:pStyle w:val="Odstavecseseznamem"/>
        <w:numPr>
          <w:ilvl w:val="0"/>
          <w:numId w:val="48"/>
        </w:num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b/>
          <w:color w:val="000000"/>
          <w:sz w:val="24"/>
          <w:szCs w:val="24"/>
        </w:rPr>
        <w:t>Meziresortní expertní poradní skupina</w:t>
      </w:r>
      <w:r w:rsidRPr="000B521F">
        <w:rPr>
          <w:rFonts w:ascii="Times New Roman" w:hAnsi="Times New Roman" w:cs="Times New Roman"/>
          <w:color w:val="000000"/>
          <w:sz w:val="24"/>
          <w:szCs w:val="24"/>
        </w:rPr>
        <w:t xml:space="preserve"> – seskupení odborníků pro přípravu metodického prostředí a diskusi k jednotlivým zpracovávaným metodickým dokumentům, které zahájilo činnost již v srpnu roku 2012;</w:t>
      </w:r>
    </w:p>
    <w:p w:rsidR="008206A4" w:rsidRPr="000B521F" w:rsidRDefault="005E6F2D" w:rsidP="0059011D">
      <w:pPr>
        <w:pStyle w:val="Odstavecseseznamem"/>
        <w:numPr>
          <w:ilvl w:val="0"/>
          <w:numId w:val="48"/>
        </w:num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b/>
          <w:color w:val="000000"/>
          <w:sz w:val="24"/>
          <w:szCs w:val="24"/>
        </w:rPr>
        <w:t>Oponentní skupina pro vytvoření jednotného metodického prostředí</w:t>
      </w:r>
      <w:r w:rsidRPr="000B521F">
        <w:rPr>
          <w:rFonts w:ascii="Times New Roman" w:hAnsi="Times New Roman" w:cs="Times New Roman"/>
          <w:color w:val="000000"/>
          <w:sz w:val="24"/>
          <w:szCs w:val="24"/>
        </w:rPr>
        <w:t xml:space="preserve"> – oponentura připravovaných metodických dokumentů širším plénem potenciálních uživatelů a dalších dotčených aktérů (členství uvedeno v příloze 5.4);</w:t>
      </w:r>
    </w:p>
    <w:p w:rsidR="008206A4" w:rsidRPr="000B521F" w:rsidRDefault="005E6F2D" w:rsidP="0059011D">
      <w:pPr>
        <w:pStyle w:val="Odstavecseseznamem"/>
        <w:numPr>
          <w:ilvl w:val="0"/>
          <w:numId w:val="48"/>
        </w:num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b/>
          <w:color w:val="000000"/>
          <w:sz w:val="24"/>
          <w:szCs w:val="24"/>
        </w:rPr>
        <w:t>Pracovní skupiny pro přípravu jednotlivých programů 2014–2020</w:t>
      </w:r>
      <w:r w:rsidRPr="000B521F">
        <w:rPr>
          <w:rFonts w:ascii="Times New Roman" w:hAnsi="Times New Roman" w:cs="Times New Roman"/>
          <w:color w:val="000000"/>
          <w:sz w:val="24"/>
          <w:szCs w:val="24"/>
        </w:rPr>
        <w:t xml:space="preserve"> – zřízeny jednotlivými řídicími orgány, přičemž relevantní zastoupení partnerů je komunikováno a koordinováno ze strany MMR v rámci Pracovní skupiny k rozpracování programů.</w:t>
      </w:r>
    </w:p>
    <w:p w:rsidR="008206A4" w:rsidRPr="000B521F" w:rsidRDefault="005E6F2D" w:rsidP="0059011D">
      <w:pPr>
        <w:pStyle w:val="Odstavecseseznamem"/>
        <w:numPr>
          <w:ilvl w:val="0"/>
          <w:numId w:val="48"/>
        </w:num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color w:val="000000"/>
          <w:sz w:val="24"/>
          <w:szCs w:val="24"/>
        </w:rPr>
        <w:t xml:space="preserve">Další průřezové platformy – např. </w:t>
      </w:r>
      <w:r w:rsidRPr="000B521F">
        <w:rPr>
          <w:rFonts w:ascii="Times New Roman" w:hAnsi="Times New Roman" w:cs="Times New Roman"/>
          <w:b/>
          <w:color w:val="000000"/>
          <w:sz w:val="24"/>
          <w:szCs w:val="24"/>
        </w:rPr>
        <w:t xml:space="preserve">Pracovní skupina k integrovaným přístupům a územní dimenzi </w:t>
      </w:r>
      <w:r w:rsidRPr="000B521F">
        <w:rPr>
          <w:rFonts w:ascii="Times New Roman" w:hAnsi="Times New Roman" w:cs="Times New Roman"/>
          <w:color w:val="000000"/>
          <w:sz w:val="24"/>
          <w:szCs w:val="24"/>
        </w:rPr>
        <w:t xml:space="preserve">(široce reprezentovaná zástupci krajů, měst a obcí a dalších regionálních partnerů) a </w:t>
      </w:r>
      <w:r w:rsidRPr="000B521F">
        <w:rPr>
          <w:rFonts w:ascii="Times New Roman" w:hAnsi="Times New Roman" w:cs="Times New Roman"/>
          <w:b/>
          <w:color w:val="000000"/>
          <w:sz w:val="24"/>
          <w:szCs w:val="24"/>
        </w:rPr>
        <w:t>Pracovní skupina pro přípravu jednotného monitorovacího systému 2014+</w:t>
      </w:r>
      <w:r w:rsidRPr="000B521F">
        <w:rPr>
          <w:rFonts w:ascii="Times New Roman" w:hAnsi="Times New Roman" w:cs="Times New Roman"/>
          <w:color w:val="000000"/>
          <w:sz w:val="24"/>
          <w:szCs w:val="24"/>
        </w:rPr>
        <w:t>.</w:t>
      </w:r>
    </w:p>
    <w:p w:rsidR="005E6F2D" w:rsidRPr="000B521F" w:rsidRDefault="005E6F2D" w:rsidP="0059011D">
      <w:pPr>
        <w:spacing w:after="120" w:line="240" w:lineRule="auto"/>
        <w:jc w:val="both"/>
        <w:rPr>
          <w:rFonts w:ascii="Times New Roman" w:hAnsi="Times New Roman" w:cs="Times New Roman"/>
          <w:color w:val="000000"/>
          <w:sz w:val="24"/>
          <w:szCs w:val="24"/>
        </w:rPr>
      </w:pPr>
    </w:p>
    <w:p w:rsidR="005E6F2D" w:rsidRPr="000B521F" w:rsidRDefault="005E6F2D" w:rsidP="0059011D">
      <w:pPr>
        <w:spacing w:after="120" w:line="240" w:lineRule="auto"/>
        <w:jc w:val="both"/>
        <w:rPr>
          <w:rFonts w:ascii="Times New Roman" w:hAnsi="Times New Roman" w:cs="Times New Roman"/>
          <w:color w:val="000000"/>
          <w:sz w:val="24"/>
          <w:szCs w:val="24"/>
          <w:u w:val="single"/>
        </w:rPr>
      </w:pPr>
      <w:r w:rsidRPr="000B521F">
        <w:rPr>
          <w:rFonts w:ascii="Times New Roman" w:hAnsi="Times New Roman" w:cs="Times New Roman"/>
          <w:color w:val="000000"/>
          <w:sz w:val="24"/>
          <w:szCs w:val="24"/>
          <w:u w:val="single"/>
        </w:rPr>
        <w:t>Platformy pro fázi realizace programového období 2014–2020:</w:t>
      </w:r>
    </w:p>
    <w:p w:rsidR="008206A4" w:rsidRPr="000B521F" w:rsidRDefault="005E6F2D" w:rsidP="0059011D">
      <w:pPr>
        <w:pStyle w:val="Odstavecseseznamem"/>
        <w:numPr>
          <w:ilvl w:val="0"/>
          <w:numId w:val="48"/>
        </w:num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b/>
          <w:color w:val="000000"/>
          <w:sz w:val="24"/>
          <w:szCs w:val="24"/>
        </w:rPr>
        <w:t xml:space="preserve">Rada pro fondy ESIF a její pracovní skupiny </w:t>
      </w:r>
      <w:r w:rsidRPr="000B521F">
        <w:rPr>
          <w:rFonts w:ascii="Times New Roman" w:hAnsi="Times New Roman" w:cs="Times New Roman"/>
          <w:color w:val="000000"/>
          <w:sz w:val="24"/>
          <w:szCs w:val="24"/>
        </w:rPr>
        <w:t>– nadále bude fungovat Rada pro fondy ESIF jako obdoba</w:t>
      </w:r>
      <w:r w:rsidRPr="000B521F">
        <w:rPr>
          <w:rFonts w:ascii="Times New Roman" w:hAnsi="Times New Roman" w:cs="Times New Roman"/>
          <w:sz w:val="24"/>
          <w:szCs w:val="24"/>
        </w:rPr>
        <w:t xml:space="preserve"> Řídicího a koordinačního výboru v programovém období 2007–2013 včetně všech tematických pracovních skupin a generálních sekretářů a generálního zmocněnce s cílem zejména zajištění souladu realizace se strategickými dokumenty EU a ČR a zajištění synergických efektů mezi programy spolufinancovanými fondy ESIF</w:t>
      </w:r>
      <w:r w:rsidRPr="000B521F">
        <w:rPr>
          <w:rFonts w:ascii="Times New Roman" w:hAnsi="Times New Roman" w:cs="Times New Roman"/>
          <w:color w:val="000000"/>
          <w:sz w:val="24"/>
          <w:szCs w:val="24"/>
        </w:rPr>
        <w:t>;</w:t>
      </w:r>
    </w:p>
    <w:p w:rsidR="008206A4" w:rsidRPr="000B521F" w:rsidRDefault="005E6F2D" w:rsidP="0059011D">
      <w:pPr>
        <w:pStyle w:val="Odstavecseseznamem"/>
        <w:numPr>
          <w:ilvl w:val="0"/>
          <w:numId w:val="48"/>
        </w:num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b/>
          <w:color w:val="000000"/>
          <w:sz w:val="24"/>
          <w:szCs w:val="24"/>
        </w:rPr>
        <w:t>Monitorovací výbory</w:t>
      </w:r>
      <w:r w:rsidRPr="000B521F">
        <w:rPr>
          <w:rFonts w:ascii="Times New Roman" w:hAnsi="Times New Roman" w:cs="Times New Roman"/>
          <w:color w:val="000000"/>
          <w:sz w:val="24"/>
          <w:szCs w:val="24"/>
        </w:rPr>
        <w:t xml:space="preserve"> – vznik monitorovacích výborů, včetně pravidel jejich fungování stanovuje návrh obecného nařízení především ve svých článcích 41 až 43 a článku 100;</w:t>
      </w:r>
    </w:p>
    <w:p w:rsidR="008206A4" w:rsidRPr="000B521F" w:rsidRDefault="005E6F2D" w:rsidP="0059011D">
      <w:pPr>
        <w:pStyle w:val="Odstavecseseznamem"/>
        <w:numPr>
          <w:ilvl w:val="0"/>
          <w:numId w:val="48"/>
        </w:num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b/>
          <w:color w:val="000000"/>
          <w:sz w:val="24"/>
          <w:szCs w:val="24"/>
        </w:rPr>
        <w:t xml:space="preserve">Pracovní skupina Národního orgánu pro koordinaci a řízení Dohody o partnerství </w:t>
      </w:r>
      <w:r w:rsidRPr="000B521F">
        <w:rPr>
          <w:rFonts w:ascii="Times New Roman" w:hAnsi="Times New Roman" w:cs="Times New Roman"/>
          <w:color w:val="000000"/>
          <w:sz w:val="24"/>
          <w:szCs w:val="24"/>
        </w:rPr>
        <w:t>– naváže na činnosti Meziresortní expertní poradní skupiny a bude projednávat zejména metodické prostředí a procesy v implementačním systému 2014–2020;</w:t>
      </w:r>
    </w:p>
    <w:p w:rsidR="008206A4" w:rsidRPr="000B521F" w:rsidRDefault="005E6F2D" w:rsidP="0059011D">
      <w:pPr>
        <w:pStyle w:val="Odstavecseseznamem"/>
        <w:numPr>
          <w:ilvl w:val="0"/>
          <w:numId w:val="48"/>
        </w:numPr>
        <w:spacing w:after="120" w:line="240" w:lineRule="auto"/>
        <w:jc w:val="both"/>
        <w:rPr>
          <w:rFonts w:ascii="Times New Roman" w:hAnsi="Times New Roman" w:cs="Times New Roman"/>
          <w:color w:val="000000"/>
          <w:sz w:val="24"/>
          <w:szCs w:val="24"/>
        </w:rPr>
      </w:pPr>
      <w:r w:rsidRPr="000B521F">
        <w:rPr>
          <w:rFonts w:ascii="Times New Roman" w:hAnsi="Times New Roman" w:cs="Times New Roman"/>
          <w:b/>
          <w:color w:val="000000"/>
          <w:sz w:val="24"/>
          <w:szCs w:val="24"/>
        </w:rPr>
        <w:t xml:space="preserve">Další průřezové pracovní skupiny pro procesy implementace 2014–2020 </w:t>
      </w:r>
      <w:r w:rsidRPr="000B521F">
        <w:rPr>
          <w:rFonts w:ascii="Times New Roman" w:hAnsi="Times New Roman" w:cs="Times New Roman"/>
          <w:color w:val="000000"/>
          <w:sz w:val="24"/>
          <w:szCs w:val="24"/>
        </w:rPr>
        <w:t>– pracovní skupiny pro oblast finančního řízení a kontroly, oblast zjednodušení a odstranění legislativních bariér, oblast evaluace a vyhodnocení intervencí, nastavení jednotného monitorovacího systému MS2014+,integrované přístupy a územní dimenzi, oblast administrativní kapacity a personální stabilizace.</w:t>
      </w:r>
    </w:p>
    <w:p w:rsidR="000B521F" w:rsidRPr="000B521F" w:rsidRDefault="000B521F" w:rsidP="0059011D">
      <w:pPr>
        <w:spacing w:after="120" w:line="240" w:lineRule="auto"/>
        <w:jc w:val="both"/>
        <w:rPr>
          <w:rFonts w:ascii="Times New Roman" w:hAnsi="Times New Roman" w:cs="Times New Roman"/>
          <w:b/>
          <w:sz w:val="24"/>
          <w:szCs w:val="24"/>
          <w:u w:val="single"/>
        </w:rPr>
      </w:pPr>
    </w:p>
    <w:p w:rsidR="005E6F2D" w:rsidRPr="000B521F" w:rsidRDefault="005E6F2D" w:rsidP="0059011D">
      <w:pPr>
        <w:spacing w:after="120" w:line="240" w:lineRule="auto"/>
        <w:jc w:val="both"/>
        <w:rPr>
          <w:rFonts w:ascii="Times New Roman" w:hAnsi="Times New Roman" w:cs="Times New Roman"/>
          <w:b/>
          <w:sz w:val="24"/>
          <w:szCs w:val="24"/>
          <w:u w:val="single"/>
        </w:rPr>
      </w:pPr>
      <w:r w:rsidRPr="000B521F">
        <w:rPr>
          <w:rFonts w:ascii="Times New Roman" w:hAnsi="Times New Roman" w:cs="Times New Roman"/>
          <w:b/>
          <w:sz w:val="24"/>
          <w:szCs w:val="24"/>
          <w:u w:val="single"/>
        </w:rPr>
        <w:t>Členství v Koordinačních výborech NSRR (KV)</w:t>
      </w:r>
    </w:p>
    <w:tbl>
      <w:tblPr>
        <w:tblW w:w="0" w:type="auto"/>
        <w:tblLook w:val="04A0" w:firstRow="1" w:lastRow="0" w:firstColumn="1" w:lastColumn="0" w:noHBand="0" w:noVBand="1"/>
      </w:tblPr>
      <w:tblGrid>
        <w:gridCol w:w="4606"/>
        <w:gridCol w:w="4606"/>
      </w:tblGrid>
      <w:tr w:rsidR="005E6F2D" w:rsidRPr="000B521F" w:rsidTr="00B626AE">
        <w:trPr>
          <w:trHeight w:val="340"/>
        </w:trPr>
        <w:tc>
          <w:tcPr>
            <w:tcW w:w="4606" w:type="dxa"/>
            <w:shd w:val="clear" w:color="auto" w:fill="auto"/>
            <w:hideMark/>
          </w:tcPr>
          <w:p w:rsidR="005E6F2D" w:rsidRPr="000B521F" w:rsidRDefault="005E6F2D" w:rsidP="0059011D">
            <w:pPr>
              <w:spacing w:after="120" w:line="240" w:lineRule="auto"/>
              <w:rPr>
                <w:rFonts w:ascii="Times New Roman" w:hAnsi="Times New Roman" w:cs="Times New Roman"/>
                <w:sz w:val="24"/>
                <w:szCs w:val="24"/>
              </w:rPr>
            </w:pPr>
            <w:r w:rsidRPr="000B521F">
              <w:rPr>
                <w:rFonts w:ascii="Times New Roman" w:hAnsi="Times New Roman" w:cs="Times New Roman"/>
                <w:b/>
                <w:i/>
                <w:sz w:val="24"/>
                <w:szCs w:val="24"/>
              </w:rPr>
              <w:t>KV Konkurenceschopná česká ekonomika:</w:t>
            </w:r>
          </w:p>
          <w:p w:rsidR="008206A4" w:rsidRPr="000B521F" w:rsidRDefault="005E6F2D" w:rsidP="0059011D">
            <w:pPr>
              <w:pStyle w:val="Odstavecseseznamem"/>
              <w:numPr>
                <w:ilvl w:val="0"/>
                <w:numId w:val="49"/>
              </w:numPr>
              <w:spacing w:after="240" w:line="240" w:lineRule="auto"/>
              <w:ind w:left="567" w:hanging="219"/>
              <w:rPr>
                <w:rFonts w:ascii="Times New Roman" w:hAnsi="Times New Roman" w:cs="Times New Roman"/>
                <w:sz w:val="24"/>
                <w:szCs w:val="24"/>
              </w:rPr>
            </w:pPr>
            <w:r w:rsidRPr="000B521F">
              <w:rPr>
                <w:rFonts w:ascii="Times New Roman" w:hAnsi="Times New Roman" w:cs="Times New Roman"/>
                <w:sz w:val="24"/>
                <w:szCs w:val="24"/>
              </w:rPr>
              <w:t>ministerstvo průmyslu a obchodu</w:t>
            </w:r>
          </w:p>
          <w:p w:rsidR="008206A4" w:rsidRPr="000B521F" w:rsidRDefault="005E6F2D" w:rsidP="0059011D">
            <w:pPr>
              <w:pStyle w:val="Odstavecseseznamem"/>
              <w:numPr>
                <w:ilvl w:val="0"/>
                <w:numId w:val="49"/>
              </w:numPr>
              <w:spacing w:after="240" w:line="240" w:lineRule="auto"/>
              <w:ind w:left="567" w:hanging="219"/>
              <w:rPr>
                <w:rFonts w:ascii="Times New Roman" w:hAnsi="Times New Roman" w:cs="Times New Roman"/>
                <w:sz w:val="24"/>
                <w:szCs w:val="24"/>
              </w:rPr>
            </w:pPr>
            <w:r w:rsidRPr="000B521F">
              <w:rPr>
                <w:rFonts w:ascii="Times New Roman" w:hAnsi="Times New Roman" w:cs="Times New Roman"/>
                <w:sz w:val="24"/>
                <w:szCs w:val="24"/>
              </w:rPr>
              <w:t>ministerstvo školství, mládeže a tělovýchovy</w:t>
            </w:r>
          </w:p>
          <w:p w:rsidR="008206A4" w:rsidRPr="000B521F" w:rsidRDefault="005E6F2D" w:rsidP="0059011D">
            <w:pPr>
              <w:pStyle w:val="Odstavecseseznamem"/>
              <w:numPr>
                <w:ilvl w:val="0"/>
                <w:numId w:val="49"/>
              </w:numPr>
              <w:spacing w:after="240" w:line="240" w:lineRule="auto"/>
              <w:ind w:left="567" w:hanging="219"/>
              <w:rPr>
                <w:rFonts w:ascii="Times New Roman" w:hAnsi="Times New Roman" w:cs="Times New Roman"/>
                <w:sz w:val="24"/>
                <w:szCs w:val="24"/>
              </w:rPr>
            </w:pPr>
            <w:r w:rsidRPr="000B521F">
              <w:rPr>
                <w:rFonts w:ascii="Times New Roman" w:hAnsi="Times New Roman" w:cs="Times New Roman"/>
                <w:sz w:val="24"/>
                <w:szCs w:val="24"/>
              </w:rPr>
              <w:t>ministerstvo práce a sociálních věcí</w:t>
            </w:r>
          </w:p>
          <w:p w:rsidR="008206A4" w:rsidRPr="000B521F" w:rsidRDefault="005E6F2D" w:rsidP="0059011D">
            <w:pPr>
              <w:pStyle w:val="Odstavecseseznamem"/>
              <w:numPr>
                <w:ilvl w:val="0"/>
                <w:numId w:val="49"/>
              </w:numPr>
              <w:spacing w:after="240" w:line="240" w:lineRule="auto"/>
              <w:ind w:left="567" w:hanging="219"/>
              <w:rPr>
                <w:rFonts w:ascii="Times New Roman" w:hAnsi="Times New Roman" w:cs="Times New Roman"/>
                <w:sz w:val="24"/>
                <w:szCs w:val="24"/>
              </w:rPr>
            </w:pPr>
            <w:r w:rsidRPr="000B521F">
              <w:rPr>
                <w:rFonts w:ascii="Times New Roman" w:hAnsi="Times New Roman" w:cs="Times New Roman"/>
                <w:sz w:val="24"/>
                <w:szCs w:val="24"/>
              </w:rPr>
              <w:t>ministerstvo pro místní rozvoj</w:t>
            </w:r>
          </w:p>
          <w:p w:rsidR="008206A4" w:rsidRPr="000B521F" w:rsidRDefault="005E6F2D" w:rsidP="0059011D">
            <w:pPr>
              <w:pStyle w:val="Odstavecseseznamem"/>
              <w:numPr>
                <w:ilvl w:val="0"/>
                <w:numId w:val="49"/>
              </w:numPr>
              <w:spacing w:after="240" w:line="240" w:lineRule="auto"/>
              <w:ind w:left="567" w:hanging="219"/>
              <w:rPr>
                <w:rFonts w:ascii="Times New Roman" w:hAnsi="Times New Roman" w:cs="Times New Roman"/>
                <w:sz w:val="24"/>
                <w:szCs w:val="24"/>
              </w:rPr>
            </w:pPr>
            <w:r w:rsidRPr="000B521F">
              <w:rPr>
                <w:rFonts w:ascii="Times New Roman" w:hAnsi="Times New Roman" w:cs="Times New Roman"/>
                <w:sz w:val="24"/>
                <w:szCs w:val="24"/>
              </w:rPr>
              <w:t>ministerstvo financí</w:t>
            </w:r>
          </w:p>
          <w:p w:rsidR="008206A4" w:rsidRPr="000B521F" w:rsidRDefault="005E6F2D" w:rsidP="0059011D">
            <w:pPr>
              <w:pStyle w:val="Odstavecseseznamem"/>
              <w:numPr>
                <w:ilvl w:val="0"/>
                <w:numId w:val="49"/>
              </w:numPr>
              <w:spacing w:after="240" w:line="240" w:lineRule="auto"/>
              <w:ind w:left="567" w:hanging="219"/>
              <w:rPr>
                <w:rFonts w:ascii="Times New Roman" w:hAnsi="Times New Roman" w:cs="Times New Roman"/>
                <w:sz w:val="24"/>
                <w:szCs w:val="24"/>
              </w:rPr>
            </w:pPr>
            <w:r w:rsidRPr="000B521F">
              <w:rPr>
                <w:rFonts w:ascii="Times New Roman" w:hAnsi="Times New Roman" w:cs="Times New Roman"/>
                <w:sz w:val="24"/>
                <w:szCs w:val="24"/>
              </w:rPr>
              <w:t>ministerstvo zahraničních věcí</w:t>
            </w:r>
          </w:p>
          <w:p w:rsidR="008206A4" w:rsidRPr="000B521F" w:rsidRDefault="005E6F2D" w:rsidP="0059011D">
            <w:pPr>
              <w:pStyle w:val="Odstavecseseznamem"/>
              <w:numPr>
                <w:ilvl w:val="0"/>
                <w:numId w:val="49"/>
              </w:numPr>
              <w:spacing w:after="240" w:line="240" w:lineRule="auto"/>
              <w:ind w:left="567" w:hanging="219"/>
              <w:rPr>
                <w:rFonts w:ascii="Times New Roman" w:hAnsi="Times New Roman" w:cs="Times New Roman"/>
                <w:sz w:val="24"/>
                <w:szCs w:val="24"/>
              </w:rPr>
            </w:pPr>
            <w:r w:rsidRPr="000B521F">
              <w:rPr>
                <w:rFonts w:ascii="Times New Roman" w:hAnsi="Times New Roman" w:cs="Times New Roman"/>
                <w:sz w:val="24"/>
                <w:szCs w:val="24"/>
              </w:rPr>
              <w:t>Asociace krajů ČR</w:t>
            </w:r>
          </w:p>
          <w:p w:rsidR="008206A4" w:rsidRPr="000B521F" w:rsidRDefault="005E6F2D" w:rsidP="0059011D">
            <w:pPr>
              <w:pStyle w:val="Odstavecseseznamem"/>
              <w:numPr>
                <w:ilvl w:val="0"/>
                <w:numId w:val="49"/>
              </w:numPr>
              <w:spacing w:after="240" w:line="240" w:lineRule="auto"/>
              <w:ind w:left="567" w:hanging="219"/>
              <w:rPr>
                <w:rFonts w:ascii="Times New Roman" w:hAnsi="Times New Roman" w:cs="Times New Roman"/>
                <w:sz w:val="24"/>
                <w:szCs w:val="24"/>
              </w:rPr>
            </w:pPr>
            <w:r w:rsidRPr="000B521F">
              <w:rPr>
                <w:rFonts w:ascii="Times New Roman" w:hAnsi="Times New Roman" w:cs="Times New Roman"/>
                <w:sz w:val="24"/>
                <w:szCs w:val="24"/>
              </w:rPr>
              <w:t>Hlavní město Praha</w:t>
            </w:r>
          </w:p>
          <w:p w:rsidR="008206A4" w:rsidRPr="000B521F" w:rsidRDefault="005E6F2D" w:rsidP="0059011D">
            <w:pPr>
              <w:pStyle w:val="Odstavecseseznamem"/>
              <w:numPr>
                <w:ilvl w:val="0"/>
                <w:numId w:val="49"/>
              </w:numPr>
              <w:spacing w:after="120" w:line="240" w:lineRule="auto"/>
              <w:ind w:left="567" w:hanging="219"/>
              <w:rPr>
                <w:rFonts w:ascii="Times New Roman" w:hAnsi="Times New Roman" w:cs="Times New Roman"/>
                <w:sz w:val="24"/>
                <w:szCs w:val="24"/>
              </w:rPr>
            </w:pPr>
            <w:r w:rsidRPr="000B521F">
              <w:rPr>
                <w:rFonts w:ascii="Times New Roman" w:hAnsi="Times New Roman" w:cs="Times New Roman"/>
                <w:sz w:val="24"/>
                <w:szCs w:val="24"/>
              </w:rPr>
              <w:t>Česká konference rektorů</w:t>
            </w:r>
          </w:p>
        </w:tc>
        <w:tc>
          <w:tcPr>
            <w:tcW w:w="4606" w:type="dxa"/>
            <w:shd w:val="clear" w:color="auto" w:fill="auto"/>
          </w:tcPr>
          <w:p w:rsidR="005E6F2D" w:rsidRPr="000B521F" w:rsidRDefault="005E6F2D" w:rsidP="0059011D">
            <w:pPr>
              <w:spacing w:after="120" w:line="240" w:lineRule="auto"/>
              <w:ind w:left="142"/>
              <w:rPr>
                <w:rFonts w:ascii="Times New Roman" w:hAnsi="Times New Roman" w:cs="Times New Roman"/>
                <w:b/>
                <w:i/>
                <w:sz w:val="24"/>
                <w:szCs w:val="24"/>
              </w:rPr>
            </w:pPr>
            <w:r w:rsidRPr="000B521F">
              <w:rPr>
                <w:rFonts w:ascii="Times New Roman" w:hAnsi="Times New Roman" w:cs="Times New Roman"/>
                <w:b/>
                <w:i/>
                <w:sz w:val="24"/>
                <w:szCs w:val="24"/>
              </w:rPr>
              <w:t>KV Atraktivní prostředí:</w:t>
            </w:r>
          </w:p>
          <w:p w:rsidR="008206A4" w:rsidRPr="000B521F" w:rsidRDefault="005E6F2D" w:rsidP="0059011D">
            <w:pPr>
              <w:pStyle w:val="Odstavecseseznamem"/>
              <w:numPr>
                <w:ilvl w:val="0"/>
                <w:numId w:val="49"/>
              </w:numPr>
              <w:spacing w:after="240" w:line="240" w:lineRule="auto"/>
              <w:ind w:left="567" w:hanging="219"/>
              <w:rPr>
                <w:rFonts w:ascii="Times New Roman" w:hAnsi="Times New Roman" w:cs="Times New Roman"/>
                <w:sz w:val="24"/>
                <w:szCs w:val="24"/>
              </w:rPr>
            </w:pPr>
            <w:r w:rsidRPr="000B521F">
              <w:rPr>
                <w:rFonts w:ascii="Times New Roman" w:hAnsi="Times New Roman" w:cs="Times New Roman"/>
                <w:sz w:val="24"/>
                <w:szCs w:val="24"/>
              </w:rPr>
              <w:t>ministerstvo životního prostředí</w:t>
            </w:r>
          </w:p>
          <w:p w:rsidR="008206A4" w:rsidRPr="000B521F" w:rsidRDefault="005E6F2D" w:rsidP="0059011D">
            <w:pPr>
              <w:pStyle w:val="Odstavecseseznamem"/>
              <w:numPr>
                <w:ilvl w:val="0"/>
                <w:numId w:val="49"/>
              </w:numPr>
              <w:spacing w:after="240" w:line="240" w:lineRule="auto"/>
              <w:ind w:left="567" w:hanging="219"/>
              <w:rPr>
                <w:rFonts w:ascii="Times New Roman" w:hAnsi="Times New Roman" w:cs="Times New Roman"/>
                <w:sz w:val="24"/>
                <w:szCs w:val="24"/>
              </w:rPr>
            </w:pPr>
            <w:r w:rsidRPr="000B521F">
              <w:rPr>
                <w:rFonts w:ascii="Times New Roman" w:hAnsi="Times New Roman" w:cs="Times New Roman"/>
                <w:sz w:val="24"/>
                <w:szCs w:val="24"/>
              </w:rPr>
              <w:t>ministerstvo dopravy</w:t>
            </w:r>
          </w:p>
          <w:p w:rsidR="008206A4" w:rsidRPr="000B521F" w:rsidRDefault="005E6F2D" w:rsidP="0059011D">
            <w:pPr>
              <w:pStyle w:val="Odstavecseseznamem"/>
              <w:numPr>
                <w:ilvl w:val="0"/>
                <w:numId w:val="49"/>
              </w:numPr>
              <w:spacing w:after="240" w:line="240" w:lineRule="auto"/>
              <w:ind w:left="567" w:hanging="219"/>
              <w:rPr>
                <w:rFonts w:ascii="Times New Roman" w:hAnsi="Times New Roman" w:cs="Times New Roman"/>
                <w:sz w:val="24"/>
                <w:szCs w:val="24"/>
              </w:rPr>
            </w:pPr>
            <w:r w:rsidRPr="000B521F">
              <w:rPr>
                <w:rFonts w:ascii="Times New Roman" w:hAnsi="Times New Roman" w:cs="Times New Roman"/>
                <w:sz w:val="24"/>
                <w:szCs w:val="24"/>
              </w:rPr>
              <w:t>ministerstvo pro místní rozvoj</w:t>
            </w:r>
          </w:p>
          <w:p w:rsidR="008206A4" w:rsidRPr="000B521F" w:rsidRDefault="005E6F2D" w:rsidP="0059011D">
            <w:pPr>
              <w:pStyle w:val="Odstavecseseznamem"/>
              <w:numPr>
                <w:ilvl w:val="0"/>
                <w:numId w:val="49"/>
              </w:numPr>
              <w:spacing w:after="240" w:line="240" w:lineRule="auto"/>
              <w:ind w:left="567" w:hanging="219"/>
              <w:rPr>
                <w:rFonts w:ascii="Times New Roman" w:hAnsi="Times New Roman" w:cs="Times New Roman"/>
                <w:sz w:val="24"/>
                <w:szCs w:val="24"/>
              </w:rPr>
            </w:pPr>
            <w:r w:rsidRPr="000B521F">
              <w:rPr>
                <w:rFonts w:ascii="Times New Roman" w:hAnsi="Times New Roman" w:cs="Times New Roman"/>
                <w:sz w:val="24"/>
                <w:szCs w:val="24"/>
              </w:rPr>
              <w:t>ministerstvo průmyslu a obchodu</w:t>
            </w:r>
          </w:p>
          <w:p w:rsidR="008206A4" w:rsidRPr="000B521F" w:rsidRDefault="005E6F2D" w:rsidP="0059011D">
            <w:pPr>
              <w:pStyle w:val="Odstavecseseznamem"/>
              <w:numPr>
                <w:ilvl w:val="0"/>
                <w:numId w:val="49"/>
              </w:numPr>
              <w:spacing w:after="240" w:line="240" w:lineRule="auto"/>
              <w:ind w:left="567" w:hanging="219"/>
              <w:rPr>
                <w:rFonts w:ascii="Times New Roman" w:hAnsi="Times New Roman" w:cs="Times New Roman"/>
                <w:sz w:val="24"/>
                <w:szCs w:val="24"/>
              </w:rPr>
            </w:pPr>
            <w:r w:rsidRPr="000B521F">
              <w:rPr>
                <w:rFonts w:ascii="Times New Roman" w:hAnsi="Times New Roman" w:cs="Times New Roman"/>
                <w:sz w:val="24"/>
                <w:szCs w:val="24"/>
              </w:rPr>
              <w:t>Asociace krajů ČR</w:t>
            </w:r>
          </w:p>
          <w:p w:rsidR="008206A4" w:rsidRPr="000B521F" w:rsidRDefault="005E6F2D" w:rsidP="0059011D">
            <w:pPr>
              <w:pStyle w:val="Odstavecseseznamem"/>
              <w:numPr>
                <w:ilvl w:val="0"/>
                <w:numId w:val="49"/>
              </w:numPr>
              <w:spacing w:after="240" w:line="240" w:lineRule="auto"/>
              <w:ind w:left="567" w:hanging="219"/>
              <w:rPr>
                <w:rFonts w:ascii="Times New Roman" w:hAnsi="Times New Roman" w:cs="Times New Roman"/>
                <w:sz w:val="24"/>
                <w:szCs w:val="24"/>
              </w:rPr>
            </w:pPr>
            <w:r w:rsidRPr="000B521F">
              <w:rPr>
                <w:rFonts w:ascii="Times New Roman" w:hAnsi="Times New Roman" w:cs="Times New Roman"/>
                <w:sz w:val="24"/>
                <w:szCs w:val="24"/>
              </w:rPr>
              <w:t>Hlavní město Praha</w:t>
            </w:r>
          </w:p>
          <w:p w:rsidR="005E6F2D" w:rsidRPr="000B521F" w:rsidRDefault="005E6F2D" w:rsidP="0059011D">
            <w:pPr>
              <w:spacing w:after="0" w:line="240" w:lineRule="auto"/>
              <w:rPr>
                <w:rFonts w:ascii="Times New Roman" w:hAnsi="Times New Roman" w:cs="Times New Roman"/>
                <w:b/>
                <w:sz w:val="24"/>
                <w:szCs w:val="24"/>
                <w:u w:val="single"/>
              </w:rPr>
            </w:pPr>
          </w:p>
        </w:tc>
      </w:tr>
      <w:tr w:rsidR="005E6F2D" w:rsidRPr="000B521F" w:rsidTr="00B626AE">
        <w:trPr>
          <w:trHeight w:val="340"/>
        </w:trPr>
        <w:tc>
          <w:tcPr>
            <w:tcW w:w="4606" w:type="dxa"/>
            <w:shd w:val="clear" w:color="auto" w:fill="auto"/>
            <w:hideMark/>
          </w:tcPr>
          <w:p w:rsidR="005E6F2D" w:rsidRPr="000B521F" w:rsidRDefault="005E6F2D" w:rsidP="0059011D">
            <w:pPr>
              <w:spacing w:after="120" w:line="240" w:lineRule="auto"/>
              <w:rPr>
                <w:rFonts w:ascii="Times New Roman" w:hAnsi="Times New Roman" w:cs="Times New Roman"/>
                <w:b/>
                <w:i/>
                <w:sz w:val="24"/>
                <w:szCs w:val="24"/>
              </w:rPr>
            </w:pPr>
            <w:r w:rsidRPr="000B521F">
              <w:rPr>
                <w:rFonts w:ascii="Times New Roman" w:hAnsi="Times New Roman" w:cs="Times New Roman"/>
                <w:b/>
                <w:i/>
                <w:sz w:val="24"/>
                <w:szCs w:val="24"/>
              </w:rPr>
              <w:t xml:space="preserve">KV Otevřená, flexibilní a soudržná společnost: </w:t>
            </w:r>
          </w:p>
          <w:p w:rsidR="008206A4" w:rsidRPr="000B521F" w:rsidRDefault="005E6F2D" w:rsidP="0059011D">
            <w:pPr>
              <w:pStyle w:val="Odstavecseseznamem"/>
              <w:numPr>
                <w:ilvl w:val="0"/>
                <w:numId w:val="49"/>
              </w:numPr>
              <w:spacing w:after="240" w:line="240" w:lineRule="auto"/>
              <w:ind w:left="567" w:hanging="219"/>
              <w:rPr>
                <w:rFonts w:ascii="Times New Roman" w:hAnsi="Times New Roman" w:cs="Times New Roman"/>
                <w:sz w:val="24"/>
                <w:szCs w:val="24"/>
              </w:rPr>
            </w:pPr>
            <w:r w:rsidRPr="000B521F">
              <w:rPr>
                <w:rFonts w:ascii="Times New Roman" w:hAnsi="Times New Roman" w:cs="Times New Roman"/>
                <w:sz w:val="24"/>
                <w:szCs w:val="24"/>
              </w:rPr>
              <w:t>ministerstvo práce a sociálních věcí</w:t>
            </w:r>
          </w:p>
          <w:p w:rsidR="008206A4" w:rsidRPr="000B521F" w:rsidRDefault="005E6F2D" w:rsidP="0059011D">
            <w:pPr>
              <w:pStyle w:val="Odstavecseseznamem"/>
              <w:numPr>
                <w:ilvl w:val="0"/>
                <w:numId w:val="49"/>
              </w:numPr>
              <w:spacing w:after="240" w:line="240" w:lineRule="auto"/>
              <w:ind w:left="567" w:hanging="219"/>
              <w:rPr>
                <w:rFonts w:ascii="Times New Roman" w:hAnsi="Times New Roman" w:cs="Times New Roman"/>
                <w:sz w:val="24"/>
                <w:szCs w:val="24"/>
              </w:rPr>
            </w:pPr>
            <w:r w:rsidRPr="000B521F">
              <w:rPr>
                <w:rFonts w:ascii="Times New Roman" w:hAnsi="Times New Roman" w:cs="Times New Roman"/>
                <w:sz w:val="24"/>
                <w:szCs w:val="24"/>
              </w:rPr>
              <w:t>ministerstvo školství, mládeže a tělovýchovy</w:t>
            </w:r>
          </w:p>
          <w:p w:rsidR="008206A4" w:rsidRPr="000B521F" w:rsidRDefault="005E6F2D" w:rsidP="0059011D">
            <w:pPr>
              <w:pStyle w:val="Odstavecseseznamem"/>
              <w:numPr>
                <w:ilvl w:val="0"/>
                <w:numId w:val="49"/>
              </w:numPr>
              <w:spacing w:after="240" w:line="240" w:lineRule="auto"/>
              <w:ind w:left="567" w:hanging="219"/>
              <w:rPr>
                <w:rFonts w:ascii="Times New Roman" w:hAnsi="Times New Roman" w:cs="Times New Roman"/>
                <w:sz w:val="24"/>
                <w:szCs w:val="24"/>
              </w:rPr>
            </w:pPr>
            <w:r w:rsidRPr="000B521F">
              <w:rPr>
                <w:rFonts w:ascii="Times New Roman" w:hAnsi="Times New Roman" w:cs="Times New Roman"/>
                <w:sz w:val="24"/>
                <w:szCs w:val="24"/>
              </w:rPr>
              <w:t>ministerstvo pro místní rozvoj</w:t>
            </w:r>
          </w:p>
          <w:p w:rsidR="008206A4" w:rsidRPr="000B521F" w:rsidRDefault="005E6F2D" w:rsidP="0059011D">
            <w:pPr>
              <w:pStyle w:val="Odstavecseseznamem"/>
              <w:numPr>
                <w:ilvl w:val="0"/>
                <w:numId w:val="49"/>
              </w:numPr>
              <w:spacing w:after="240" w:line="240" w:lineRule="auto"/>
              <w:ind w:left="567" w:hanging="219"/>
              <w:rPr>
                <w:rFonts w:ascii="Times New Roman" w:hAnsi="Times New Roman" w:cs="Times New Roman"/>
                <w:sz w:val="24"/>
                <w:szCs w:val="24"/>
              </w:rPr>
            </w:pPr>
            <w:r w:rsidRPr="000B521F">
              <w:rPr>
                <w:rFonts w:ascii="Times New Roman" w:hAnsi="Times New Roman" w:cs="Times New Roman"/>
                <w:sz w:val="24"/>
                <w:szCs w:val="24"/>
              </w:rPr>
              <w:t>ministerstvo vnitra</w:t>
            </w:r>
          </w:p>
          <w:p w:rsidR="008206A4" w:rsidRPr="000B521F" w:rsidRDefault="005E6F2D" w:rsidP="0059011D">
            <w:pPr>
              <w:pStyle w:val="Odstavecseseznamem"/>
              <w:numPr>
                <w:ilvl w:val="0"/>
                <w:numId w:val="49"/>
              </w:numPr>
              <w:spacing w:after="240" w:line="240" w:lineRule="auto"/>
              <w:ind w:left="567" w:hanging="219"/>
              <w:rPr>
                <w:rFonts w:ascii="Times New Roman" w:hAnsi="Times New Roman" w:cs="Times New Roman"/>
                <w:sz w:val="24"/>
                <w:szCs w:val="24"/>
              </w:rPr>
            </w:pPr>
            <w:r w:rsidRPr="000B521F">
              <w:rPr>
                <w:rFonts w:ascii="Times New Roman" w:hAnsi="Times New Roman" w:cs="Times New Roman"/>
                <w:sz w:val="24"/>
                <w:szCs w:val="24"/>
              </w:rPr>
              <w:t>ministerstvo zdravotnictví</w:t>
            </w:r>
          </w:p>
          <w:p w:rsidR="008206A4" w:rsidRPr="000B521F" w:rsidRDefault="005E6F2D" w:rsidP="0059011D">
            <w:pPr>
              <w:pStyle w:val="Odstavecseseznamem"/>
              <w:numPr>
                <w:ilvl w:val="0"/>
                <w:numId w:val="49"/>
              </w:numPr>
              <w:spacing w:after="240" w:line="240" w:lineRule="auto"/>
              <w:ind w:left="567" w:hanging="219"/>
              <w:rPr>
                <w:rFonts w:ascii="Times New Roman" w:hAnsi="Times New Roman" w:cs="Times New Roman"/>
                <w:sz w:val="24"/>
                <w:szCs w:val="24"/>
              </w:rPr>
            </w:pPr>
            <w:r w:rsidRPr="000B521F">
              <w:rPr>
                <w:rFonts w:ascii="Times New Roman" w:hAnsi="Times New Roman" w:cs="Times New Roman"/>
                <w:sz w:val="24"/>
                <w:szCs w:val="24"/>
              </w:rPr>
              <w:t>ministerstvo spravedlnosti</w:t>
            </w:r>
          </w:p>
          <w:p w:rsidR="008206A4" w:rsidRPr="000B521F" w:rsidRDefault="005E6F2D" w:rsidP="0059011D">
            <w:pPr>
              <w:pStyle w:val="Odstavecseseznamem"/>
              <w:numPr>
                <w:ilvl w:val="0"/>
                <w:numId w:val="49"/>
              </w:numPr>
              <w:spacing w:after="240" w:line="240" w:lineRule="auto"/>
              <w:ind w:left="567" w:hanging="219"/>
              <w:rPr>
                <w:rFonts w:ascii="Times New Roman" w:hAnsi="Times New Roman" w:cs="Times New Roman"/>
                <w:sz w:val="24"/>
                <w:szCs w:val="24"/>
              </w:rPr>
            </w:pPr>
            <w:r w:rsidRPr="000B521F">
              <w:rPr>
                <w:rFonts w:ascii="Times New Roman" w:hAnsi="Times New Roman" w:cs="Times New Roman"/>
                <w:sz w:val="24"/>
                <w:szCs w:val="24"/>
              </w:rPr>
              <w:t>Rada vlády pro nestátní neziskové organizace</w:t>
            </w:r>
          </w:p>
          <w:p w:rsidR="008206A4" w:rsidRPr="000B521F" w:rsidRDefault="005E6F2D" w:rsidP="0059011D">
            <w:pPr>
              <w:pStyle w:val="Odstavecseseznamem"/>
              <w:numPr>
                <w:ilvl w:val="0"/>
                <w:numId w:val="49"/>
              </w:numPr>
              <w:spacing w:after="240" w:line="240" w:lineRule="auto"/>
              <w:ind w:left="567" w:hanging="219"/>
              <w:rPr>
                <w:rFonts w:ascii="Times New Roman" w:hAnsi="Times New Roman" w:cs="Times New Roman"/>
                <w:sz w:val="24"/>
                <w:szCs w:val="24"/>
              </w:rPr>
            </w:pPr>
            <w:r w:rsidRPr="000B521F">
              <w:rPr>
                <w:rFonts w:ascii="Times New Roman" w:hAnsi="Times New Roman" w:cs="Times New Roman"/>
                <w:sz w:val="24"/>
                <w:szCs w:val="24"/>
              </w:rPr>
              <w:t>Asociace krajů ČR</w:t>
            </w:r>
          </w:p>
          <w:p w:rsidR="008206A4" w:rsidRPr="000B521F" w:rsidRDefault="005E6F2D" w:rsidP="0059011D">
            <w:pPr>
              <w:pStyle w:val="Odstavecseseznamem"/>
              <w:numPr>
                <w:ilvl w:val="0"/>
                <w:numId w:val="49"/>
              </w:numPr>
              <w:spacing w:after="240" w:line="240" w:lineRule="auto"/>
              <w:ind w:left="567" w:hanging="219"/>
              <w:rPr>
                <w:rFonts w:ascii="Times New Roman" w:hAnsi="Times New Roman" w:cs="Times New Roman"/>
                <w:sz w:val="24"/>
                <w:szCs w:val="24"/>
              </w:rPr>
            </w:pPr>
            <w:r w:rsidRPr="000B521F">
              <w:rPr>
                <w:rFonts w:ascii="Times New Roman" w:hAnsi="Times New Roman" w:cs="Times New Roman"/>
                <w:sz w:val="24"/>
                <w:szCs w:val="24"/>
              </w:rPr>
              <w:t>Hlavní město Praha</w:t>
            </w:r>
          </w:p>
          <w:p w:rsidR="008206A4" w:rsidRPr="000B521F" w:rsidRDefault="005E6F2D" w:rsidP="0059011D">
            <w:pPr>
              <w:pStyle w:val="Odstavecseseznamem"/>
              <w:numPr>
                <w:ilvl w:val="0"/>
                <w:numId w:val="49"/>
              </w:numPr>
              <w:spacing w:after="240" w:line="240" w:lineRule="auto"/>
              <w:ind w:left="567" w:hanging="219"/>
              <w:rPr>
                <w:rFonts w:ascii="Times New Roman" w:hAnsi="Times New Roman" w:cs="Times New Roman"/>
                <w:sz w:val="24"/>
                <w:szCs w:val="24"/>
              </w:rPr>
            </w:pPr>
            <w:r w:rsidRPr="000B521F">
              <w:rPr>
                <w:rFonts w:ascii="Times New Roman" w:hAnsi="Times New Roman" w:cs="Times New Roman"/>
                <w:sz w:val="24"/>
                <w:szCs w:val="24"/>
              </w:rPr>
              <w:t>Konfederace zaměstnavatelských podnikatelských svazů</w:t>
            </w:r>
          </w:p>
          <w:p w:rsidR="008206A4" w:rsidRPr="000B521F" w:rsidRDefault="005E6F2D" w:rsidP="0059011D">
            <w:pPr>
              <w:pStyle w:val="Odstavecseseznamem"/>
              <w:numPr>
                <w:ilvl w:val="0"/>
                <w:numId w:val="49"/>
              </w:numPr>
              <w:spacing w:after="240" w:line="240" w:lineRule="auto"/>
              <w:ind w:left="567" w:hanging="219"/>
              <w:rPr>
                <w:rFonts w:ascii="Times New Roman" w:hAnsi="Times New Roman" w:cs="Times New Roman"/>
                <w:sz w:val="24"/>
                <w:szCs w:val="24"/>
              </w:rPr>
            </w:pPr>
            <w:r w:rsidRPr="000B521F">
              <w:rPr>
                <w:rFonts w:ascii="Times New Roman" w:hAnsi="Times New Roman" w:cs="Times New Roman"/>
                <w:sz w:val="24"/>
                <w:szCs w:val="24"/>
              </w:rPr>
              <w:t>Svaz průmyslu a obchodu ČR</w:t>
            </w:r>
          </w:p>
          <w:p w:rsidR="008206A4" w:rsidRPr="000B521F" w:rsidRDefault="005E6F2D" w:rsidP="0059011D">
            <w:pPr>
              <w:pStyle w:val="Odstavecseseznamem"/>
              <w:numPr>
                <w:ilvl w:val="0"/>
                <w:numId w:val="49"/>
              </w:numPr>
              <w:spacing w:after="120" w:line="240" w:lineRule="auto"/>
              <w:ind w:left="567" w:hanging="219"/>
              <w:rPr>
                <w:rFonts w:ascii="Times New Roman" w:hAnsi="Times New Roman" w:cs="Times New Roman"/>
                <w:sz w:val="24"/>
                <w:szCs w:val="24"/>
              </w:rPr>
            </w:pPr>
            <w:r w:rsidRPr="000B521F">
              <w:rPr>
                <w:rFonts w:ascii="Times New Roman" w:hAnsi="Times New Roman" w:cs="Times New Roman"/>
                <w:sz w:val="24"/>
                <w:szCs w:val="24"/>
              </w:rPr>
              <w:t>Českomoravská konfederace odborových svazů</w:t>
            </w:r>
          </w:p>
        </w:tc>
        <w:tc>
          <w:tcPr>
            <w:tcW w:w="4606" w:type="dxa"/>
            <w:shd w:val="clear" w:color="auto" w:fill="auto"/>
          </w:tcPr>
          <w:p w:rsidR="005E6F2D" w:rsidRPr="000B521F" w:rsidRDefault="005E6F2D" w:rsidP="0059011D">
            <w:pPr>
              <w:spacing w:after="120" w:line="240" w:lineRule="auto"/>
              <w:ind w:left="142"/>
              <w:rPr>
                <w:rFonts w:ascii="Times New Roman" w:hAnsi="Times New Roman" w:cs="Times New Roman"/>
                <w:b/>
                <w:i/>
                <w:sz w:val="24"/>
                <w:szCs w:val="24"/>
              </w:rPr>
            </w:pPr>
            <w:r w:rsidRPr="000B521F">
              <w:rPr>
                <w:rFonts w:ascii="Times New Roman" w:hAnsi="Times New Roman" w:cs="Times New Roman"/>
                <w:b/>
                <w:i/>
                <w:sz w:val="24"/>
                <w:szCs w:val="24"/>
              </w:rPr>
              <w:t>KV Vyvážený rozvoj území:</w:t>
            </w:r>
          </w:p>
          <w:p w:rsidR="008206A4" w:rsidRPr="000B521F" w:rsidRDefault="005E6F2D" w:rsidP="0059011D">
            <w:pPr>
              <w:pStyle w:val="Odstavecseseznamem"/>
              <w:numPr>
                <w:ilvl w:val="0"/>
                <w:numId w:val="49"/>
              </w:numPr>
              <w:spacing w:after="240" w:line="240" w:lineRule="auto"/>
              <w:ind w:left="567" w:hanging="218"/>
              <w:rPr>
                <w:rFonts w:ascii="Times New Roman" w:hAnsi="Times New Roman" w:cs="Times New Roman"/>
                <w:sz w:val="24"/>
                <w:szCs w:val="24"/>
              </w:rPr>
            </w:pPr>
            <w:r w:rsidRPr="000B521F">
              <w:rPr>
                <w:rFonts w:ascii="Times New Roman" w:hAnsi="Times New Roman" w:cs="Times New Roman"/>
                <w:sz w:val="24"/>
                <w:szCs w:val="24"/>
              </w:rPr>
              <w:t>ministerstvo pro místní rozvoj</w:t>
            </w:r>
          </w:p>
          <w:p w:rsidR="008206A4" w:rsidRPr="000B521F" w:rsidRDefault="005E6F2D" w:rsidP="0059011D">
            <w:pPr>
              <w:pStyle w:val="Odstavecseseznamem"/>
              <w:numPr>
                <w:ilvl w:val="0"/>
                <w:numId w:val="49"/>
              </w:numPr>
              <w:spacing w:after="240" w:line="240" w:lineRule="auto"/>
              <w:ind w:left="567" w:hanging="218"/>
              <w:rPr>
                <w:rFonts w:ascii="Times New Roman" w:hAnsi="Times New Roman" w:cs="Times New Roman"/>
                <w:sz w:val="24"/>
                <w:szCs w:val="24"/>
              </w:rPr>
            </w:pPr>
            <w:r w:rsidRPr="000B521F">
              <w:rPr>
                <w:rFonts w:ascii="Times New Roman" w:hAnsi="Times New Roman" w:cs="Times New Roman"/>
                <w:sz w:val="24"/>
                <w:szCs w:val="24"/>
              </w:rPr>
              <w:t>ministerstvo kultury</w:t>
            </w:r>
          </w:p>
          <w:p w:rsidR="008206A4" w:rsidRPr="000B521F" w:rsidRDefault="005E6F2D" w:rsidP="0059011D">
            <w:pPr>
              <w:pStyle w:val="Odstavecseseznamem"/>
              <w:numPr>
                <w:ilvl w:val="0"/>
                <w:numId w:val="49"/>
              </w:numPr>
              <w:spacing w:after="240" w:line="240" w:lineRule="auto"/>
              <w:ind w:left="567" w:hanging="218"/>
              <w:rPr>
                <w:rFonts w:ascii="Times New Roman" w:hAnsi="Times New Roman" w:cs="Times New Roman"/>
                <w:sz w:val="24"/>
                <w:szCs w:val="24"/>
              </w:rPr>
            </w:pPr>
            <w:r w:rsidRPr="000B521F">
              <w:rPr>
                <w:rFonts w:ascii="Times New Roman" w:hAnsi="Times New Roman" w:cs="Times New Roman"/>
                <w:sz w:val="24"/>
                <w:szCs w:val="24"/>
              </w:rPr>
              <w:t>ministerstvo vnitra</w:t>
            </w:r>
          </w:p>
          <w:p w:rsidR="008206A4" w:rsidRPr="000B521F" w:rsidRDefault="005E6F2D" w:rsidP="0059011D">
            <w:pPr>
              <w:pStyle w:val="Odstavecseseznamem"/>
              <w:numPr>
                <w:ilvl w:val="0"/>
                <w:numId w:val="49"/>
              </w:numPr>
              <w:spacing w:after="240" w:line="240" w:lineRule="auto"/>
              <w:ind w:left="567" w:hanging="218"/>
              <w:rPr>
                <w:rFonts w:ascii="Times New Roman" w:hAnsi="Times New Roman" w:cs="Times New Roman"/>
                <w:sz w:val="24"/>
                <w:szCs w:val="24"/>
              </w:rPr>
            </w:pPr>
            <w:r w:rsidRPr="000B521F">
              <w:rPr>
                <w:rFonts w:ascii="Times New Roman" w:hAnsi="Times New Roman" w:cs="Times New Roman"/>
                <w:sz w:val="24"/>
                <w:szCs w:val="24"/>
              </w:rPr>
              <w:t>ministerstvo zemědělství</w:t>
            </w:r>
          </w:p>
          <w:p w:rsidR="008206A4" w:rsidRPr="000B521F" w:rsidRDefault="005E6F2D" w:rsidP="0059011D">
            <w:pPr>
              <w:pStyle w:val="Odstavecseseznamem"/>
              <w:numPr>
                <w:ilvl w:val="0"/>
                <w:numId w:val="49"/>
              </w:numPr>
              <w:spacing w:after="240" w:line="240" w:lineRule="auto"/>
              <w:ind w:left="567" w:hanging="218"/>
              <w:rPr>
                <w:rFonts w:ascii="Times New Roman" w:hAnsi="Times New Roman" w:cs="Times New Roman"/>
                <w:sz w:val="24"/>
                <w:szCs w:val="24"/>
              </w:rPr>
            </w:pPr>
            <w:r w:rsidRPr="000B521F">
              <w:rPr>
                <w:rFonts w:ascii="Times New Roman" w:hAnsi="Times New Roman" w:cs="Times New Roman"/>
                <w:sz w:val="24"/>
                <w:szCs w:val="24"/>
              </w:rPr>
              <w:t>Asociace krajů ČR</w:t>
            </w:r>
          </w:p>
          <w:p w:rsidR="008206A4" w:rsidRPr="000B521F" w:rsidRDefault="005E6F2D" w:rsidP="0059011D">
            <w:pPr>
              <w:pStyle w:val="Odstavecseseznamem"/>
              <w:numPr>
                <w:ilvl w:val="0"/>
                <w:numId w:val="49"/>
              </w:numPr>
              <w:spacing w:after="240" w:line="240" w:lineRule="auto"/>
              <w:ind w:left="567" w:hanging="218"/>
              <w:rPr>
                <w:rFonts w:ascii="Times New Roman" w:hAnsi="Times New Roman" w:cs="Times New Roman"/>
                <w:sz w:val="24"/>
                <w:szCs w:val="24"/>
              </w:rPr>
            </w:pPr>
            <w:r w:rsidRPr="000B521F">
              <w:rPr>
                <w:rFonts w:ascii="Times New Roman" w:hAnsi="Times New Roman" w:cs="Times New Roman"/>
                <w:sz w:val="24"/>
                <w:szCs w:val="24"/>
              </w:rPr>
              <w:t>Hlavní město Praha</w:t>
            </w:r>
          </w:p>
          <w:p w:rsidR="008206A4" w:rsidRPr="000B521F" w:rsidRDefault="005E6F2D" w:rsidP="0059011D">
            <w:pPr>
              <w:pStyle w:val="Odstavecseseznamem"/>
              <w:numPr>
                <w:ilvl w:val="0"/>
                <w:numId w:val="49"/>
              </w:numPr>
              <w:spacing w:after="240" w:line="240" w:lineRule="auto"/>
              <w:ind w:left="567" w:hanging="218"/>
              <w:rPr>
                <w:rFonts w:ascii="Times New Roman" w:hAnsi="Times New Roman" w:cs="Times New Roman"/>
                <w:sz w:val="24"/>
                <w:szCs w:val="24"/>
              </w:rPr>
            </w:pPr>
            <w:r w:rsidRPr="000B521F">
              <w:rPr>
                <w:rFonts w:ascii="Times New Roman" w:hAnsi="Times New Roman" w:cs="Times New Roman"/>
                <w:sz w:val="24"/>
                <w:szCs w:val="24"/>
              </w:rPr>
              <w:t>ministerstvo životního prostředí</w:t>
            </w:r>
          </w:p>
          <w:p w:rsidR="008206A4" w:rsidRPr="000B521F" w:rsidRDefault="005E6F2D" w:rsidP="0059011D">
            <w:pPr>
              <w:pStyle w:val="Odstavecseseznamem"/>
              <w:numPr>
                <w:ilvl w:val="0"/>
                <w:numId w:val="49"/>
              </w:numPr>
              <w:spacing w:after="240" w:line="240" w:lineRule="auto"/>
              <w:ind w:left="567" w:hanging="218"/>
              <w:rPr>
                <w:rFonts w:ascii="Times New Roman" w:hAnsi="Times New Roman" w:cs="Times New Roman"/>
                <w:sz w:val="24"/>
                <w:szCs w:val="24"/>
              </w:rPr>
            </w:pPr>
            <w:r w:rsidRPr="000B521F">
              <w:rPr>
                <w:rFonts w:ascii="Times New Roman" w:hAnsi="Times New Roman" w:cs="Times New Roman"/>
                <w:sz w:val="24"/>
                <w:szCs w:val="24"/>
              </w:rPr>
              <w:t xml:space="preserve">ministerstvo dopravy </w:t>
            </w:r>
          </w:p>
          <w:p w:rsidR="008206A4" w:rsidRPr="000B521F" w:rsidRDefault="005E6F2D" w:rsidP="0059011D">
            <w:pPr>
              <w:pStyle w:val="Odstavecseseznamem"/>
              <w:numPr>
                <w:ilvl w:val="0"/>
                <w:numId w:val="49"/>
              </w:numPr>
              <w:spacing w:after="240" w:line="240" w:lineRule="auto"/>
              <w:ind w:left="567" w:hanging="218"/>
              <w:rPr>
                <w:rFonts w:ascii="Times New Roman" w:hAnsi="Times New Roman" w:cs="Times New Roman"/>
                <w:sz w:val="24"/>
                <w:szCs w:val="24"/>
              </w:rPr>
            </w:pPr>
            <w:r w:rsidRPr="000B521F">
              <w:rPr>
                <w:rFonts w:ascii="Times New Roman" w:hAnsi="Times New Roman" w:cs="Times New Roman"/>
                <w:sz w:val="24"/>
                <w:szCs w:val="24"/>
              </w:rPr>
              <w:t>Rada vlády pro nestátní neziskové organizace</w:t>
            </w:r>
          </w:p>
          <w:p w:rsidR="008206A4" w:rsidRPr="000B521F" w:rsidRDefault="005E6F2D" w:rsidP="0059011D">
            <w:pPr>
              <w:pStyle w:val="Odstavecseseznamem"/>
              <w:numPr>
                <w:ilvl w:val="0"/>
                <w:numId w:val="49"/>
              </w:numPr>
              <w:spacing w:after="240" w:line="240" w:lineRule="auto"/>
              <w:ind w:left="567" w:hanging="218"/>
              <w:rPr>
                <w:rFonts w:ascii="Times New Roman" w:hAnsi="Times New Roman" w:cs="Times New Roman"/>
                <w:sz w:val="24"/>
                <w:szCs w:val="24"/>
              </w:rPr>
            </w:pPr>
            <w:r w:rsidRPr="000B521F">
              <w:rPr>
                <w:rFonts w:ascii="Times New Roman" w:hAnsi="Times New Roman" w:cs="Times New Roman"/>
                <w:sz w:val="24"/>
                <w:szCs w:val="24"/>
              </w:rPr>
              <w:t>Svaz měst a obcí ČR</w:t>
            </w:r>
          </w:p>
          <w:p w:rsidR="005E6F2D" w:rsidRPr="000B521F" w:rsidRDefault="005E6F2D" w:rsidP="0059011D">
            <w:pPr>
              <w:spacing w:after="0" w:line="240" w:lineRule="auto"/>
              <w:rPr>
                <w:rFonts w:ascii="Times New Roman" w:hAnsi="Times New Roman" w:cs="Times New Roman"/>
                <w:b/>
                <w:sz w:val="24"/>
                <w:szCs w:val="24"/>
                <w:u w:val="single"/>
              </w:rPr>
            </w:pPr>
          </w:p>
        </w:tc>
      </w:tr>
    </w:tbl>
    <w:p w:rsidR="000B521F" w:rsidRPr="000B521F" w:rsidRDefault="000B521F" w:rsidP="0059011D">
      <w:pPr>
        <w:spacing w:after="120" w:line="240" w:lineRule="auto"/>
        <w:jc w:val="both"/>
        <w:rPr>
          <w:rFonts w:ascii="Times New Roman" w:hAnsi="Times New Roman" w:cs="Times New Roman"/>
          <w:b/>
          <w:sz w:val="24"/>
          <w:szCs w:val="24"/>
          <w:u w:val="single"/>
        </w:rPr>
      </w:pPr>
    </w:p>
    <w:p w:rsidR="005E6F2D" w:rsidRPr="000B521F" w:rsidRDefault="005E6F2D" w:rsidP="0059011D">
      <w:pPr>
        <w:spacing w:after="120" w:line="240" w:lineRule="auto"/>
        <w:jc w:val="both"/>
        <w:rPr>
          <w:rFonts w:ascii="Times New Roman" w:hAnsi="Times New Roman" w:cs="Times New Roman"/>
          <w:b/>
          <w:sz w:val="24"/>
          <w:szCs w:val="24"/>
          <w:u w:val="single"/>
        </w:rPr>
      </w:pPr>
      <w:r w:rsidRPr="000B521F">
        <w:rPr>
          <w:rFonts w:ascii="Times New Roman" w:hAnsi="Times New Roman" w:cs="Times New Roman"/>
          <w:b/>
          <w:sz w:val="24"/>
          <w:szCs w:val="24"/>
          <w:u w:val="single"/>
        </w:rPr>
        <w:t>Členství v Resortní koordinační skupině MMR pro EU</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ministerstvo zahraničních věcí,</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ministerstvo financí,</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ministerstvo průmyslu a obchodu,</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ministerstvo školství, mládeže a tělovýchovy,</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ministerstvo práce a sociálních věcí,</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ministerstvo životního prostředí,</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ministerstvo vnitra,</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ministerstvo dopravy,</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ministerstvo zdravotnictví,</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ministerstvo zemědělství,</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ministerstvo kultury,</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Úřad vlády ČR,</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Asociace krajů ČR,</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Svaz měst a obcí ČR,</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Hlavní město Praha,</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Národní síť Místních akčních skupin ČR,</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Rada vlády pro nestátní neziskové organizace,</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Rada vlády pro výzkum, vývoj a inovace,</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Český statistický úřad,</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Českomoravská konfederace odborových svazů,</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Stálé zastoupení ČR při EU,</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Konfederace zaměstnavatelských a podnikatelských svazů ČR,</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Úřad pro ochranu hospodářské soutěže,</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Hospodářská komora ČR,</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Technologická agentura ČR.</w:t>
      </w:r>
    </w:p>
    <w:p w:rsidR="000B521F" w:rsidRPr="000B521F" w:rsidRDefault="000B521F" w:rsidP="0059011D">
      <w:pPr>
        <w:spacing w:after="120" w:line="240" w:lineRule="auto"/>
        <w:jc w:val="both"/>
        <w:rPr>
          <w:rFonts w:ascii="Times New Roman" w:hAnsi="Times New Roman" w:cs="Times New Roman"/>
          <w:b/>
          <w:sz w:val="24"/>
          <w:szCs w:val="24"/>
          <w:u w:val="single"/>
        </w:rPr>
      </w:pPr>
    </w:p>
    <w:p w:rsidR="005E6F2D" w:rsidRPr="000B521F" w:rsidRDefault="005E6F2D" w:rsidP="0059011D">
      <w:pPr>
        <w:spacing w:after="120" w:line="240" w:lineRule="auto"/>
        <w:jc w:val="both"/>
        <w:rPr>
          <w:rFonts w:ascii="Times New Roman" w:hAnsi="Times New Roman" w:cs="Times New Roman"/>
          <w:b/>
          <w:sz w:val="24"/>
          <w:szCs w:val="24"/>
          <w:u w:val="single"/>
        </w:rPr>
      </w:pPr>
      <w:r w:rsidRPr="000B521F">
        <w:rPr>
          <w:rFonts w:ascii="Times New Roman" w:hAnsi="Times New Roman" w:cs="Times New Roman"/>
          <w:b/>
          <w:sz w:val="24"/>
          <w:szCs w:val="24"/>
          <w:u w:val="single"/>
        </w:rPr>
        <w:t>Členství v Radě pro fondy Společného strategického rámce</w:t>
      </w:r>
    </w:p>
    <w:tbl>
      <w:tblPr>
        <w:tblW w:w="0" w:type="auto"/>
        <w:tblLook w:val="04A0" w:firstRow="1" w:lastRow="0" w:firstColumn="1" w:lastColumn="0" w:noHBand="0" w:noVBand="1"/>
      </w:tblPr>
      <w:tblGrid>
        <w:gridCol w:w="4606"/>
        <w:gridCol w:w="4606"/>
      </w:tblGrid>
      <w:tr w:rsidR="005E6F2D" w:rsidRPr="000B521F" w:rsidTr="00B626AE">
        <w:trPr>
          <w:trHeight w:val="340"/>
        </w:trPr>
        <w:tc>
          <w:tcPr>
            <w:tcW w:w="4606" w:type="dxa"/>
            <w:shd w:val="clear" w:color="auto" w:fill="auto"/>
            <w:hideMark/>
          </w:tcPr>
          <w:p w:rsidR="005E6F2D" w:rsidRPr="000B521F" w:rsidRDefault="005E6F2D" w:rsidP="0059011D">
            <w:pPr>
              <w:spacing w:after="120" w:line="240" w:lineRule="auto"/>
              <w:rPr>
                <w:rFonts w:ascii="Times New Roman" w:hAnsi="Times New Roman" w:cs="Times New Roman"/>
                <w:b/>
                <w:i/>
                <w:sz w:val="24"/>
                <w:szCs w:val="24"/>
              </w:rPr>
            </w:pPr>
            <w:r w:rsidRPr="000B521F">
              <w:rPr>
                <w:rFonts w:ascii="Times New Roman" w:hAnsi="Times New Roman" w:cs="Times New Roman"/>
                <w:b/>
                <w:i/>
                <w:sz w:val="24"/>
                <w:szCs w:val="24"/>
              </w:rPr>
              <w:t>Členy Rady s hlasovacím právem jsou:</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 xml:space="preserve">předseda vlády ČR, </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 xml:space="preserve">ministr pro místní rozvoj, </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 xml:space="preserve">ministr financí, </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 xml:space="preserve">ministr průmyslu a obchodu, </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 xml:space="preserve">ministryně práce a sociálních věcí, </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 xml:space="preserve">ministr dopravy, </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 xml:space="preserve">ministr školství, mládeže a tělovýchovy, </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 xml:space="preserve">ministr životního prostředí, </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 xml:space="preserve">ministr zemědělství, </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 xml:space="preserve">ministr zahraničních věcí, </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 xml:space="preserve">ministr vnitra, </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 xml:space="preserve">ministryně kultury, </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 xml:space="preserve">ministr zdravotnictví, </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 xml:space="preserve">ministr spravedlnosti, </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ministr obrany,</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 xml:space="preserve">zástupce Úřadu vlády ČR, </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 xml:space="preserve">zástupci ministerstva pro místní rozvoj (Národní orgán pro koordinaci), </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 xml:space="preserve">zástupci ministerstva financí (Auditní orgán a Platební a certifikační orgán), </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 xml:space="preserve">zástupce hl. města Prahy, </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 xml:space="preserve">zástupce Asociace krajů ČR, </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 xml:space="preserve">zástupce Svazu měst a obcí ČR, </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 xml:space="preserve">zástupce Sdružení místních samospráv, </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 xml:space="preserve">zástupce Národní sítě Místních akčních skupin, </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zástupci nevládních delegací Rady hospodářské a sociální dohody ČR,</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zástupce sítí nestátních neziskových organizací.</w:t>
            </w:r>
          </w:p>
        </w:tc>
        <w:tc>
          <w:tcPr>
            <w:tcW w:w="4606" w:type="dxa"/>
            <w:shd w:val="clear" w:color="auto" w:fill="auto"/>
          </w:tcPr>
          <w:p w:rsidR="005E6F2D" w:rsidRPr="000B521F" w:rsidRDefault="005E6F2D" w:rsidP="0059011D">
            <w:pPr>
              <w:spacing w:after="120" w:line="240" w:lineRule="auto"/>
              <w:ind w:left="142"/>
              <w:rPr>
                <w:rFonts w:ascii="Times New Roman" w:hAnsi="Times New Roman" w:cs="Times New Roman"/>
                <w:b/>
                <w:i/>
                <w:sz w:val="24"/>
                <w:szCs w:val="24"/>
              </w:rPr>
            </w:pPr>
            <w:r w:rsidRPr="000B521F">
              <w:rPr>
                <w:rFonts w:ascii="Times New Roman" w:hAnsi="Times New Roman" w:cs="Times New Roman"/>
                <w:b/>
                <w:i/>
                <w:sz w:val="24"/>
                <w:szCs w:val="24"/>
              </w:rPr>
              <w:t>Členy Rady bez hlasovacího práva jsou:</w:t>
            </w:r>
          </w:p>
          <w:p w:rsidR="008206A4" w:rsidRPr="000B521F" w:rsidRDefault="005E6F2D" w:rsidP="0059011D">
            <w:pPr>
              <w:pStyle w:val="Odstavecseseznamem"/>
              <w:numPr>
                <w:ilvl w:val="0"/>
                <w:numId w:val="49"/>
              </w:numPr>
              <w:spacing w:after="240" w:line="240" w:lineRule="auto"/>
              <w:ind w:left="567" w:hanging="218"/>
              <w:rPr>
                <w:rFonts w:ascii="Times New Roman" w:hAnsi="Times New Roman" w:cs="Times New Roman"/>
                <w:sz w:val="24"/>
                <w:szCs w:val="24"/>
              </w:rPr>
            </w:pPr>
            <w:r w:rsidRPr="000B521F">
              <w:rPr>
                <w:rFonts w:ascii="Times New Roman" w:hAnsi="Times New Roman" w:cs="Times New Roman"/>
                <w:sz w:val="24"/>
                <w:szCs w:val="24"/>
              </w:rPr>
              <w:t xml:space="preserve">zástupce Rady vlády pro nestátní neziskové organizace, </w:t>
            </w:r>
          </w:p>
          <w:p w:rsidR="008206A4" w:rsidRPr="000B521F" w:rsidRDefault="005E6F2D" w:rsidP="0059011D">
            <w:pPr>
              <w:pStyle w:val="Odstavecseseznamem"/>
              <w:numPr>
                <w:ilvl w:val="0"/>
                <w:numId w:val="49"/>
              </w:numPr>
              <w:spacing w:after="240" w:line="240" w:lineRule="auto"/>
              <w:ind w:left="567" w:hanging="218"/>
              <w:rPr>
                <w:rFonts w:ascii="Times New Roman" w:hAnsi="Times New Roman" w:cs="Times New Roman"/>
                <w:sz w:val="24"/>
                <w:szCs w:val="24"/>
              </w:rPr>
            </w:pPr>
            <w:r w:rsidRPr="000B521F">
              <w:rPr>
                <w:rFonts w:ascii="Times New Roman" w:hAnsi="Times New Roman" w:cs="Times New Roman"/>
                <w:sz w:val="24"/>
                <w:szCs w:val="24"/>
              </w:rPr>
              <w:t xml:space="preserve">zástupce Rady vlády pro výzkum, vývoj a inovace, </w:t>
            </w:r>
          </w:p>
          <w:p w:rsidR="008206A4" w:rsidRPr="000B521F" w:rsidRDefault="005E6F2D" w:rsidP="0059011D">
            <w:pPr>
              <w:pStyle w:val="Odstavecseseznamem"/>
              <w:numPr>
                <w:ilvl w:val="0"/>
                <w:numId w:val="49"/>
              </w:numPr>
              <w:spacing w:after="240" w:line="240" w:lineRule="auto"/>
              <w:ind w:left="567" w:hanging="218"/>
              <w:rPr>
                <w:rFonts w:ascii="Times New Roman" w:hAnsi="Times New Roman" w:cs="Times New Roman"/>
                <w:sz w:val="24"/>
                <w:szCs w:val="24"/>
              </w:rPr>
            </w:pPr>
            <w:r w:rsidRPr="000B521F">
              <w:rPr>
                <w:rFonts w:ascii="Times New Roman" w:hAnsi="Times New Roman" w:cs="Times New Roman"/>
                <w:sz w:val="24"/>
                <w:szCs w:val="24"/>
              </w:rPr>
              <w:t xml:space="preserve">zástupce Rady vlády pro konkurenceschopnost a informační společnost, </w:t>
            </w:r>
          </w:p>
          <w:p w:rsidR="008206A4" w:rsidRPr="000B521F" w:rsidRDefault="005E6F2D" w:rsidP="0059011D">
            <w:pPr>
              <w:pStyle w:val="Odstavecseseznamem"/>
              <w:numPr>
                <w:ilvl w:val="0"/>
                <w:numId w:val="49"/>
              </w:numPr>
              <w:spacing w:after="240" w:line="240" w:lineRule="auto"/>
              <w:ind w:left="567" w:hanging="218"/>
              <w:rPr>
                <w:rFonts w:ascii="Times New Roman" w:hAnsi="Times New Roman" w:cs="Times New Roman"/>
                <w:sz w:val="24"/>
                <w:szCs w:val="24"/>
              </w:rPr>
            </w:pPr>
            <w:r w:rsidRPr="000B521F">
              <w:rPr>
                <w:rFonts w:ascii="Times New Roman" w:hAnsi="Times New Roman" w:cs="Times New Roman"/>
                <w:sz w:val="24"/>
                <w:szCs w:val="24"/>
              </w:rPr>
              <w:t>zástupce Legislativní rady vlády ČR,</w:t>
            </w:r>
          </w:p>
          <w:p w:rsidR="008206A4" w:rsidRPr="000B521F" w:rsidRDefault="005E6F2D" w:rsidP="0059011D">
            <w:pPr>
              <w:pStyle w:val="Odstavecseseznamem"/>
              <w:numPr>
                <w:ilvl w:val="0"/>
                <w:numId w:val="49"/>
              </w:numPr>
              <w:spacing w:after="240" w:line="240" w:lineRule="auto"/>
              <w:ind w:left="567" w:hanging="218"/>
              <w:rPr>
                <w:rFonts w:ascii="Times New Roman" w:hAnsi="Times New Roman" w:cs="Times New Roman"/>
                <w:sz w:val="24"/>
                <w:szCs w:val="24"/>
              </w:rPr>
            </w:pPr>
            <w:r w:rsidRPr="000B521F">
              <w:rPr>
                <w:rFonts w:ascii="Times New Roman" w:hAnsi="Times New Roman" w:cs="Times New Roman"/>
                <w:sz w:val="24"/>
                <w:szCs w:val="24"/>
              </w:rPr>
              <w:t>zástupce Agentury pro sociální začleňování v romských lokalitách,</w:t>
            </w:r>
          </w:p>
          <w:p w:rsidR="008206A4" w:rsidRPr="000B521F" w:rsidRDefault="005E6F2D" w:rsidP="0059011D">
            <w:pPr>
              <w:pStyle w:val="Odstavecseseznamem"/>
              <w:numPr>
                <w:ilvl w:val="0"/>
                <w:numId w:val="49"/>
              </w:numPr>
              <w:spacing w:after="240" w:line="240" w:lineRule="auto"/>
              <w:ind w:left="567" w:hanging="218"/>
              <w:rPr>
                <w:rFonts w:ascii="Times New Roman" w:hAnsi="Times New Roman" w:cs="Times New Roman"/>
                <w:sz w:val="24"/>
                <w:szCs w:val="24"/>
              </w:rPr>
            </w:pPr>
            <w:r w:rsidRPr="000B521F">
              <w:rPr>
                <w:rFonts w:ascii="Times New Roman" w:hAnsi="Times New Roman" w:cs="Times New Roman"/>
                <w:sz w:val="24"/>
                <w:szCs w:val="24"/>
              </w:rPr>
              <w:t xml:space="preserve">zástupce Českého statistického úřadu, </w:t>
            </w:r>
          </w:p>
          <w:p w:rsidR="008206A4" w:rsidRPr="000B521F" w:rsidRDefault="005E6F2D" w:rsidP="0059011D">
            <w:pPr>
              <w:pStyle w:val="Odstavecseseznamem"/>
              <w:numPr>
                <w:ilvl w:val="0"/>
                <w:numId w:val="49"/>
              </w:numPr>
              <w:spacing w:after="240" w:line="240" w:lineRule="auto"/>
              <w:ind w:left="567" w:hanging="218"/>
              <w:rPr>
                <w:rFonts w:ascii="Times New Roman" w:hAnsi="Times New Roman" w:cs="Times New Roman"/>
                <w:sz w:val="24"/>
                <w:szCs w:val="24"/>
              </w:rPr>
            </w:pPr>
            <w:r w:rsidRPr="000B521F">
              <w:rPr>
                <w:rFonts w:ascii="Times New Roman" w:hAnsi="Times New Roman" w:cs="Times New Roman"/>
                <w:sz w:val="24"/>
                <w:szCs w:val="24"/>
              </w:rPr>
              <w:t xml:space="preserve">zástupce Hospodářské komory ČR, </w:t>
            </w:r>
          </w:p>
          <w:p w:rsidR="008206A4" w:rsidRPr="000B521F" w:rsidRDefault="005E6F2D" w:rsidP="0059011D">
            <w:pPr>
              <w:pStyle w:val="Odstavecseseznamem"/>
              <w:numPr>
                <w:ilvl w:val="0"/>
                <w:numId w:val="49"/>
              </w:numPr>
              <w:spacing w:after="240" w:line="240" w:lineRule="auto"/>
              <w:ind w:left="567" w:hanging="218"/>
              <w:rPr>
                <w:rFonts w:ascii="Times New Roman" w:hAnsi="Times New Roman" w:cs="Times New Roman"/>
                <w:sz w:val="24"/>
                <w:szCs w:val="24"/>
              </w:rPr>
            </w:pPr>
            <w:r w:rsidRPr="000B521F">
              <w:rPr>
                <w:rFonts w:ascii="Times New Roman" w:hAnsi="Times New Roman" w:cs="Times New Roman"/>
                <w:sz w:val="24"/>
                <w:szCs w:val="24"/>
              </w:rPr>
              <w:t xml:space="preserve">zástupce Agrární komory ČR, </w:t>
            </w:r>
          </w:p>
          <w:p w:rsidR="008206A4" w:rsidRPr="000B521F" w:rsidRDefault="005E6F2D" w:rsidP="0059011D">
            <w:pPr>
              <w:pStyle w:val="Odstavecseseznamem"/>
              <w:numPr>
                <w:ilvl w:val="0"/>
                <w:numId w:val="49"/>
              </w:numPr>
              <w:spacing w:after="240" w:line="240" w:lineRule="auto"/>
              <w:ind w:left="567" w:hanging="218"/>
              <w:rPr>
                <w:rFonts w:ascii="Times New Roman" w:hAnsi="Times New Roman" w:cs="Times New Roman"/>
                <w:sz w:val="24"/>
                <w:szCs w:val="24"/>
              </w:rPr>
            </w:pPr>
            <w:r w:rsidRPr="000B521F">
              <w:rPr>
                <w:rFonts w:ascii="Times New Roman" w:hAnsi="Times New Roman" w:cs="Times New Roman"/>
                <w:sz w:val="24"/>
                <w:szCs w:val="24"/>
              </w:rPr>
              <w:t xml:space="preserve">zástupce Úřadu pro ochranu hospodářské soutěže, </w:t>
            </w:r>
          </w:p>
          <w:p w:rsidR="008206A4" w:rsidRPr="000B521F" w:rsidRDefault="005E6F2D" w:rsidP="0059011D">
            <w:pPr>
              <w:pStyle w:val="Odstavecseseznamem"/>
              <w:numPr>
                <w:ilvl w:val="0"/>
                <w:numId w:val="49"/>
              </w:numPr>
              <w:spacing w:after="240" w:line="240" w:lineRule="auto"/>
              <w:ind w:left="567" w:hanging="218"/>
              <w:rPr>
                <w:rFonts w:ascii="Times New Roman" w:hAnsi="Times New Roman" w:cs="Times New Roman"/>
                <w:sz w:val="24"/>
                <w:szCs w:val="24"/>
              </w:rPr>
            </w:pPr>
            <w:r w:rsidRPr="000B521F">
              <w:rPr>
                <w:rFonts w:ascii="Times New Roman" w:hAnsi="Times New Roman" w:cs="Times New Roman"/>
                <w:sz w:val="24"/>
                <w:szCs w:val="24"/>
              </w:rPr>
              <w:t xml:space="preserve">zástupce Svazu průmyslu a dopravy ČR, </w:t>
            </w:r>
          </w:p>
          <w:p w:rsidR="008206A4" w:rsidRPr="000B521F" w:rsidRDefault="005E6F2D" w:rsidP="0059011D">
            <w:pPr>
              <w:pStyle w:val="Odstavecseseznamem"/>
              <w:numPr>
                <w:ilvl w:val="0"/>
                <w:numId w:val="49"/>
              </w:numPr>
              <w:spacing w:after="240" w:line="240" w:lineRule="auto"/>
              <w:ind w:left="567" w:hanging="218"/>
              <w:rPr>
                <w:rFonts w:ascii="Times New Roman" w:hAnsi="Times New Roman" w:cs="Times New Roman"/>
                <w:sz w:val="24"/>
                <w:szCs w:val="24"/>
              </w:rPr>
            </w:pPr>
            <w:r w:rsidRPr="000B521F">
              <w:rPr>
                <w:rFonts w:ascii="Times New Roman" w:hAnsi="Times New Roman" w:cs="Times New Roman"/>
                <w:sz w:val="24"/>
                <w:szCs w:val="24"/>
              </w:rPr>
              <w:t xml:space="preserve">zástupce Svazu obchodu a cestovního ruchu, </w:t>
            </w:r>
          </w:p>
          <w:p w:rsidR="008206A4" w:rsidRPr="000B521F" w:rsidRDefault="005E6F2D" w:rsidP="0059011D">
            <w:pPr>
              <w:pStyle w:val="Odstavecseseznamem"/>
              <w:numPr>
                <w:ilvl w:val="0"/>
                <w:numId w:val="49"/>
              </w:numPr>
              <w:spacing w:after="240" w:line="240" w:lineRule="auto"/>
              <w:ind w:left="567" w:hanging="218"/>
              <w:rPr>
                <w:rFonts w:ascii="Times New Roman" w:hAnsi="Times New Roman" w:cs="Times New Roman"/>
                <w:sz w:val="24"/>
                <w:szCs w:val="24"/>
              </w:rPr>
            </w:pPr>
            <w:r w:rsidRPr="000B521F">
              <w:rPr>
                <w:rFonts w:ascii="Times New Roman" w:hAnsi="Times New Roman" w:cs="Times New Roman"/>
                <w:sz w:val="24"/>
                <w:szCs w:val="24"/>
              </w:rPr>
              <w:t>zástupce Technologické agentury ČR,</w:t>
            </w:r>
          </w:p>
          <w:p w:rsidR="008206A4" w:rsidRPr="000B521F" w:rsidRDefault="005E6F2D" w:rsidP="0059011D">
            <w:pPr>
              <w:pStyle w:val="Odstavecseseznamem"/>
              <w:numPr>
                <w:ilvl w:val="0"/>
                <w:numId w:val="49"/>
              </w:numPr>
              <w:spacing w:after="240" w:line="240" w:lineRule="auto"/>
              <w:ind w:left="567" w:hanging="218"/>
              <w:rPr>
                <w:rFonts w:ascii="Times New Roman" w:hAnsi="Times New Roman" w:cs="Times New Roman"/>
                <w:sz w:val="24"/>
                <w:szCs w:val="24"/>
              </w:rPr>
            </w:pPr>
            <w:r w:rsidRPr="000B521F">
              <w:rPr>
                <w:rFonts w:ascii="Times New Roman" w:hAnsi="Times New Roman" w:cs="Times New Roman"/>
                <w:sz w:val="24"/>
                <w:szCs w:val="24"/>
              </w:rPr>
              <w:t>generální sekretáři, generální zmocněnec pro inovativní finanční nástroje.</w:t>
            </w:r>
          </w:p>
          <w:p w:rsidR="005E6F2D" w:rsidRPr="000B521F" w:rsidRDefault="005E6F2D" w:rsidP="0059011D">
            <w:pPr>
              <w:spacing w:after="0" w:line="240" w:lineRule="auto"/>
              <w:rPr>
                <w:rFonts w:ascii="Times New Roman" w:hAnsi="Times New Roman" w:cs="Times New Roman"/>
                <w:b/>
                <w:sz w:val="24"/>
                <w:szCs w:val="24"/>
                <w:u w:val="single"/>
              </w:rPr>
            </w:pPr>
          </w:p>
        </w:tc>
      </w:tr>
    </w:tbl>
    <w:p w:rsidR="000B521F" w:rsidRPr="000B521F" w:rsidRDefault="000B521F" w:rsidP="0059011D">
      <w:pPr>
        <w:spacing w:after="120" w:line="240" w:lineRule="auto"/>
        <w:jc w:val="both"/>
        <w:rPr>
          <w:rFonts w:ascii="Times New Roman" w:hAnsi="Times New Roman" w:cs="Times New Roman"/>
          <w:b/>
          <w:sz w:val="24"/>
          <w:szCs w:val="24"/>
          <w:u w:val="single"/>
        </w:rPr>
      </w:pPr>
    </w:p>
    <w:p w:rsidR="005E6F2D" w:rsidRPr="000B521F" w:rsidRDefault="005E6F2D" w:rsidP="0059011D">
      <w:pPr>
        <w:spacing w:after="120" w:line="240" w:lineRule="auto"/>
        <w:jc w:val="both"/>
        <w:rPr>
          <w:rFonts w:ascii="Times New Roman" w:hAnsi="Times New Roman" w:cs="Times New Roman"/>
          <w:b/>
          <w:sz w:val="24"/>
          <w:szCs w:val="24"/>
          <w:u w:val="single"/>
        </w:rPr>
      </w:pPr>
      <w:r w:rsidRPr="000B521F">
        <w:rPr>
          <w:rFonts w:ascii="Times New Roman" w:hAnsi="Times New Roman" w:cs="Times New Roman"/>
          <w:b/>
          <w:sz w:val="24"/>
          <w:szCs w:val="24"/>
          <w:u w:val="single"/>
        </w:rPr>
        <w:t xml:space="preserve">Seznam členů a hostů Pracovní skupiny pro přípravu Dohody o partnerství 2014–2020 </w:t>
      </w:r>
    </w:p>
    <w:tbl>
      <w:tblPr>
        <w:tblW w:w="0" w:type="auto"/>
        <w:tblLook w:val="04A0" w:firstRow="1" w:lastRow="0" w:firstColumn="1" w:lastColumn="0" w:noHBand="0" w:noVBand="1"/>
      </w:tblPr>
      <w:tblGrid>
        <w:gridCol w:w="4606"/>
        <w:gridCol w:w="4606"/>
      </w:tblGrid>
      <w:tr w:rsidR="005E6F2D" w:rsidRPr="000B521F" w:rsidTr="00B626AE">
        <w:trPr>
          <w:trHeight w:val="340"/>
        </w:trPr>
        <w:tc>
          <w:tcPr>
            <w:tcW w:w="4606" w:type="dxa"/>
            <w:shd w:val="clear" w:color="auto" w:fill="auto"/>
            <w:hideMark/>
          </w:tcPr>
          <w:p w:rsidR="005E6F2D" w:rsidRPr="000B521F" w:rsidRDefault="005E6F2D" w:rsidP="0059011D">
            <w:pPr>
              <w:spacing w:after="120" w:line="240" w:lineRule="auto"/>
              <w:rPr>
                <w:rFonts w:ascii="Times New Roman" w:hAnsi="Times New Roman" w:cs="Times New Roman"/>
                <w:b/>
                <w:i/>
                <w:sz w:val="24"/>
                <w:szCs w:val="24"/>
              </w:rPr>
            </w:pPr>
            <w:r w:rsidRPr="000B521F">
              <w:rPr>
                <w:rFonts w:ascii="Times New Roman" w:hAnsi="Times New Roman" w:cs="Times New Roman"/>
                <w:b/>
                <w:i/>
                <w:sz w:val="24"/>
                <w:szCs w:val="24"/>
              </w:rPr>
              <w:t>Řádnými členy Pracovní skupiny jsou:</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Ministerstvo pro místní rozvoj – Národního orgánu pro koordinaci,</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Ministerstvo financí (Platební a certifikační orgán a Auditní orgán),</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Úřad vlády ČR,</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ŘO OP Podnikání a inovace pro konkurenceschopnost,</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ŘO OP Výzkum, vývoj a vzdělávání,</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ŘO OP Doprava,</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 xml:space="preserve">ŘO OP Životní prostředí, </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ŘO OP Zaměstnanost,</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 xml:space="preserve">ŘO Integrovaný regionální operační program, </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 xml:space="preserve">ŘO OP Praha - pól růstu ČR, </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 xml:space="preserve">ŘO OP Technická pomoc, </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 xml:space="preserve">ŘO k programům přeshraniční spolupráce, </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 xml:space="preserve">ŘO Programu rozvoje venkova, </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ŘO OP Rybářství,</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generální sekretáři, generální zmocněnec pro inovativní finanční nástroje,</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Asociace krajů ČR,</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Svaz měst a obcí ČR.</w:t>
            </w:r>
          </w:p>
        </w:tc>
        <w:tc>
          <w:tcPr>
            <w:tcW w:w="4606" w:type="dxa"/>
            <w:shd w:val="clear" w:color="auto" w:fill="auto"/>
            <w:hideMark/>
          </w:tcPr>
          <w:p w:rsidR="005E6F2D" w:rsidRPr="000B521F" w:rsidRDefault="005E6F2D" w:rsidP="0059011D">
            <w:pPr>
              <w:spacing w:after="120" w:line="240" w:lineRule="auto"/>
              <w:ind w:left="72"/>
              <w:rPr>
                <w:rFonts w:ascii="Times New Roman" w:hAnsi="Times New Roman" w:cs="Times New Roman"/>
                <w:b/>
                <w:i/>
                <w:sz w:val="24"/>
                <w:szCs w:val="24"/>
              </w:rPr>
            </w:pPr>
            <w:r w:rsidRPr="000B521F">
              <w:rPr>
                <w:rFonts w:ascii="Times New Roman" w:hAnsi="Times New Roman" w:cs="Times New Roman"/>
                <w:b/>
                <w:i/>
                <w:sz w:val="24"/>
                <w:szCs w:val="24"/>
              </w:rPr>
              <w:t>Hosty Pracovní skupiny jsou:</w:t>
            </w:r>
          </w:p>
          <w:p w:rsidR="008206A4" w:rsidRPr="000B521F" w:rsidRDefault="005E6F2D" w:rsidP="0059011D">
            <w:pPr>
              <w:pStyle w:val="Odstavecseseznamem"/>
              <w:numPr>
                <w:ilvl w:val="0"/>
                <w:numId w:val="49"/>
              </w:numPr>
              <w:spacing w:after="240" w:line="240" w:lineRule="auto"/>
              <w:ind w:left="426" w:hanging="218"/>
              <w:rPr>
                <w:rFonts w:ascii="Times New Roman" w:hAnsi="Times New Roman" w:cs="Times New Roman"/>
                <w:sz w:val="24"/>
                <w:szCs w:val="24"/>
              </w:rPr>
            </w:pPr>
            <w:r w:rsidRPr="000B521F">
              <w:rPr>
                <w:rFonts w:ascii="Times New Roman" w:hAnsi="Times New Roman" w:cs="Times New Roman"/>
                <w:sz w:val="24"/>
                <w:szCs w:val="24"/>
              </w:rPr>
              <w:t xml:space="preserve">ministr zahraničních věcí, </w:t>
            </w:r>
          </w:p>
          <w:p w:rsidR="008206A4" w:rsidRPr="000B521F" w:rsidRDefault="005E6F2D" w:rsidP="0059011D">
            <w:pPr>
              <w:pStyle w:val="Odstavecseseznamem"/>
              <w:numPr>
                <w:ilvl w:val="0"/>
                <w:numId w:val="49"/>
              </w:numPr>
              <w:spacing w:after="240" w:line="240" w:lineRule="auto"/>
              <w:ind w:left="426" w:hanging="218"/>
              <w:rPr>
                <w:rFonts w:ascii="Times New Roman" w:hAnsi="Times New Roman" w:cs="Times New Roman"/>
                <w:sz w:val="24"/>
                <w:szCs w:val="24"/>
              </w:rPr>
            </w:pPr>
            <w:r w:rsidRPr="000B521F">
              <w:rPr>
                <w:rFonts w:ascii="Times New Roman" w:hAnsi="Times New Roman" w:cs="Times New Roman"/>
                <w:sz w:val="24"/>
                <w:szCs w:val="24"/>
              </w:rPr>
              <w:t xml:space="preserve">ministr vnitra, </w:t>
            </w:r>
          </w:p>
          <w:p w:rsidR="008206A4" w:rsidRPr="000B521F" w:rsidRDefault="005E6F2D" w:rsidP="0059011D">
            <w:pPr>
              <w:pStyle w:val="Odstavecseseznamem"/>
              <w:numPr>
                <w:ilvl w:val="0"/>
                <w:numId w:val="49"/>
              </w:numPr>
              <w:spacing w:after="240" w:line="240" w:lineRule="auto"/>
              <w:ind w:left="426" w:hanging="218"/>
              <w:rPr>
                <w:rFonts w:ascii="Times New Roman" w:hAnsi="Times New Roman" w:cs="Times New Roman"/>
                <w:sz w:val="24"/>
                <w:szCs w:val="24"/>
              </w:rPr>
            </w:pPr>
            <w:r w:rsidRPr="000B521F">
              <w:rPr>
                <w:rFonts w:ascii="Times New Roman" w:hAnsi="Times New Roman" w:cs="Times New Roman"/>
                <w:sz w:val="24"/>
                <w:szCs w:val="24"/>
              </w:rPr>
              <w:t xml:space="preserve">ministryně kultury, </w:t>
            </w:r>
          </w:p>
          <w:p w:rsidR="008206A4" w:rsidRPr="000B521F" w:rsidRDefault="005E6F2D" w:rsidP="0059011D">
            <w:pPr>
              <w:pStyle w:val="Odstavecseseznamem"/>
              <w:numPr>
                <w:ilvl w:val="0"/>
                <w:numId w:val="49"/>
              </w:numPr>
              <w:spacing w:after="240" w:line="240" w:lineRule="auto"/>
              <w:ind w:left="426" w:hanging="218"/>
              <w:rPr>
                <w:rFonts w:ascii="Times New Roman" w:hAnsi="Times New Roman" w:cs="Times New Roman"/>
                <w:sz w:val="24"/>
                <w:szCs w:val="24"/>
              </w:rPr>
            </w:pPr>
            <w:r w:rsidRPr="000B521F">
              <w:rPr>
                <w:rFonts w:ascii="Times New Roman" w:hAnsi="Times New Roman" w:cs="Times New Roman"/>
                <w:sz w:val="24"/>
                <w:szCs w:val="24"/>
              </w:rPr>
              <w:t xml:space="preserve">ministr zdravotnictví, </w:t>
            </w:r>
          </w:p>
          <w:p w:rsidR="008206A4" w:rsidRPr="000B521F" w:rsidRDefault="005E6F2D" w:rsidP="0059011D">
            <w:pPr>
              <w:pStyle w:val="Odstavecseseznamem"/>
              <w:numPr>
                <w:ilvl w:val="0"/>
                <w:numId w:val="49"/>
              </w:numPr>
              <w:spacing w:after="240" w:line="240" w:lineRule="auto"/>
              <w:ind w:left="426" w:hanging="218"/>
              <w:rPr>
                <w:rFonts w:ascii="Times New Roman" w:hAnsi="Times New Roman" w:cs="Times New Roman"/>
                <w:sz w:val="24"/>
                <w:szCs w:val="24"/>
              </w:rPr>
            </w:pPr>
            <w:r w:rsidRPr="000B521F">
              <w:rPr>
                <w:rFonts w:ascii="Times New Roman" w:hAnsi="Times New Roman" w:cs="Times New Roman"/>
                <w:sz w:val="24"/>
                <w:szCs w:val="24"/>
              </w:rPr>
              <w:t xml:space="preserve">ministr spravedlnosti, </w:t>
            </w:r>
          </w:p>
          <w:p w:rsidR="008206A4" w:rsidRPr="000B521F" w:rsidRDefault="005E6F2D" w:rsidP="0059011D">
            <w:pPr>
              <w:pStyle w:val="Odstavecseseznamem"/>
              <w:numPr>
                <w:ilvl w:val="0"/>
                <w:numId w:val="49"/>
              </w:numPr>
              <w:spacing w:after="240" w:line="240" w:lineRule="auto"/>
              <w:ind w:left="426" w:hanging="218"/>
              <w:rPr>
                <w:rFonts w:ascii="Times New Roman" w:hAnsi="Times New Roman" w:cs="Times New Roman"/>
                <w:sz w:val="24"/>
                <w:szCs w:val="24"/>
              </w:rPr>
            </w:pPr>
            <w:r w:rsidRPr="000B521F">
              <w:rPr>
                <w:rFonts w:ascii="Times New Roman" w:hAnsi="Times New Roman" w:cs="Times New Roman"/>
                <w:sz w:val="24"/>
                <w:szCs w:val="24"/>
              </w:rPr>
              <w:t>ministr obrany,</w:t>
            </w:r>
          </w:p>
          <w:p w:rsidR="008206A4" w:rsidRPr="000B521F" w:rsidRDefault="005E6F2D" w:rsidP="0059011D">
            <w:pPr>
              <w:pStyle w:val="Odstavecseseznamem"/>
              <w:numPr>
                <w:ilvl w:val="0"/>
                <w:numId w:val="49"/>
              </w:numPr>
              <w:spacing w:after="240" w:line="240" w:lineRule="auto"/>
              <w:ind w:left="426" w:hanging="218"/>
              <w:rPr>
                <w:rFonts w:ascii="Times New Roman" w:hAnsi="Times New Roman" w:cs="Times New Roman"/>
                <w:sz w:val="24"/>
                <w:szCs w:val="24"/>
              </w:rPr>
            </w:pPr>
            <w:r w:rsidRPr="000B521F">
              <w:rPr>
                <w:rFonts w:ascii="Times New Roman" w:hAnsi="Times New Roman" w:cs="Times New Roman"/>
                <w:sz w:val="24"/>
                <w:szCs w:val="24"/>
              </w:rPr>
              <w:t xml:space="preserve">Úřad vlády ČR, </w:t>
            </w:r>
          </w:p>
          <w:p w:rsidR="008206A4" w:rsidRPr="000B521F" w:rsidRDefault="005E6F2D" w:rsidP="0059011D">
            <w:pPr>
              <w:pStyle w:val="Odstavecseseznamem"/>
              <w:numPr>
                <w:ilvl w:val="0"/>
                <w:numId w:val="49"/>
              </w:numPr>
              <w:spacing w:after="240" w:line="240" w:lineRule="auto"/>
              <w:ind w:left="426" w:hanging="218"/>
              <w:rPr>
                <w:rFonts w:ascii="Times New Roman" w:hAnsi="Times New Roman" w:cs="Times New Roman"/>
                <w:sz w:val="24"/>
                <w:szCs w:val="24"/>
              </w:rPr>
            </w:pPr>
            <w:r w:rsidRPr="000B521F">
              <w:rPr>
                <w:rFonts w:ascii="Times New Roman" w:hAnsi="Times New Roman" w:cs="Times New Roman"/>
                <w:sz w:val="24"/>
                <w:szCs w:val="24"/>
              </w:rPr>
              <w:t xml:space="preserve">Sdružení místních samospráv ČR, </w:t>
            </w:r>
          </w:p>
          <w:p w:rsidR="008206A4" w:rsidRPr="000B521F" w:rsidRDefault="005E6F2D" w:rsidP="0059011D">
            <w:pPr>
              <w:pStyle w:val="Odstavecseseznamem"/>
              <w:numPr>
                <w:ilvl w:val="0"/>
                <w:numId w:val="49"/>
              </w:numPr>
              <w:spacing w:after="240" w:line="240" w:lineRule="auto"/>
              <w:ind w:left="426" w:hanging="218"/>
              <w:rPr>
                <w:rFonts w:ascii="Times New Roman" w:hAnsi="Times New Roman" w:cs="Times New Roman"/>
                <w:sz w:val="24"/>
                <w:szCs w:val="24"/>
              </w:rPr>
            </w:pPr>
            <w:r w:rsidRPr="000B521F">
              <w:rPr>
                <w:rFonts w:ascii="Times New Roman" w:hAnsi="Times New Roman" w:cs="Times New Roman"/>
                <w:sz w:val="24"/>
                <w:szCs w:val="24"/>
              </w:rPr>
              <w:t xml:space="preserve">Národní síť Místních akčních skupin ČR, </w:t>
            </w:r>
          </w:p>
          <w:p w:rsidR="008206A4" w:rsidRPr="000B521F" w:rsidRDefault="005E6F2D" w:rsidP="0059011D">
            <w:pPr>
              <w:pStyle w:val="Odstavecseseznamem"/>
              <w:numPr>
                <w:ilvl w:val="0"/>
                <w:numId w:val="49"/>
              </w:numPr>
              <w:spacing w:after="240" w:line="240" w:lineRule="auto"/>
              <w:ind w:left="426" w:hanging="218"/>
              <w:rPr>
                <w:rFonts w:ascii="Times New Roman" w:hAnsi="Times New Roman" w:cs="Times New Roman"/>
                <w:sz w:val="24"/>
                <w:szCs w:val="24"/>
              </w:rPr>
            </w:pPr>
            <w:r w:rsidRPr="000B521F">
              <w:rPr>
                <w:rFonts w:ascii="Times New Roman" w:hAnsi="Times New Roman" w:cs="Times New Roman"/>
                <w:sz w:val="24"/>
                <w:szCs w:val="24"/>
              </w:rPr>
              <w:t xml:space="preserve">Český statistický úřadu, </w:t>
            </w:r>
          </w:p>
          <w:p w:rsidR="008206A4" w:rsidRPr="000B521F" w:rsidRDefault="005E6F2D" w:rsidP="0059011D">
            <w:pPr>
              <w:pStyle w:val="Odstavecseseznamem"/>
              <w:numPr>
                <w:ilvl w:val="0"/>
                <w:numId w:val="49"/>
              </w:numPr>
              <w:spacing w:after="240" w:line="240" w:lineRule="auto"/>
              <w:ind w:left="426" w:hanging="218"/>
              <w:rPr>
                <w:rFonts w:ascii="Times New Roman" w:hAnsi="Times New Roman" w:cs="Times New Roman"/>
                <w:sz w:val="24"/>
                <w:szCs w:val="24"/>
              </w:rPr>
            </w:pPr>
            <w:r w:rsidRPr="000B521F">
              <w:rPr>
                <w:rFonts w:ascii="Times New Roman" w:hAnsi="Times New Roman" w:cs="Times New Roman"/>
                <w:sz w:val="24"/>
                <w:szCs w:val="24"/>
              </w:rPr>
              <w:t xml:space="preserve">Rada vlády pro nestátní neziskové organizace, </w:t>
            </w:r>
          </w:p>
          <w:p w:rsidR="008206A4" w:rsidRPr="000B521F" w:rsidRDefault="005E6F2D" w:rsidP="0059011D">
            <w:pPr>
              <w:pStyle w:val="Odstavecseseznamem"/>
              <w:numPr>
                <w:ilvl w:val="0"/>
                <w:numId w:val="49"/>
              </w:numPr>
              <w:spacing w:after="240" w:line="240" w:lineRule="auto"/>
              <w:ind w:left="426" w:hanging="218"/>
              <w:rPr>
                <w:rFonts w:ascii="Times New Roman" w:hAnsi="Times New Roman" w:cs="Times New Roman"/>
                <w:sz w:val="24"/>
                <w:szCs w:val="24"/>
              </w:rPr>
            </w:pPr>
            <w:r w:rsidRPr="000B521F">
              <w:rPr>
                <w:rFonts w:ascii="Times New Roman" w:hAnsi="Times New Roman" w:cs="Times New Roman"/>
                <w:sz w:val="24"/>
                <w:szCs w:val="24"/>
              </w:rPr>
              <w:t>síť nestátních neziskových organizací.</w:t>
            </w:r>
          </w:p>
          <w:p w:rsidR="008206A4" w:rsidRPr="000B521F" w:rsidRDefault="005E6F2D" w:rsidP="0059011D">
            <w:pPr>
              <w:pStyle w:val="Odstavecseseznamem"/>
              <w:numPr>
                <w:ilvl w:val="0"/>
                <w:numId w:val="49"/>
              </w:numPr>
              <w:spacing w:after="240" w:line="240" w:lineRule="auto"/>
              <w:ind w:left="426" w:hanging="218"/>
              <w:rPr>
                <w:rFonts w:ascii="Times New Roman" w:hAnsi="Times New Roman" w:cs="Times New Roman"/>
                <w:sz w:val="24"/>
                <w:szCs w:val="24"/>
              </w:rPr>
            </w:pPr>
            <w:r w:rsidRPr="000B521F">
              <w:rPr>
                <w:rFonts w:ascii="Times New Roman" w:hAnsi="Times New Roman" w:cs="Times New Roman"/>
                <w:sz w:val="24"/>
                <w:szCs w:val="24"/>
              </w:rPr>
              <w:t>Agentura pro sociální začleňování v romských lokalitách,</w:t>
            </w:r>
          </w:p>
          <w:p w:rsidR="008206A4" w:rsidRPr="000B521F" w:rsidRDefault="005E6F2D" w:rsidP="0059011D">
            <w:pPr>
              <w:pStyle w:val="Odstavecseseznamem"/>
              <w:numPr>
                <w:ilvl w:val="0"/>
                <w:numId w:val="49"/>
              </w:numPr>
              <w:spacing w:after="240" w:line="240" w:lineRule="auto"/>
              <w:ind w:left="426" w:hanging="218"/>
              <w:rPr>
                <w:rFonts w:ascii="Times New Roman" w:hAnsi="Times New Roman" w:cs="Times New Roman"/>
                <w:sz w:val="24"/>
                <w:szCs w:val="24"/>
              </w:rPr>
            </w:pPr>
            <w:r w:rsidRPr="000B521F">
              <w:rPr>
                <w:rFonts w:ascii="Times New Roman" w:hAnsi="Times New Roman" w:cs="Times New Roman"/>
                <w:sz w:val="24"/>
                <w:szCs w:val="24"/>
              </w:rPr>
              <w:t xml:space="preserve">Hospodářská komora ČR, </w:t>
            </w:r>
          </w:p>
          <w:p w:rsidR="008206A4" w:rsidRPr="000B521F" w:rsidRDefault="005E6F2D" w:rsidP="0059011D">
            <w:pPr>
              <w:pStyle w:val="Odstavecseseznamem"/>
              <w:numPr>
                <w:ilvl w:val="0"/>
                <w:numId w:val="49"/>
              </w:numPr>
              <w:spacing w:after="240" w:line="240" w:lineRule="auto"/>
              <w:ind w:left="426" w:hanging="218"/>
              <w:rPr>
                <w:rFonts w:ascii="Times New Roman" w:hAnsi="Times New Roman" w:cs="Times New Roman"/>
                <w:sz w:val="24"/>
                <w:szCs w:val="24"/>
              </w:rPr>
            </w:pPr>
            <w:r w:rsidRPr="000B521F">
              <w:rPr>
                <w:rFonts w:ascii="Times New Roman" w:hAnsi="Times New Roman" w:cs="Times New Roman"/>
                <w:sz w:val="24"/>
                <w:szCs w:val="24"/>
              </w:rPr>
              <w:t xml:space="preserve">Rada vlády pro výzkum, vývoj a inovace, </w:t>
            </w:r>
          </w:p>
          <w:p w:rsidR="008206A4" w:rsidRPr="000B521F" w:rsidRDefault="005E6F2D" w:rsidP="0059011D">
            <w:pPr>
              <w:pStyle w:val="Odstavecseseznamem"/>
              <w:numPr>
                <w:ilvl w:val="0"/>
                <w:numId w:val="49"/>
              </w:numPr>
              <w:spacing w:after="240" w:line="240" w:lineRule="auto"/>
              <w:ind w:left="426" w:hanging="218"/>
              <w:rPr>
                <w:rFonts w:ascii="Times New Roman" w:hAnsi="Times New Roman" w:cs="Times New Roman"/>
                <w:sz w:val="24"/>
                <w:szCs w:val="24"/>
              </w:rPr>
            </w:pPr>
            <w:r w:rsidRPr="000B521F">
              <w:rPr>
                <w:rFonts w:ascii="Times New Roman" w:hAnsi="Times New Roman" w:cs="Times New Roman"/>
                <w:sz w:val="24"/>
                <w:szCs w:val="24"/>
              </w:rPr>
              <w:t xml:space="preserve">Rada vlády pro konkurenceschopnost a informační společnost, </w:t>
            </w:r>
          </w:p>
          <w:p w:rsidR="008206A4" w:rsidRPr="000B521F" w:rsidRDefault="005E6F2D" w:rsidP="0059011D">
            <w:pPr>
              <w:pStyle w:val="Odstavecseseznamem"/>
              <w:numPr>
                <w:ilvl w:val="0"/>
                <w:numId w:val="49"/>
              </w:numPr>
              <w:spacing w:after="240" w:line="240" w:lineRule="auto"/>
              <w:ind w:left="426" w:hanging="218"/>
              <w:rPr>
                <w:rFonts w:ascii="Times New Roman" w:hAnsi="Times New Roman" w:cs="Times New Roman"/>
                <w:sz w:val="24"/>
                <w:szCs w:val="24"/>
              </w:rPr>
            </w:pPr>
            <w:r w:rsidRPr="000B521F">
              <w:rPr>
                <w:rFonts w:ascii="Times New Roman" w:hAnsi="Times New Roman" w:cs="Times New Roman"/>
                <w:sz w:val="24"/>
                <w:szCs w:val="24"/>
              </w:rPr>
              <w:t>Legislativní rada vlády ČR,</w:t>
            </w:r>
          </w:p>
          <w:p w:rsidR="008206A4" w:rsidRPr="000B521F" w:rsidRDefault="005E6F2D" w:rsidP="0059011D">
            <w:pPr>
              <w:pStyle w:val="Odstavecseseznamem"/>
              <w:numPr>
                <w:ilvl w:val="0"/>
                <w:numId w:val="49"/>
              </w:numPr>
              <w:spacing w:after="240" w:line="240" w:lineRule="auto"/>
              <w:ind w:left="426" w:hanging="218"/>
              <w:rPr>
                <w:rFonts w:ascii="Times New Roman" w:hAnsi="Times New Roman" w:cs="Times New Roman"/>
                <w:sz w:val="24"/>
                <w:szCs w:val="24"/>
              </w:rPr>
            </w:pPr>
            <w:r w:rsidRPr="000B521F">
              <w:rPr>
                <w:rFonts w:ascii="Times New Roman" w:hAnsi="Times New Roman" w:cs="Times New Roman"/>
                <w:sz w:val="24"/>
                <w:szCs w:val="24"/>
              </w:rPr>
              <w:t xml:space="preserve">Úřad pro ochranu hospodářské soutěže, </w:t>
            </w:r>
          </w:p>
          <w:p w:rsidR="008206A4" w:rsidRPr="000B521F" w:rsidRDefault="005E6F2D" w:rsidP="0059011D">
            <w:pPr>
              <w:pStyle w:val="Odstavecseseznamem"/>
              <w:numPr>
                <w:ilvl w:val="0"/>
                <w:numId w:val="49"/>
              </w:numPr>
              <w:spacing w:after="240" w:line="240" w:lineRule="auto"/>
              <w:ind w:left="426" w:hanging="218"/>
              <w:rPr>
                <w:rFonts w:ascii="Times New Roman" w:hAnsi="Times New Roman" w:cs="Times New Roman"/>
                <w:sz w:val="24"/>
                <w:szCs w:val="24"/>
              </w:rPr>
            </w:pPr>
            <w:r w:rsidRPr="000B521F">
              <w:rPr>
                <w:rFonts w:ascii="Times New Roman" w:hAnsi="Times New Roman" w:cs="Times New Roman"/>
                <w:sz w:val="24"/>
                <w:szCs w:val="24"/>
              </w:rPr>
              <w:t>Technologická agentura ČR,</w:t>
            </w:r>
          </w:p>
          <w:p w:rsidR="008206A4" w:rsidRPr="000B521F" w:rsidRDefault="005E6F2D" w:rsidP="0059011D">
            <w:pPr>
              <w:pStyle w:val="Odstavecseseznamem"/>
              <w:numPr>
                <w:ilvl w:val="0"/>
                <w:numId w:val="49"/>
              </w:numPr>
              <w:spacing w:after="240" w:line="240" w:lineRule="auto"/>
              <w:ind w:left="426" w:hanging="218"/>
              <w:rPr>
                <w:rFonts w:ascii="Times New Roman" w:hAnsi="Times New Roman" w:cs="Times New Roman"/>
                <w:sz w:val="24"/>
                <w:szCs w:val="24"/>
              </w:rPr>
            </w:pPr>
            <w:r w:rsidRPr="000B521F">
              <w:rPr>
                <w:rFonts w:ascii="Times New Roman" w:hAnsi="Times New Roman" w:cs="Times New Roman"/>
                <w:sz w:val="24"/>
                <w:szCs w:val="24"/>
              </w:rPr>
              <w:t>Konfederace zaměstnavatelských a podnikatelských svazů ČR,</w:t>
            </w:r>
          </w:p>
          <w:p w:rsidR="008206A4" w:rsidRPr="000B521F" w:rsidRDefault="005E6F2D" w:rsidP="0059011D">
            <w:pPr>
              <w:pStyle w:val="Odstavecseseznamem"/>
              <w:numPr>
                <w:ilvl w:val="0"/>
                <w:numId w:val="49"/>
              </w:numPr>
              <w:spacing w:after="240" w:line="240" w:lineRule="auto"/>
              <w:ind w:left="426" w:hanging="218"/>
              <w:rPr>
                <w:rFonts w:ascii="Times New Roman" w:hAnsi="Times New Roman" w:cs="Times New Roman"/>
                <w:sz w:val="24"/>
                <w:szCs w:val="24"/>
              </w:rPr>
            </w:pPr>
            <w:r w:rsidRPr="000B521F">
              <w:rPr>
                <w:rFonts w:ascii="Times New Roman" w:hAnsi="Times New Roman" w:cs="Times New Roman"/>
                <w:sz w:val="24"/>
                <w:szCs w:val="24"/>
              </w:rPr>
              <w:t>Českomoravská konfederace odborových svazů,</w:t>
            </w:r>
          </w:p>
          <w:p w:rsidR="008206A4" w:rsidRPr="000B521F" w:rsidRDefault="005E6F2D" w:rsidP="0059011D">
            <w:pPr>
              <w:pStyle w:val="Odstavecseseznamem"/>
              <w:numPr>
                <w:ilvl w:val="0"/>
                <w:numId w:val="49"/>
              </w:numPr>
              <w:spacing w:after="240" w:line="240" w:lineRule="auto"/>
              <w:ind w:left="426" w:hanging="218"/>
              <w:rPr>
                <w:rFonts w:ascii="Times New Roman" w:hAnsi="Times New Roman" w:cs="Times New Roman"/>
                <w:sz w:val="24"/>
                <w:szCs w:val="24"/>
              </w:rPr>
            </w:pPr>
            <w:r w:rsidRPr="000B521F">
              <w:rPr>
                <w:rFonts w:ascii="Times New Roman" w:hAnsi="Times New Roman" w:cs="Times New Roman"/>
                <w:sz w:val="24"/>
                <w:szCs w:val="24"/>
              </w:rPr>
              <w:t>Svaz obchodu a cestovního ruchu ČR.</w:t>
            </w:r>
          </w:p>
        </w:tc>
      </w:tr>
    </w:tbl>
    <w:p w:rsidR="000B521F" w:rsidRPr="000B521F" w:rsidRDefault="000B521F" w:rsidP="0059011D">
      <w:pPr>
        <w:spacing w:after="120" w:line="240" w:lineRule="auto"/>
        <w:jc w:val="both"/>
        <w:rPr>
          <w:rFonts w:ascii="Times New Roman" w:hAnsi="Times New Roman" w:cs="Times New Roman"/>
          <w:b/>
          <w:sz w:val="24"/>
          <w:szCs w:val="24"/>
          <w:u w:val="single"/>
        </w:rPr>
      </w:pPr>
    </w:p>
    <w:p w:rsidR="005E6F2D" w:rsidRPr="000B521F" w:rsidRDefault="005E6F2D" w:rsidP="0059011D">
      <w:pPr>
        <w:spacing w:after="120" w:line="240" w:lineRule="auto"/>
        <w:jc w:val="both"/>
        <w:rPr>
          <w:rFonts w:ascii="Times New Roman" w:hAnsi="Times New Roman" w:cs="Times New Roman"/>
          <w:b/>
          <w:sz w:val="24"/>
          <w:szCs w:val="24"/>
          <w:u w:val="single"/>
        </w:rPr>
      </w:pPr>
      <w:r w:rsidRPr="000B521F">
        <w:rPr>
          <w:rFonts w:ascii="Times New Roman" w:hAnsi="Times New Roman" w:cs="Times New Roman"/>
          <w:b/>
          <w:sz w:val="24"/>
          <w:szCs w:val="24"/>
          <w:u w:val="single"/>
        </w:rPr>
        <w:t>Členství v Oponentní skupině pro vytvoření jednotného metodického prostředí</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zástupci Ministerstva pro místní rozvoj – Národního orgánu pro koordinaci</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zástupce Konfederace zaměstnavatelských a podnikatelských svazů ČR</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zástupce Svazu měst a obcí</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zástupce Českého statistického úřadu</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zástupce Rady vlády pro nestátní neziskové organizace</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zástupce sítí nestátních neziskových organizací</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zástupce Hospodářské komory ČR</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zástupce Svazu průmyslu a dopravy ČR</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zástupce Českomoravské konfederace odborových svazů</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zástupce Komory auditorů ČR</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zástupce Senátu ČR</w:t>
      </w:r>
    </w:p>
    <w:p w:rsidR="008206A4" w:rsidRPr="000B521F"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zástupce České konference rektorů</w:t>
      </w:r>
    </w:p>
    <w:p w:rsidR="008206A4" w:rsidRDefault="005E6F2D" w:rsidP="0059011D">
      <w:pPr>
        <w:pStyle w:val="Odstavecseseznamem"/>
        <w:numPr>
          <w:ilvl w:val="0"/>
          <w:numId w:val="49"/>
        </w:numPr>
        <w:spacing w:after="240" w:line="240" w:lineRule="auto"/>
        <w:ind w:left="426" w:hanging="219"/>
        <w:rPr>
          <w:rFonts w:ascii="Times New Roman" w:hAnsi="Times New Roman" w:cs="Times New Roman"/>
          <w:sz w:val="24"/>
          <w:szCs w:val="24"/>
        </w:rPr>
      </w:pPr>
      <w:r w:rsidRPr="000B521F">
        <w:rPr>
          <w:rFonts w:ascii="Times New Roman" w:hAnsi="Times New Roman" w:cs="Times New Roman"/>
          <w:sz w:val="24"/>
          <w:szCs w:val="24"/>
        </w:rPr>
        <w:t>na přizvání další partneři</w:t>
      </w:r>
    </w:p>
    <w:p w:rsidR="00A7769B" w:rsidRPr="00A7769B" w:rsidRDefault="00A7769B" w:rsidP="0059011D">
      <w:pPr>
        <w:spacing w:after="240" w:line="240" w:lineRule="auto"/>
        <w:rPr>
          <w:rFonts w:ascii="Times New Roman" w:hAnsi="Times New Roman" w:cs="Times New Roman"/>
          <w:sz w:val="24"/>
          <w:szCs w:val="24"/>
        </w:rPr>
      </w:pPr>
    </w:p>
    <w:p w:rsidR="00FB6422" w:rsidRPr="000B521F" w:rsidRDefault="00652AE2" w:rsidP="0059011D">
      <w:pPr>
        <w:pStyle w:val="Nadpis2"/>
      </w:pPr>
      <w:bookmarkStart w:id="125" w:name="_Toc374702915"/>
      <w:r w:rsidRPr="000B521F">
        <w:t>Hodnocení naplňování předběžných podmínek</w:t>
      </w:r>
      <w:bookmarkEnd w:id="125"/>
    </w:p>
    <w:p w:rsidR="00FB6422" w:rsidRPr="000B521F" w:rsidRDefault="00652AE2" w:rsidP="0059011D">
      <w:pPr>
        <w:spacing w:after="120" w:line="240" w:lineRule="auto"/>
        <w:rPr>
          <w:rFonts w:ascii="Times New Roman" w:hAnsi="Times New Roman" w:cs="Times New Roman"/>
          <w:sz w:val="24"/>
          <w:szCs w:val="24"/>
        </w:rPr>
        <w:sectPr w:rsidR="00FB6422" w:rsidRPr="000B521F" w:rsidSect="009C643D">
          <w:pgSz w:w="11906" w:h="16838"/>
          <w:pgMar w:top="1418" w:right="1418" w:bottom="1418" w:left="1418" w:header="708" w:footer="708" w:gutter="0"/>
          <w:cols w:space="708"/>
          <w:docGrid w:linePitch="360"/>
        </w:sectPr>
      </w:pPr>
      <w:r w:rsidRPr="000B521F">
        <w:rPr>
          <w:rFonts w:ascii="Times New Roman" w:hAnsi="Times New Roman" w:cs="Times New Roman"/>
          <w:sz w:val="24"/>
          <w:szCs w:val="24"/>
        </w:rPr>
        <w:t>Samostatná příloha</w:t>
      </w:r>
    </w:p>
    <w:p w:rsidR="00507842" w:rsidRPr="000B521F" w:rsidRDefault="00507842" w:rsidP="0059011D">
      <w:pPr>
        <w:pStyle w:val="Nadpis1"/>
        <w:numPr>
          <w:ilvl w:val="0"/>
          <w:numId w:val="0"/>
        </w:numPr>
        <w:spacing w:before="0" w:after="240"/>
        <w:ind w:left="432" w:hanging="432"/>
        <w:rPr>
          <w:rFonts w:ascii="Times New Roman" w:hAnsi="Times New Roman" w:cs="Times New Roman"/>
          <w:b w:val="0"/>
          <w:bCs w:val="0"/>
        </w:rPr>
      </w:pPr>
      <w:bookmarkStart w:id="126" w:name="_Toc374702916"/>
      <w:r w:rsidRPr="000B521F">
        <w:rPr>
          <w:rFonts w:ascii="Times New Roman" w:hAnsi="Times New Roman" w:cs="Times New Roman"/>
          <w:b w:val="0"/>
          <w:bCs w:val="0"/>
          <w:i/>
          <w:iCs/>
        </w:rPr>
        <w:t>Seznam použitých zkratek</w:t>
      </w:r>
      <w:bookmarkEnd w:id="126"/>
    </w:p>
    <w:p w:rsidR="00507842" w:rsidRPr="000B521F" w:rsidRDefault="00507842" w:rsidP="0059011D">
      <w:pPr>
        <w:spacing w:after="120" w:line="240" w:lineRule="auto"/>
        <w:rPr>
          <w:rFonts w:ascii="Times New Roman" w:hAnsi="Times New Roman" w:cs="Times New Roman"/>
          <w:color w:val="000000"/>
          <w:sz w:val="24"/>
          <w:szCs w:val="24"/>
        </w:rPr>
      </w:pPr>
    </w:p>
    <w:p w:rsidR="0018040B" w:rsidRPr="000B521F" w:rsidRDefault="0018040B" w:rsidP="0059011D">
      <w:pPr>
        <w:autoSpaceDE w:val="0"/>
        <w:autoSpaceDN w:val="0"/>
        <w:adjustRightInd w:val="0"/>
        <w:spacing w:after="120" w:line="240" w:lineRule="auto"/>
        <w:ind w:left="4254" w:hanging="4254"/>
        <w:rPr>
          <w:rStyle w:val="Zvraznn"/>
          <w:rFonts w:ascii="Times New Roman" w:hAnsi="Times New Roman" w:cs="Times New Roman"/>
          <w:b w:val="0"/>
          <w:sz w:val="24"/>
          <w:szCs w:val="24"/>
        </w:rPr>
      </w:pPr>
      <w:r w:rsidRPr="000B521F">
        <w:rPr>
          <w:rFonts w:ascii="Times New Roman" w:hAnsi="Times New Roman" w:cs="Times New Roman"/>
          <w:sz w:val="24"/>
          <w:szCs w:val="24"/>
        </w:rPr>
        <w:t>AGC</w:t>
      </w:r>
      <w:r w:rsidRPr="000B521F">
        <w:rPr>
          <w:rFonts w:ascii="Times New Roman" w:hAnsi="Times New Roman" w:cs="Times New Roman"/>
          <w:sz w:val="24"/>
          <w:szCs w:val="24"/>
        </w:rPr>
        <w:tab/>
        <w:t>E</w:t>
      </w:r>
      <w:r w:rsidRPr="000B521F">
        <w:rPr>
          <w:rStyle w:val="Zvraznn"/>
          <w:rFonts w:ascii="Times New Roman" w:hAnsi="Times New Roman" w:cs="Times New Roman"/>
          <w:b w:val="0"/>
          <w:sz w:val="24"/>
          <w:szCs w:val="24"/>
        </w:rPr>
        <w:t>vropská dohoda</w:t>
      </w:r>
      <w:r w:rsidRPr="000B521F">
        <w:rPr>
          <w:rStyle w:val="st1"/>
          <w:rFonts w:ascii="Times New Roman" w:hAnsi="Times New Roman" w:cs="Times New Roman"/>
          <w:sz w:val="24"/>
          <w:szCs w:val="24"/>
        </w:rPr>
        <w:t xml:space="preserve"> o </w:t>
      </w:r>
      <w:r w:rsidR="00943982" w:rsidRPr="000B521F">
        <w:rPr>
          <w:rStyle w:val="Zvraznn"/>
          <w:rFonts w:ascii="Times New Roman" w:hAnsi="Times New Roman" w:cs="Times New Roman"/>
          <w:b w:val="0"/>
          <w:sz w:val="24"/>
          <w:szCs w:val="24"/>
        </w:rPr>
        <w:t>mezinárodních železničních magistrálách</w:t>
      </w:r>
    </w:p>
    <w:p w:rsidR="0018040B" w:rsidRPr="000B521F" w:rsidRDefault="0018040B" w:rsidP="0059011D">
      <w:pPr>
        <w:autoSpaceDE w:val="0"/>
        <w:autoSpaceDN w:val="0"/>
        <w:adjustRightInd w:val="0"/>
        <w:spacing w:after="120" w:line="240" w:lineRule="auto"/>
        <w:ind w:left="4254" w:hanging="4254"/>
        <w:rPr>
          <w:rFonts w:ascii="Times New Roman" w:hAnsi="Times New Roman" w:cs="Times New Roman"/>
          <w:sz w:val="24"/>
          <w:szCs w:val="24"/>
        </w:rPr>
      </w:pPr>
      <w:r w:rsidRPr="000B521F">
        <w:rPr>
          <w:rStyle w:val="Zvraznn"/>
          <w:rFonts w:ascii="Times New Roman" w:hAnsi="Times New Roman" w:cs="Times New Roman"/>
          <w:b w:val="0"/>
          <w:sz w:val="24"/>
          <w:szCs w:val="24"/>
        </w:rPr>
        <w:t>AGTC</w:t>
      </w:r>
      <w:r w:rsidRPr="000B521F">
        <w:rPr>
          <w:rStyle w:val="Zvraznn"/>
          <w:rFonts w:ascii="Times New Roman" w:hAnsi="Times New Roman" w:cs="Times New Roman"/>
          <w:b w:val="0"/>
          <w:sz w:val="24"/>
          <w:szCs w:val="24"/>
        </w:rPr>
        <w:tab/>
        <w:t>E</w:t>
      </w:r>
      <w:r w:rsidR="00943982" w:rsidRPr="000B521F">
        <w:rPr>
          <w:rStyle w:val="st1"/>
          <w:rFonts w:ascii="Times New Roman" w:hAnsi="Times New Roman" w:cs="Times New Roman"/>
          <w:sz w:val="24"/>
          <w:szCs w:val="24"/>
        </w:rPr>
        <w:t>vropská dohoda o nejdůležitějších trasách mezinárodní kombinované dopravy a souvisejících objektech</w:t>
      </w:r>
    </w:p>
    <w:p w:rsidR="0018040B" w:rsidRPr="000B521F" w:rsidRDefault="00943982"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APZ</w:t>
      </w:r>
      <w:r w:rsidRPr="000B521F">
        <w:rPr>
          <w:rFonts w:ascii="Times New Roman" w:hAnsi="Times New Roman" w:cs="Times New Roman"/>
          <w:sz w:val="24"/>
          <w:szCs w:val="24"/>
        </w:rPr>
        <w:tab/>
        <w:t>Aktivní politika zaměstnanosti</w:t>
      </w:r>
    </w:p>
    <w:p w:rsidR="0018040B" w:rsidRPr="000B521F" w:rsidRDefault="00943982"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BC</w:t>
      </w:r>
      <w:r w:rsidRPr="000B521F">
        <w:rPr>
          <w:rFonts w:ascii="Times New Roman" w:hAnsi="Times New Roman" w:cs="Times New Roman"/>
          <w:sz w:val="24"/>
          <w:szCs w:val="24"/>
        </w:rPr>
        <w:tab/>
        <w:t>Bakalář</w:t>
      </w:r>
    </w:p>
    <w:p w:rsidR="0018040B" w:rsidRPr="000B521F" w:rsidRDefault="00943982"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BRIC</w:t>
      </w:r>
      <w:r w:rsidRPr="000B521F">
        <w:rPr>
          <w:rFonts w:ascii="Times New Roman" w:hAnsi="Times New Roman" w:cs="Times New Roman"/>
          <w:sz w:val="24"/>
          <w:szCs w:val="24"/>
        </w:rPr>
        <w:tab/>
        <w:t>Brazílie, Rusko, Indie, Čína</w:t>
      </w:r>
    </w:p>
    <w:p w:rsidR="0018040B" w:rsidRPr="000B521F" w:rsidRDefault="00943982" w:rsidP="0059011D">
      <w:pPr>
        <w:tabs>
          <w:tab w:val="left" w:pos="4253"/>
        </w:tabs>
        <w:spacing w:after="120" w:line="240" w:lineRule="auto"/>
        <w:ind w:left="4253" w:hanging="4253"/>
        <w:rPr>
          <w:rFonts w:ascii="Times New Roman" w:hAnsi="Times New Roman" w:cs="Times New Roman"/>
          <w:sz w:val="24"/>
          <w:szCs w:val="24"/>
        </w:rPr>
      </w:pPr>
      <w:r w:rsidRPr="000B521F">
        <w:rPr>
          <w:rFonts w:ascii="Times New Roman" w:hAnsi="Times New Roman" w:cs="Times New Roman"/>
          <w:sz w:val="24"/>
          <w:szCs w:val="24"/>
        </w:rPr>
        <w:t>CEF</w:t>
      </w:r>
      <w:r w:rsidRPr="000B521F">
        <w:rPr>
          <w:rFonts w:ascii="Times New Roman" w:hAnsi="Times New Roman" w:cs="Times New Roman"/>
          <w:sz w:val="24"/>
          <w:szCs w:val="24"/>
        </w:rPr>
        <w:tab/>
        <w:t>Nástroj pro propojení Evropy (Connecting</w:t>
      </w:r>
      <w:r w:rsidR="0012336E">
        <w:rPr>
          <w:rFonts w:ascii="Times New Roman" w:hAnsi="Times New Roman" w:cs="Times New Roman"/>
          <w:sz w:val="24"/>
          <w:szCs w:val="24"/>
        </w:rPr>
        <w:t xml:space="preserve"> </w:t>
      </w:r>
      <w:r w:rsidRPr="000B521F">
        <w:rPr>
          <w:rFonts w:ascii="Times New Roman" w:hAnsi="Times New Roman" w:cs="Times New Roman"/>
          <w:sz w:val="24"/>
          <w:szCs w:val="24"/>
        </w:rPr>
        <w:t>Europe</w:t>
      </w:r>
      <w:r w:rsidR="0012336E">
        <w:rPr>
          <w:rFonts w:ascii="Times New Roman" w:hAnsi="Times New Roman" w:cs="Times New Roman"/>
          <w:sz w:val="24"/>
          <w:szCs w:val="24"/>
        </w:rPr>
        <w:t xml:space="preserve"> </w:t>
      </w:r>
      <w:r w:rsidRPr="000B521F">
        <w:rPr>
          <w:rFonts w:ascii="Times New Roman" w:hAnsi="Times New Roman" w:cs="Times New Roman"/>
          <w:sz w:val="24"/>
          <w:szCs w:val="24"/>
        </w:rPr>
        <w:t>Facility)</w:t>
      </w:r>
    </w:p>
    <w:p w:rsidR="0018040B" w:rsidRPr="000B521F" w:rsidRDefault="00943982"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CentralEurope</w:t>
      </w:r>
      <w:r w:rsidRPr="000B521F">
        <w:rPr>
          <w:rFonts w:ascii="Times New Roman" w:hAnsi="Times New Roman" w:cs="Times New Roman"/>
          <w:sz w:val="24"/>
          <w:szCs w:val="24"/>
        </w:rPr>
        <w:tab/>
        <w:t>Program nadnárodní spolupráce</w:t>
      </w:r>
    </w:p>
    <w:p w:rsidR="0018040B" w:rsidRPr="000B521F" w:rsidRDefault="00943982" w:rsidP="0059011D">
      <w:pPr>
        <w:tabs>
          <w:tab w:val="left" w:pos="4253"/>
        </w:tabs>
        <w:spacing w:after="120" w:line="240" w:lineRule="auto"/>
        <w:ind w:left="4253" w:hanging="4253"/>
        <w:rPr>
          <w:rFonts w:ascii="Times New Roman" w:hAnsi="Times New Roman" w:cs="Times New Roman"/>
          <w:sz w:val="24"/>
          <w:szCs w:val="24"/>
        </w:rPr>
      </w:pPr>
      <w:r w:rsidRPr="000B521F">
        <w:rPr>
          <w:rFonts w:ascii="Times New Roman" w:hAnsi="Times New Roman" w:cs="Times New Roman"/>
          <w:sz w:val="24"/>
          <w:szCs w:val="24"/>
        </w:rPr>
        <w:t>CLLD</w:t>
      </w:r>
      <w:r w:rsidRPr="000B521F">
        <w:rPr>
          <w:rFonts w:ascii="Times New Roman" w:hAnsi="Times New Roman" w:cs="Times New Roman"/>
          <w:sz w:val="24"/>
          <w:szCs w:val="24"/>
        </w:rPr>
        <w:tab/>
        <w:t>komunitně vedený místní rozvoj (Community Led Local</w:t>
      </w:r>
      <w:r w:rsidR="0012336E">
        <w:rPr>
          <w:rFonts w:ascii="Times New Roman" w:hAnsi="Times New Roman" w:cs="Times New Roman"/>
          <w:sz w:val="24"/>
          <w:szCs w:val="24"/>
        </w:rPr>
        <w:t xml:space="preserve"> </w:t>
      </w:r>
      <w:r w:rsidRPr="000B521F">
        <w:rPr>
          <w:rFonts w:ascii="Times New Roman" w:hAnsi="Times New Roman" w:cs="Times New Roman"/>
          <w:sz w:val="24"/>
          <w:szCs w:val="24"/>
        </w:rPr>
        <w:t>Development)</w:t>
      </w:r>
    </w:p>
    <w:p w:rsidR="004356D4" w:rsidRPr="000B521F" w:rsidRDefault="004356D4"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ČOV</w:t>
      </w:r>
      <w:r w:rsidRPr="000B521F">
        <w:rPr>
          <w:rFonts w:ascii="Times New Roman" w:hAnsi="Times New Roman" w:cs="Times New Roman"/>
          <w:sz w:val="24"/>
          <w:szCs w:val="24"/>
        </w:rPr>
        <w:tab/>
        <w:t>Čistírna odpadních vod</w:t>
      </w:r>
    </w:p>
    <w:p w:rsidR="0018040B" w:rsidRPr="000B521F" w:rsidRDefault="00943982"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ČPH</w:t>
      </w:r>
      <w:r w:rsidRPr="000B521F">
        <w:rPr>
          <w:rFonts w:ascii="Times New Roman" w:hAnsi="Times New Roman" w:cs="Times New Roman"/>
          <w:sz w:val="24"/>
          <w:szCs w:val="24"/>
        </w:rPr>
        <w:tab/>
        <w:t>Čistá přidaná hodnota</w:t>
      </w:r>
    </w:p>
    <w:p w:rsidR="0018040B" w:rsidRPr="000B521F" w:rsidRDefault="00943982"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ČR</w:t>
      </w:r>
      <w:r w:rsidRPr="000B521F">
        <w:rPr>
          <w:rFonts w:ascii="Times New Roman" w:hAnsi="Times New Roman" w:cs="Times New Roman"/>
          <w:sz w:val="24"/>
          <w:szCs w:val="24"/>
        </w:rPr>
        <w:tab/>
        <w:t>Česká republika</w:t>
      </w:r>
    </w:p>
    <w:p w:rsidR="0018040B" w:rsidRPr="000B521F" w:rsidRDefault="00943982"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ČSÚ</w:t>
      </w:r>
      <w:r w:rsidRPr="000B521F">
        <w:rPr>
          <w:rFonts w:ascii="Times New Roman" w:hAnsi="Times New Roman" w:cs="Times New Roman"/>
          <w:sz w:val="24"/>
          <w:szCs w:val="24"/>
        </w:rPr>
        <w:tab/>
        <w:t>Český statistický úřad</w:t>
      </w:r>
    </w:p>
    <w:p w:rsidR="0018040B" w:rsidRPr="000B521F" w:rsidRDefault="00943982"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CZ</w:t>
      </w:r>
      <w:r w:rsidRPr="000B521F">
        <w:rPr>
          <w:rFonts w:ascii="Times New Roman" w:hAnsi="Times New Roman" w:cs="Times New Roman"/>
          <w:sz w:val="24"/>
          <w:szCs w:val="24"/>
        </w:rPr>
        <w:tab/>
        <w:t>Česká republika</w:t>
      </w:r>
    </w:p>
    <w:p w:rsidR="00E46D86" w:rsidRPr="000B521F" w:rsidRDefault="00E46D86"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Dohoda</w:t>
      </w:r>
      <w:r w:rsidRPr="000B521F">
        <w:rPr>
          <w:rFonts w:ascii="Times New Roman" w:hAnsi="Times New Roman" w:cs="Times New Roman"/>
          <w:sz w:val="24"/>
          <w:szCs w:val="24"/>
        </w:rPr>
        <w:tab/>
        <w:t>Dohoda o partnerství pro programové období</w:t>
      </w:r>
    </w:p>
    <w:p w:rsidR="00E46D86" w:rsidRPr="000B521F" w:rsidRDefault="00E46D86"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ab/>
        <w:t>2014 - 2020</w:t>
      </w:r>
    </w:p>
    <w:p w:rsidR="0018040B" w:rsidRPr="000B521F" w:rsidRDefault="00943982"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Dohoda o partnerství</w:t>
      </w:r>
      <w:r w:rsidRPr="000B521F">
        <w:rPr>
          <w:rFonts w:ascii="Times New Roman" w:hAnsi="Times New Roman" w:cs="Times New Roman"/>
          <w:sz w:val="24"/>
          <w:szCs w:val="24"/>
        </w:rPr>
        <w:tab/>
        <w:t>Dohoda o partnerství pro programové období</w:t>
      </w:r>
    </w:p>
    <w:p w:rsidR="0018040B" w:rsidRPr="000B521F" w:rsidRDefault="00943982"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ab/>
        <w:t>2014-2020</w:t>
      </w:r>
    </w:p>
    <w:p w:rsidR="0018040B" w:rsidRPr="000B521F" w:rsidRDefault="00943982" w:rsidP="0059011D">
      <w:pPr>
        <w:tabs>
          <w:tab w:val="left" w:pos="4253"/>
        </w:tabs>
        <w:spacing w:after="120" w:line="240" w:lineRule="auto"/>
        <w:ind w:left="4254" w:hanging="4254"/>
        <w:rPr>
          <w:rFonts w:ascii="Times New Roman" w:hAnsi="Times New Roman" w:cs="Times New Roman"/>
          <w:sz w:val="24"/>
          <w:szCs w:val="24"/>
          <w:u w:color="000000"/>
        </w:rPr>
      </w:pPr>
      <w:r w:rsidRPr="000B521F">
        <w:rPr>
          <w:rFonts w:ascii="Times New Roman" w:hAnsi="Times New Roman" w:cs="Times New Roman"/>
          <w:sz w:val="24"/>
          <w:szCs w:val="24"/>
        </w:rPr>
        <w:t>EFRR</w:t>
      </w:r>
      <w:r w:rsidRPr="000B521F">
        <w:rPr>
          <w:rFonts w:ascii="Times New Roman" w:hAnsi="Times New Roman" w:cs="Times New Roman"/>
          <w:sz w:val="24"/>
          <w:szCs w:val="24"/>
        </w:rPr>
        <w:tab/>
        <w:t xml:space="preserve">Evropský fond </w:t>
      </w:r>
      <w:r w:rsidRPr="000B521F">
        <w:rPr>
          <w:rFonts w:ascii="Times New Roman" w:hAnsi="Times New Roman" w:cs="Times New Roman"/>
          <w:sz w:val="24"/>
          <w:szCs w:val="24"/>
          <w:u w:color="000000"/>
        </w:rPr>
        <w:t>pro regionální rozvoj (European</w:t>
      </w:r>
      <w:r w:rsidR="0012336E">
        <w:rPr>
          <w:rFonts w:ascii="Times New Roman" w:hAnsi="Times New Roman" w:cs="Times New Roman"/>
          <w:sz w:val="24"/>
          <w:szCs w:val="24"/>
          <w:u w:color="000000"/>
        </w:rPr>
        <w:t xml:space="preserve"> </w:t>
      </w:r>
      <w:r w:rsidRPr="000B521F">
        <w:rPr>
          <w:rFonts w:ascii="Times New Roman" w:hAnsi="Times New Roman" w:cs="Times New Roman"/>
          <w:sz w:val="24"/>
          <w:szCs w:val="24"/>
          <w:u w:color="000000"/>
        </w:rPr>
        <w:t>Regional</w:t>
      </w:r>
      <w:r w:rsidR="0012336E">
        <w:rPr>
          <w:rFonts w:ascii="Times New Roman" w:hAnsi="Times New Roman" w:cs="Times New Roman"/>
          <w:sz w:val="24"/>
          <w:szCs w:val="24"/>
          <w:u w:color="000000"/>
        </w:rPr>
        <w:t xml:space="preserve"> </w:t>
      </w:r>
      <w:r w:rsidRPr="000B521F">
        <w:rPr>
          <w:rFonts w:ascii="Times New Roman" w:hAnsi="Times New Roman" w:cs="Times New Roman"/>
          <w:sz w:val="24"/>
          <w:szCs w:val="24"/>
          <w:u w:color="000000"/>
        </w:rPr>
        <w:t>Development</w:t>
      </w:r>
      <w:r w:rsidR="0012336E">
        <w:rPr>
          <w:rFonts w:ascii="Times New Roman" w:hAnsi="Times New Roman" w:cs="Times New Roman"/>
          <w:sz w:val="24"/>
          <w:szCs w:val="24"/>
          <w:u w:color="000000"/>
        </w:rPr>
        <w:t xml:space="preserve"> </w:t>
      </w:r>
      <w:r w:rsidRPr="000B521F">
        <w:rPr>
          <w:rFonts w:ascii="Times New Roman" w:hAnsi="Times New Roman" w:cs="Times New Roman"/>
          <w:sz w:val="24"/>
          <w:szCs w:val="24"/>
          <w:u w:color="000000"/>
        </w:rPr>
        <w:t>Fund – ERDF)</w:t>
      </w:r>
    </w:p>
    <w:p w:rsidR="0018040B" w:rsidRPr="000B521F" w:rsidRDefault="00943982" w:rsidP="0059011D">
      <w:pPr>
        <w:tabs>
          <w:tab w:val="left" w:pos="4253"/>
        </w:tabs>
        <w:spacing w:after="120" w:line="240" w:lineRule="auto"/>
        <w:ind w:left="4253" w:hanging="4253"/>
        <w:rPr>
          <w:rFonts w:ascii="Times New Roman" w:hAnsi="Times New Roman" w:cs="Times New Roman"/>
          <w:sz w:val="24"/>
          <w:szCs w:val="24"/>
        </w:rPr>
      </w:pPr>
      <w:r w:rsidRPr="000B521F">
        <w:rPr>
          <w:rFonts w:ascii="Times New Roman" w:hAnsi="Times New Roman" w:cs="Times New Roman"/>
          <w:sz w:val="24"/>
          <w:szCs w:val="24"/>
        </w:rPr>
        <w:t>EIA</w:t>
      </w:r>
      <w:r w:rsidRPr="000B521F">
        <w:rPr>
          <w:rFonts w:ascii="Times New Roman" w:hAnsi="Times New Roman" w:cs="Times New Roman"/>
          <w:sz w:val="24"/>
          <w:szCs w:val="24"/>
        </w:rPr>
        <w:tab/>
        <w:t>Vyhodnocení vlivů na životní prostředí (Environmental</w:t>
      </w:r>
      <w:r w:rsidR="0012336E">
        <w:rPr>
          <w:rFonts w:ascii="Times New Roman" w:hAnsi="Times New Roman" w:cs="Times New Roman"/>
          <w:sz w:val="24"/>
          <w:szCs w:val="24"/>
        </w:rPr>
        <w:t xml:space="preserve"> </w:t>
      </w:r>
      <w:r w:rsidRPr="000B521F">
        <w:rPr>
          <w:rFonts w:ascii="Times New Roman" w:hAnsi="Times New Roman" w:cs="Times New Roman"/>
          <w:sz w:val="24"/>
          <w:szCs w:val="24"/>
        </w:rPr>
        <w:t>Impact</w:t>
      </w:r>
      <w:r w:rsidR="0012336E">
        <w:rPr>
          <w:rFonts w:ascii="Times New Roman" w:hAnsi="Times New Roman" w:cs="Times New Roman"/>
          <w:sz w:val="24"/>
          <w:szCs w:val="24"/>
        </w:rPr>
        <w:t xml:space="preserve"> </w:t>
      </w:r>
      <w:r w:rsidRPr="000B521F">
        <w:rPr>
          <w:rFonts w:ascii="Times New Roman" w:hAnsi="Times New Roman" w:cs="Times New Roman"/>
          <w:sz w:val="24"/>
          <w:szCs w:val="24"/>
        </w:rPr>
        <w:t>Assessment)</w:t>
      </w:r>
    </w:p>
    <w:p w:rsidR="0018040B" w:rsidRPr="000B521F" w:rsidRDefault="00943982"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EIB</w:t>
      </w:r>
      <w:r w:rsidRPr="000B521F">
        <w:rPr>
          <w:rFonts w:ascii="Times New Roman" w:hAnsi="Times New Roman" w:cs="Times New Roman"/>
          <w:sz w:val="24"/>
          <w:szCs w:val="24"/>
        </w:rPr>
        <w:tab/>
        <w:t>Evropská investiční banka</w:t>
      </w:r>
    </w:p>
    <w:p w:rsidR="0018040B" w:rsidRPr="000B521F" w:rsidRDefault="00943982" w:rsidP="0059011D">
      <w:pPr>
        <w:tabs>
          <w:tab w:val="left" w:pos="4253"/>
        </w:tabs>
        <w:spacing w:after="120" w:line="240" w:lineRule="auto"/>
        <w:ind w:left="4248" w:hanging="4248"/>
        <w:rPr>
          <w:rFonts w:ascii="Times New Roman" w:hAnsi="Times New Roman" w:cs="Times New Roman"/>
          <w:sz w:val="24"/>
          <w:szCs w:val="24"/>
        </w:rPr>
      </w:pPr>
      <w:r w:rsidRPr="000B521F">
        <w:rPr>
          <w:rFonts w:ascii="Times New Roman" w:hAnsi="Times New Roman" w:cs="Times New Roman"/>
          <w:sz w:val="24"/>
          <w:szCs w:val="24"/>
        </w:rPr>
        <w:t>EGNOS</w:t>
      </w:r>
      <w:r w:rsidRPr="000B521F">
        <w:rPr>
          <w:rFonts w:ascii="Times New Roman" w:hAnsi="Times New Roman" w:cs="Times New Roman"/>
          <w:sz w:val="24"/>
          <w:szCs w:val="24"/>
        </w:rPr>
        <w:tab/>
      </w:r>
      <w:r w:rsidRPr="000B521F">
        <w:rPr>
          <w:rFonts w:ascii="Times New Roman" w:hAnsi="Times New Roman" w:cs="Times New Roman"/>
          <w:sz w:val="24"/>
          <w:szCs w:val="24"/>
        </w:rPr>
        <w:tab/>
      </w:r>
      <w:r w:rsidRPr="000B521F">
        <w:rPr>
          <w:rStyle w:val="Zvraznn"/>
          <w:rFonts w:ascii="Times New Roman" w:hAnsi="Times New Roman" w:cs="Times New Roman"/>
          <w:b w:val="0"/>
          <w:sz w:val="24"/>
          <w:szCs w:val="24"/>
        </w:rPr>
        <w:t>European</w:t>
      </w:r>
      <w:r w:rsidR="0012336E">
        <w:rPr>
          <w:rStyle w:val="Zvraznn"/>
          <w:rFonts w:ascii="Times New Roman" w:hAnsi="Times New Roman" w:cs="Times New Roman"/>
          <w:b w:val="0"/>
          <w:sz w:val="24"/>
          <w:szCs w:val="24"/>
        </w:rPr>
        <w:t xml:space="preserve"> </w:t>
      </w:r>
      <w:r w:rsidRPr="000B521F">
        <w:rPr>
          <w:rStyle w:val="Zvraznn"/>
          <w:rFonts w:ascii="Times New Roman" w:hAnsi="Times New Roman" w:cs="Times New Roman"/>
          <w:b w:val="0"/>
          <w:sz w:val="24"/>
          <w:szCs w:val="24"/>
        </w:rPr>
        <w:t>Geostationary</w:t>
      </w:r>
      <w:r w:rsidR="0012336E">
        <w:rPr>
          <w:rStyle w:val="Zvraznn"/>
          <w:rFonts w:ascii="Times New Roman" w:hAnsi="Times New Roman" w:cs="Times New Roman"/>
          <w:b w:val="0"/>
          <w:sz w:val="24"/>
          <w:szCs w:val="24"/>
        </w:rPr>
        <w:t xml:space="preserve"> </w:t>
      </w:r>
      <w:r w:rsidRPr="000B521F">
        <w:rPr>
          <w:rStyle w:val="Zvraznn"/>
          <w:rFonts w:ascii="Times New Roman" w:hAnsi="Times New Roman" w:cs="Times New Roman"/>
          <w:b w:val="0"/>
          <w:sz w:val="24"/>
          <w:szCs w:val="24"/>
        </w:rPr>
        <w:t>Navigation</w:t>
      </w:r>
      <w:r w:rsidR="0012336E">
        <w:rPr>
          <w:rStyle w:val="Zvraznn"/>
          <w:rFonts w:ascii="Times New Roman" w:hAnsi="Times New Roman" w:cs="Times New Roman"/>
          <w:b w:val="0"/>
          <w:sz w:val="24"/>
          <w:szCs w:val="24"/>
        </w:rPr>
        <w:t xml:space="preserve"> </w:t>
      </w:r>
      <w:r w:rsidRPr="000B521F">
        <w:rPr>
          <w:rStyle w:val="Zvraznn"/>
          <w:rFonts w:ascii="Times New Roman" w:hAnsi="Times New Roman" w:cs="Times New Roman"/>
          <w:b w:val="0"/>
          <w:sz w:val="24"/>
          <w:szCs w:val="24"/>
        </w:rPr>
        <w:t>Overlay</w:t>
      </w:r>
      <w:r w:rsidR="0012336E">
        <w:rPr>
          <w:rStyle w:val="Zvraznn"/>
          <w:rFonts w:ascii="Times New Roman" w:hAnsi="Times New Roman" w:cs="Times New Roman"/>
          <w:b w:val="0"/>
          <w:sz w:val="24"/>
          <w:szCs w:val="24"/>
        </w:rPr>
        <w:t xml:space="preserve"> </w:t>
      </w:r>
      <w:r w:rsidRPr="000B521F">
        <w:rPr>
          <w:rStyle w:val="Zvraznn"/>
          <w:rFonts w:ascii="Times New Roman" w:hAnsi="Times New Roman" w:cs="Times New Roman"/>
          <w:b w:val="0"/>
          <w:sz w:val="24"/>
          <w:szCs w:val="24"/>
        </w:rPr>
        <w:t>Service</w:t>
      </w:r>
    </w:p>
    <w:p w:rsidR="0018040B" w:rsidRPr="000B521F" w:rsidRDefault="002B23F0" w:rsidP="0059011D">
      <w:pPr>
        <w:tabs>
          <w:tab w:val="left" w:pos="4253"/>
        </w:tabs>
        <w:spacing w:after="120" w:line="240" w:lineRule="auto"/>
        <w:ind w:left="4253" w:hanging="4253"/>
        <w:rPr>
          <w:rFonts w:ascii="Times New Roman" w:hAnsi="Times New Roman" w:cs="Times New Roman"/>
          <w:sz w:val="24"/>
          <w:szCs w:val="24"/>
        </w:rPr>
      </w:pPr>
      <w:r w:rsidRPr="000B521F">
        <w:rPr>
          <w:rFonts w:ascii="Times New Roman" w:hAnsi="Times New Roman" w:cs="Times New Roman"/>
          <w:sz w:val="24"/>
          <w:szCs w:val="24"/>
        </w:rPr>
        <w:t>EIT</w:t>
      </w:r>
      <w:r w:rsidRPr="000B521F">
        <w:rPr>
          <w:rFonts w:ascii="Times New Roman" w:hAnsi="Times New Roman" w:cs="Times New Roman"/>
          <w:sz w:val="24"/>
          <w:szCs w:val="24"/>
        </w:rPr>
        <w:tab/>
        <w:t>Evropský inovační a technologický institut (European Institute of</w:t>
      </w:r>
      <w:r w:rsidR="0012336E">
        <w:rPr>
          <w:rFonts w:ascii="Times New Roman" w:hAnsi="Times New Roman" w:cs="Times New Roman"/>
          <w:sz w:val="24"/>
          <w:szCs w:val="24"/>
        </w:rPr>
        <w:t xml:space="preserve"> </w:t>
      </w:r>
      <w:r w:rsidRPr="000B521F">
        <w:rPr>
          <w:rFonts w:ascii="Times New Roman" w:hAnsi="Times New Roman" w:cs="Times New Roman"/>
          <w:sz w:val="24"/>
          <w:szCs w:val="24"/>
        </w:rPr>
        <w:t>Innovation and Technology)</w:t>
      </w:r>
    </w:p>
    <w:p w:rsidR="0018040B" w:rsidRPr="000B521F" w:rsidRDefault="002B23F0"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EK</w:t>
      </w:r>
      <w:r w:rsidRPr="000B521F">
        <w:rPr>
          <w:rFonts w:ascii="Times New Roman" w:hAnsi="Times New Roman" w:cs="Times New Roman"/>
          <w:sz w:val="24"/>
          <w:szCs w:val="24"/>
        </w:rPr>
        <w:tab/>
        <w:t>Evropská komise</w:t>
      </w:r>
    </w:p>
    <w:p w:rsidR="0018040B" w:rsidRPr="000B521F" w:rsidRDefault="002B23F0" w:rsidP="0059011D">
      <w:pPr>
        <w:tabs>
          <w:tab w:val="left" w:pos="4253"/>
        </w:tabs>
        <w:spacing w:after="120" w:line="240" w:lineRule="auto"/>
        <w:ind w:left="4254" w:hanging="4254"/>
        <w:rPr>
          <w:rFonts w:ascii="Times New Roman" w:hAnsi="Times New Roman" w:cs="Times New Roman"/>
          <w:sz w:val="24"/>
          <w:szCs w:val="24"/>
        </w:rPr>
      </w:pPr>
      <w:r w:rsidRPr="000B521F">
        <w:rPr>
          <w:rFonts w:ascii="Times New Roman" w:hAnsi="Times New Roman" w:cs="Times New Roman"/>
          <w:sz w:val="24"/>
          <w:szCs w:val="24"/>
        </w:rPr>
        <w:t>ENRF</w:t>
      </w:r>
      <w:r w:rsidRPr="000B521F">
        <w:rPr>
          <w:rFonts w:ascii="Times New Roman" w:hAnsi="Times New Roman" w:cs="Times New Roman"/>
          <w:sz w:val="24"/>
          <w:szCs w:val="24"/>
        </w:rPr>
        <w:tab/>
        <w:t>Evropský námořní a rybářský fond (European</w:t>
      </w:r>
      <w:r w:rsidR="0012336E">
        <w:rPr>
          <w:rFonts w:ascii="Times New Roman" w:hAnsi="Times New Roman" w:cs="Times New Roman"/>
          <w:sz w:val="24"/>
          <w:szCs w:val="24"/>
        </w:rPr>
        <w:t xml:space="preserve"> </w:t>
      </w:r>
      <w:r w:rsidRPr="000B521F">
        <w:rPr>
          <w:rFonts w:ascii="Times New Roman" w:hAnsi="Times New Roman" w:cs="Times New Roman"/>
          <w:sz w:val="24"/>
          <w:szCs w:val="24"/>
        </w:rPr>
        <w:t>Maritime and Fisheries</w:t>
      </w:r>
      <w:r w:rsidR="0012336E">
        <w:rPr>
          <w:rFonts w:ascii="Times New Roman" w:hAnsi="Times New Roman" w:cs="Times New Roman"/>
          <w:sz w:val="24"/>
          <w:szCs w:val="24"/>
        </w:rPr>
        <w:t xml:space="preserve"> Fund –</w:t>
      </w:r>
      <w:r w:rsidRPr="000B521F">
        <w:rPr>
          <w:rFonts w:ascii="Times New Roman" w:hAnsi="Times New Roman" w:cs="Times New Roman"/>
          <w:sz w:val="24"/>
          <w:szCs w:val="24"/>
        </w:rPr>
        <w:t xml:space="preserve"> EMFF)</w:t>
      </w:r>
    </w:p>
    <w:p w:rsidR="0018040B" w:rsidRPr="000B521F" w:rsidRDefault="002B23F0" w:rsidP="0059011D">
      <w:pPr>
        <w:tabs>
          <w:tab w:val="left" w:pos="4253"/>
        </w:tabs>
        <w:spacing w:after="120" w:line="240" w:lineRule="auto"/>
        <w:ind w:left="4254" w:hanging="4254"/>
        <w:rPr>
          <w:rFonts w:ascii="Times New Roman" w:hAnsi="Times New Roman" w:cs="Times New Roman"/>
          <w:sz w:val="24"/>
          <w:szCs w:val="24"/>
        </w:rPr>
      </w:pPr>
      <w:r w:rsidRPr="000B521F">
        <w:rPr>
          <w:rFonts w:ascii="Times New Roman" w:hAnsi="Times New Roman" w:cs="Times New Roman"/>
          <w:sz w:val="24"/>
          <w:szCs w:val="24"/>
        </w:rPr>
        <w:t>EP</w:t>
      </w:r>
      <w:r w:rsidRPr="000B521F">
        <w:rPr>
          <w:rFonts w:ascii="Times New Roman" w:hAnsi="Times New Roman" w:cs="Times New Roman"/>
          <w:sz w:val="24"/>
          <w:szCs w:val="24"/>
        </w:rPr>
        <w:tab/>
        <w:t>Evropský parlament</w:t>
      </w:r>
    </w:p>
    <w:p w:rsidR="0018040B" w:rsidRPr="000B521F" w:rsidRDefault="002B23F0" w:rsidP="0059011D">
      <w:pPr>
        <w:tabs>
          <w:tab w:val="left" w:pos="4253"/>
        </w:tabs>
        <w:spacing w:after="120" w:line="240" w:lineRule="auto"/>
        <w:ind w:left="4254" w:hanging="4254"/>
        <w:rPr>
          <w:rFonts w:ascii="Times New Roman" w:hAnsi="Times New Roman" w:cs="Times New Roman"/>
          <w:sz w:val="24"/>
          <w:szCs w:val="24"/>
          <w:u w:color="000000"/>
        </w:rPr>
      </w:pPr>
      <w:r w:rsidRPr="000B521F">
        <w:rPr>
          <w:rFonts w:ascii="Times New Roman" w:hAnsi="Times New Roman" w:cs="Times New Roman"/>
          <w:sz w:val="24"/>
          <w:szCs w:val="24"/>
        </w:rPr>
        <w:t>EQAVET</w:t>
      </w:r>
      <w:r w:rsidRPr="000B521F">
        <w:rPr>
          <w:rFonts w:ascii="Times New Roman" w:hAnsi="Times New Roman" w:cs="Times New Roman"/>
          <w:sz w:val="24"/>
          <w:szCs w:val="24"/>
        </w:rPr>
        <w:tab/>
        <w:t>European</w:t>
      </w:r>
      <w:r w:rsidR="0012336E">
        <w:rPr>
          <w:rFonts w:ascii="Times New Roman" w:hAnsi="Times New Roman" w:cs="Times New Roman"/>
          <w:sz w:val="24"/>
          <w:szCs w:val="24"/>
        </w:rPr>
        <w:t xml:space="preserve"> </w:t>
      </w:r>
      <w:r w:rsidRPr="000B521F">
        <w:rPr>
          <w:rFonts w:ascii="Times New Roman" w:hAnsi="Times New Roman" w:cs="Times New Roman"/>
          <w:sz w:val="24"/>
          <w:szCs w:val="24"/>
        </w:rPr>
        <w:t>Quality</w:t>
      </w:r>
      <w:r w:rsidR="0012336E">
        <w:rPr>
          <w:rFonts w:ascii="Times New Roman" w:hAnsi="Times New Roman" w:cs="Times New Roman"/>
          <w:sz w:val="24"/>
          <w:szCs w:val="24"/>
        </w:rPr>
        <w:t xml:space="preserve"> </w:t>
      </w:r>
      <w:r w:rsidRPr="000B521F">
        <w:rPr>
          <w:rFonts w:ascii="Times New Roman" w:hAnsi="Times New Roman" w:cs="Times New Roman"/>
          <w:sz w:val="24"/>
          <w:szCs w:val="24"/>
        </w:rPr>
        <w:t>Assurance Reference Framework for</w:t>
      </w:r>
      <w:r w:rsidR="0012336E">
        <w:rPr>
          <w:rFonts w:ascii="Times New Roman" w:hAnsi="Times New Roman" w:cs="Times New Roman"/>
          <w:sz w:val="24"/>
          <w:szCs w:val="24"/>
        </w:rPr>
        <w:t xml:space="preserve"> </w:t>
      </w:r>
      <w:r w:rsidRPr="000B521F">
        <w:rPr>
          <w:rFonts w:ascii="Times New Roman" w:hAnsi="Times New Roman" w:cs="Times New Roman"/>
          <w:sz w:val="24"/>
          <w:szCs w:val="24"/>
        </w:rPr>
        <w:t>Vocational</w:t>
      </w:r>
      <w:r w:rsidR="0012336E">
        <w:rPr>
          <w:rFonts w:ascii="Times New Roman" w:hAnsi="Times New Roman" w:cs="Times New Roman"/>
          <w:sz w:val="24"/>
          <w:szCs w:val="24"/>
        </w:rPr>
        <w:t xml:space="preserve"> </w:t>
      </w:r>
      <w:r w:rsidRPr="000B521F">
        <w:rPr>
          <w:rFonts w:ascii="Times New Roman" w:hAnsi="Times New Roman" w:cs="Times New Roman"/>
          <w:sz w:val="24"/>
          <w:szCs w:val="24"/>
        </w:rPr>
        <w:t>Education and Training</w:t>
      </w:r>
    </w:p>
    <w:p w:rsidR="0018040B" w:rsidRPr="000B521F" w:rsidRDefault="002B23F0" w:rsidP="0059011D">
      <w:pPr>
        <w:tabs>
          <w:tab w:val="left" w:pos="4253"/>
        </w:tabs>
        <w:spacing w:after="120" w:line="240" w:lineRule="auto"/>
        <w:ind w:left="4248" w:hanging="4248"/>
        <w:rPr>
          <w:rFonts w:ascii="Times New Roman" w:hAnsi="Times New Roman" w:cs="Times New Roman"/>
          <w:sz w:val="24"/>
          <w:szCs w:val="24"/>
          <w:u w:color="000000"/>
        </w:rPr>
      </w:pPr>
      <w:r w:rsidRPr="000B521F">
        <w:rPr>
          <w:rFonts w:ascii="Times New Roman" w:hAnsi="Times New Roman" w:cs="Times New Roman"/>
          <w:sz w:val="24"/>
          <w:szCs w:val="24"/>
          <w:u w:color="000000"/>
        </w:rPr>
        <w:t>ERTMS</w:t>
      </w:r>
      <w:r w:rsidRPr="000B521F">
        <w:rPr>
          <w:rFonts w:ascii="Times New Roman" w:hAnsi="Times New Roman" w:cs="Times New Roman"/>
          <w:sz w:val="24"/>
          <w:szCs w:val="24"/>
          <w:u w:color="000000"/>
        </w:rPr>
        <w:tab/>
      </w:r>
      <w:r w:rsidRPr="000B521F">
        <w:rPr>
          <w:rFonts w:ascii="Times New Roman" w:hAnsi="Times New Roman" w:cs="Times New Roman"/>
          <w:sz w:val="24"/>
          <w:szCs w:val="24"/>
          <w:u w:color="000000"/>
        </w:rPr>
        <w:tab/>
        <w:t>Evropský systém řízení železničního provozu (</w:t>
      </w:r>
      <w:r w:rsidRPr="000B521F">
        <w:rPr>
          <w:rFonts w:ascii="Times New Roman" w:hAnsi="Times New Roman" w:cs="Times New Roman"/>
          <w:iCs/>
          <w:sz w:val="24"/>
          <w:szCs w:val="24"/>
        </w:rPr>
        <w:t>European</w:t>
      </w:r>
      <w:r w:rsidR="0012336E">
        <w:rPr>
          <w:rFonts w:ascii="Times New Roman" w:hAnsi="Times New Roman" w:cs="Times New Roman"/>
          <w:iCs/>
          <w:sz w:val="24"/>
          <w:szCs w:val="24"/>
        </w:rPr>
        <w:t xml:space="preserve"> </w:t>
      </w:r>
      <w:r w:rsidRPr="000B521F">
        <w:rPr>
          <w:rFonts w:ascii="Times New Roman" w:hAnsi="Times New Roman" w:cs="Times New Roman"/>
          <w:iCs/>
          <w:sz w:val="24"/>
          <w:szCs w:val="24"/>
        </w:rPr>
        <w:t>Rail</w:t>
      </w:r>
      <w:r w:rsidR="0012336E">
        <w:rPr>
          <w:rFonts w:ascii="Times New Roman" w:hAnsi="Times New Roman" w:cs="Times New Roman"/>
          <w:iCs/>
          <w:sz w:val="24"/>
          <w:szCs w:val="24"/>
        </w:rPr>
        <w:t xml:space="preserve"> </w:t>
      </w:r>
      <w:r w:rsidRPr="000B521F">
        <w:rPr>
          <w:rFonts w:ascii="Times New Roman" w:hAnsi="Times New Roman" w:cs="Times New Roman"/>
          <w:iCs/>
          <w:sz w:val="24"/>
          <w:szCs w:val="24"/>
        </w:rPr>
        <w:t>Traffic Management Syst</w:t>
      </w:r>
      <w:r w:rsidR="0012336E">
        <w:rPr>
          <w:rFonts w:ascii="Times New Roman" w:hAnsi="Times New Roman" w:cs="Times New Roman"/>
          <w:iCs/>
          <w:sz w:val="24"/>
          <w:szCs w:val="24"/>
        </w:rPr>
        <w:t>e</w:t>
      </w:r>
      <w:r w:rsidRPr="000B521F">
        <w:rPr>
          <w:rFonts w:ascii="Times New Roman" w:hAnsi="Times New Roman" w:cs="Times New Roman"/>
          <w:iCs/>
          <w:sz w:val="24"/>
          <w:szCs w:val="24"/>
        </w:rPr>
        <w:t>m)</w:t>
      </w:r>
    </w:p>
    <w:p w:rsidR="0018040B" w:rsidRPr="000B521F" w:rsidRDefault="002B23F0" w:rsidP="0059011D">
      <w:pPr>
        <w:tabs>
          <w:tab w:val="left" w:pos="4253"/>
        </w:tabs>
        <w:spacing w:after="120" w:line="240" w:lineRule="auto"/>
        <w:rPr>
          <w:rFonts w:ascii="Times New Roman" w:hAnsi="Times New Roman" w:cs="Times New Roman"/>
          <w:sz w:val="24"/>
          <w:szCs w:val="24"/>
          <w:u w:color="000000"/>
        </w:rPr>
      </w:pPr>
      <w:r w:rsidRPr="000B521F">
        <w:rPr>
          <w:rFonts w:ascii="Times New Roman" w:hAnsi="Times New Roman" w:cs="Times New Roman"/>
          <w:sz w:val="24"/>
          <w:szCs w:val="24"/>
          <w:u w:color="000000"/>
        </w:rPr>
        <w:t>ES</w:t>
      </w:r>
      <w:r w:rsidRPr="000B521F">
        <w:rPr>
          <w:rFonts w:ascii="Times New Roman" w:hAnsi="Times New Roman" w:cs="Times New Roman"/>
          <w:sz w:val="24"/>
          <w:szCs w:val="24"/>
          <w:u w:color="000000"/>
        </w:rPr>
        <w:tab/>
        <w:t>Evropské společenství</w:t>
      </w:r>
    </w:p>
    <w:p w:rsidR="0018040B" w:rsidRPr="000B521F" w:rsidRDefault="002B23F0" w:rsidP="0012336E">
      <w:pPr>
        <w:tabs>
          <w:tab w:val="left" w:pos="4253"/>
        </w:tabs>
        <w:spacing w:after="120" w:line="240" w:lineRule="auto"/>
        <w:ind w:left="709" w:hanging="709"/>
        <w:rPr>
          <w:rFonts w:ascii="Times New Roman" w:hAnsi="Times New Roman" w:cs="Times New Roman"/>
          <w:sz w:val="24"/>
          <w:szCs w:val="24"/>
          <w:u w:color="000000"/>
        </w:rPr>
      </w:pPr>
      <w:r w:rsidRPr="000B521F">
        <w:rPr>
          <w:rFonts w:ascii="Times New Roman" w:hAnsi="Times New Roman" w:cs="Times New Roman"/>
          <w:sz w:val="24"/>
          <w:szCs w:val="24"/>
          <w:u w:color="000000"/>
        </w:rPr>
        <w:t>ESF</w:t>
      </w:r>
      <w:r w:rsidRPr="000B521F">
        <w:rPr>
          <w:rFonts w:ascii="Times New Roman" w:hAnsi="Times New Roman" w:cs="Times New Roman"/>
          <w:sz w:val="24"/>
          <w:szCs w:val="24"/>
          <w:u w:color="000000"/>
        </w:rPr>
        <w:tab/>
      </w:r>
      <w:r w:rsidR="0012336E">
        <w:rPr>
          <w:rFonts w:ascii="Times New Roman" w:hAnsi="Times New Roman" w:cs="Times New Roman"/>
          <w:sz w:val="24"/>
          <w:szCs w:val="24"/>
          <w:u w:color="000000"/>
        </w:rPr>
        <w:tab/>
      </w:r>
      <w:r w:rsidRPr="000B521F">
        <w:rPr>
          <w:rFonts w:ascii="Times New Roman" w:hAnsi="Times New Roman" w:cs="Times New Roman"/>
          <w:sz w:val="24"/>
          <w:szCs w:val="24"/>
          <w:u w:color="000000"/>
        </w:rPr>
        <w:t>Evropský sociální fond (European</w:t>
      </w:r>
      <w:r w:rsidR="0012336E">
        <w:rPr>
          <w:rFonts w:ascii="Times New Roman" w:hAnsi="Times New Roman" w:cs="Times New Roman"/>
          <w:sz w:val="24"/>
          <w:szCs w:val="24"/>
          <w:u w:color="000000"/>
        </w:rPr>
        <w:t xml:space="preserve"> </w:t>
      </w:r>
      <w:r w:rsidRPr="000B521F">
        <w:rPr>
          <w:rFonts w:ascii="Times New Roman" w:hAnsi="Times New Roman" w:cs="Times New Roman"/>
          <w:sz w:val="24"/>
          <w:szCs w:val="24"/>
          <w:u w:color="000000"/>
        </w:rPr>
        <w:t>Social</w:t>
      </w:r>
      <w:r w:rsidR="0012336E">
        <w:rPr>
          <w:rFonts w:ascii="Times New Roman" w:hAnsi="Times New Roman" w:cs="Times New Roman"/>
          <w:sz w:val="24"/>
          <w:szCs w:val="24"/>
          <w:u w:color="000000"/>
        </w:rPr>
        <w:t xml:space="preserve"> </w:t>
      </w:r>
      <w:r w:rsidRPr="000B521F">
        <w:rPr>
          <w:rFonts w:ascii="Times New Roman" w:hAnsi="Times New Roman" w:cs="Times New Roman"/>
          <w:sz w:val="24"/>
          <w:szCs w:val="24"/>
          <w:u w:color="000000"/>
        </w:rPr>
        <w:t>Fund – ESF)</w:t>
      </w:r>
    </w:p>
    <w:p w:rsidR="0018040B" w:rsidRPr="000B521F" w:rsidRDefault="002B23F0" w:rsidP="0059011D">
      <w:pPr>
        <w:tabs>
          <w:tab w:val="left" w:pos="4253"/>
        </w:tabs>
        <w:spacing w:after="120" w:line="240" w:lineRule="auto"/>
        <w:ind w:left="4253" w:hanging="4253"/>
        <w:rPr>
          <w:rFonts w:ascii="Times New Roman" w:hAnsi="Times New Roman" w:cs="Times New Roman"/>
          <w:sz w:val="24"/>
          <w:szCs w:val="24"/>
          <w:u w:color="000000"/>
        </w:rPr>
      </w:pPr>
      <w:r w:rsidRPr="000B521F">
        <w:rPr>
          <w:rFonts w:ascii="Times New Roman" w:hAnsi="Times New Roman" w:cs="Times New Roman"/>
          <w:sz w:val="24"/>
          <w:szCs w:val="24"/>
          <w:u w:color="000000"/>
        </w:rPr>
        <w:t>ESPON</w:t>
      </w:r>
      <w:r w:rsidRPr="000B521F">
        <w:rPr>
          <w:rFonts w:ascii="Times New Roman" w:hAnsi="Times New Roman" w:cs="Times New Roman"/>
          <w:sz w:val="24"/>
          <w:szCs w:val="24"/>
          <w:u w:color="000000"/>
        </w:rPr>
        <w:tab/>
        <w:t xml:space="preserve">Operační program (Evropská monitorovací síť pro územní rozvoj </w:t>
      </w:r>
      <w:r w:rsidRPr="000B521F">
        <w:rPr>
          <w:rFonts w:ascii="Times New Roman" w:hAnsi="Times New Roman" w:cs="Times New Roman"/>
          <w:sz w:val="24"/>
          <w:szCs w:val="24"/>
        </w:rPr>
        <w:t>a soudržnost</w:t>
      </w:r>
      <w:r w:rsidRPr="000B521F">
        <w:rPr>
          <w:rFonts w:ascii="Times New Roman" w:hAnsi="Times New Roman" w:cs="Times New Roman"/>
          <w:sz w:val="24"/>
          <w:szCs w:val="24"/>
          <w:u w:color="000000"/>
        </w:rPr>
        <w:t>)</w:t>
      </w:r>
    </w:p>
    <w:p w:rsidR="0018040B" w:rsidRPr="000B521F" w:rsidRDefault="002B23F0"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ESÚS</w:t>
      </w:r>
      <w:r w:rsidRPr="000B521F">
        <w:rPr>
          <w:rFonts w:ascii="Times New Roman" w:hAnsi="Times New Roman" w:cs="Times New Roman"/>
          <w:sz w:val="24"/>
          <w:szCs w:val="24"/>
        </w:rPr>
        <w:tab/>
        <w:t>Evropské seskupení pro územní spolupráce</w:t>
      </w:r>
    </w:p>
    <w:p w:rsidR="0018040B" w:rsidRPr="000B521F" w:rsidRDefault="002B23F0"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EU</w:t>
      </w:r>
      <w:r w:rsidRPr="000B521F">
        <w:rPr>
          <w:rFonts w:ascii="Times New Roman" w:hAnsi="Times New Roman" w:cs="Times New Roman"/>
          <w:sz w:val="24"/>
          <w:szCs w:val="24"/>
        </w:rPr>
        <w:tab/>
        <w:t>Evropská unie</w:t>
      </w:r>
    </w:p>
    <w:p w:rsidR="0018040B" w:rsidRPr="000B521F" w:rsidRDefault="002B23F0" w:rsidP="0059011D">
      <w:pPr>
        <w:tabs>
          <w:tab w:val="left" w:pos="4253"/>
        </w:tabs>
        <w:spacing w:after="120" w:line="240" w:lineRule="auto"/>
        <w:ind w:left="4253" w:hanging="4253"/>
        <w:rPr>
          <w:rFonts w:ascii="Times New Roman" w:hAnsi="Times New Roman" w:cs="Times New Roman"/>
          <w:sz w:val="24"/>
          <w:szCs w:val="24"/>
        </w:rPr>
      </w:pPr>
      <w:r w:rsidRPr="000B521F">
        <w:rPr>
          <w:rFonts w:ascii="Times New Roman" w:hAnsi="Times New Roman" w:cs="Times New Roman"/>
          <w:sz w:val="24"/>
          <w:szCs w:val="24"/>
        </w:rPr>
        <w:t>EU-15</w:t>
      </w:r>
      <w:r w:rsidRPr="000B521F">
        <w:rPr>
          <w:rFonts w:ascii="Times New Roman" w:hAnsi="Times New Roman" w:cs="Times New Roman"/>
          <w:sz w:val="24"/>
          <w:szCs w:val="24"/>
        </w:rPr>
        <w:tab/>
        <w:t>15 členských států Evropské unie, které byly členy již před jejím rozšířením v roce 2004</w:t>
      </w:r>
    </w:p>
    <w:p w:rsidR="0018040B" w:rsidRPr="000B521F" w:rsidRDefault="002B23F0"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EU-27</w:t>
      </w:r>
      <w:r w:rsidRPr="000B521F">
        <w:rPr>
          <w:rFonts w:ascii="Times New Roman" w:hAnsi="Times New Roman" w:cs="Times New Roman"/>
          <w:sz w:val="24"/>
          <w:szCs w:val="24"/>
        </w:rPr>
        <w:tab/>
        <w:t>27 členských států Evropské unie</w:t>
      </w:r>
    </w:p>
    <w:p w:rsidR="0018040B" w:rsidRPr="000B521F" w:rsidRDefault="002B23F0" w:rsidP="0059011D">
      <w:pPr>
        <w:tabs>
          <w:tab w:val="left" w:pos="4253"/>
        </w:tabs>
        <w:spacing w:after="120" w:line="240" w:lineRule="auto"/>
        <w:ind w:left="4253" w:hanging="4253"/>
        <w:rPr>
          <w:rFonts w:ascii="Times New Roman" w:hAnsi="Times New Roman" w:cs="Times New Roman"/>
          <w:sz w:val="24"/>
          <w:szCs w:val="24"/>
          <w:u w:color="000000"/>
        </w:rPr>
      </w:pPr>
      <w:r w:rsidRPr="000B521F">
        <w:rPr>
          <w:rFonts w:ascii="Times New Roman" w:hAnsi="Times New Roman" w:cs="Times New Roman"/>
          <w:sz w:val="24"/>
          <w:szCs w:val="24"/>
          <w:u w:color="000000"/>
        </w:rPr>
        <w:t>EUR</w:t>
      </w:r>
      <w:r w:rsidRPr="000B521F">
        <w:rPr>
          <w:rFonts w:ascii="Times New Roman" w:hAnsi="Times New Roman" w:cs="Times New Roman"/>
          <w:sz w:val="24"/>
          <w:szCs w:val="24"/>
          <w:u w:color="000000"/>
        </w:rPr>
        <w:tab/>
        <w:t>Euro</w:t>
      </w:r>
    </w:p>
    <w:p w:rsidR="0018040B" w:rsidRPr="000B521F" w:rsidRDefault="002B23F0" w:rsidP="0059011D">
      <w:pPr>
        <w:tabs>
          <w:tab w:val="left" w:pos="4253"/>
        </w:tabs>
        <w:spacing w:after="120" w:line="240" w:lineRule="auto"/>
        <w:ind w:left="4253" w:hanging="4253"/>
        <w:rPr>
          <w:rFonts w:ascii="Times New Roman" w:hAnsi="Times New Roman" w:cs="Times New Roman"/>
          <w:sz w:val="24"/>
          <w:szCs w:val="24"/>
          <w:u w:color="000000"/>
        </w:rPr>
      </w:pPr>
      <w:r w:rsidRPr="000B521F">
        <w:rPr>
          <w:rFonts w:ascii="Times New Roman" w:hAnsi="Times New Roman" w:cs="Times New Roman"/>
          <w:sz w:val="24"/>
          <w:szCs w:val="24"/>
          <w:u w:color="000000"/>
        </w:rPr>
        <w:t>EÚS</w:t>
      </w:r>
      <w:r w:rsidRPr="000B521F">
        <w:rPr>
          <w:rFonts w:ascii="Times New Roman" w:hAnsi="Times New Roman" w:cs="Times New Roman"/>
          <w:sz w:val="24"/>
          <w:szCs w:val="24"/>
          <w:u w:color="000000"/>
        </w:rPr>
        <w:tab/>
        <w:t>Evropská územní spolupráce</w:t>
      </w:r>
    </w:p>
    <w:p w:rsidR="0018040B" w:rsidRPr="000B521F" w:rsidRDefault="002B23F0" w:rsidP="0059011D">
      <w:pPr>
        <w:tabs>
          <w:tab w:val="left" w:pos="4253"/>
        </w:tabs>
        <w:spacing w:after="120" w:line="240" w:lineRule="auto"/>
        <w:ind w:left="4253" w:hanging="4253"/>
        <w:rPr>
          <w:rFonts w:ascii="Times New Roman" w:hAnsi="Times New Roman" w:cs="Times New Roman"/>
          <w:sz w:val="24"/>
          <w:szCs w:val="24"/>
          <w:u w:color="000000"/>
        </w:rPr>
      </w:pPr>
      <w:r w:rsidRPr="000B521F">
        <w:rPr>
          <w:rFonts w:ascii="Times New Roman" w:hAnsi="Times New Roman" w:cs="Times New Roman"/>
          <w:sz w:val="24"/>
          <w:szCs w:val="24"/>
          <w:u w:color="000000"/>
        </w:rPr>
        <w:t>EZFRV</w:t>
      </w:r>
      <w:r w:rsidRPr="000B521F">
        <w:rPr>
          <w:rFonts w:ascii="Times New Roman" w:hAnsi="Times New Roman" w:cs="Times New Roman"/>
          <w:sz w:val="24"/>
          <w:szCs w:val="24"/>
          <w:u w:color="000000"/>
        </w:rPr>
        <w:tab/>
        <w:t>Evropský zemědělský fond pro rozvoj venkova (European</w:t>
      </w:r>
      <w:r w:rsidR="0012336E">
        <w:rPr>
          <w:rFonts w:ascii="Times New Roman" w:hAnsi="Times New Roman" w:cs="Times New Roman"/>
          <w:sz w:val="24"/>
          <w:szCs w:val="24"/>
          <w:u w:color="000000"/>
        </w:rPr>
        <w:t xml:space="preserve"> </w:t>
      </w:r>
      <w:r w:rsidRPr="000B521F">
        <w:rPr>
          <w:rFonts w:ascii="Times New Roman" w:hAnsi="Times New Roman" w:cs="Times New Roman"/>
          <w:sz w:val="24"/>
          <w:szCs w:val="24"/>
          <w:u w:color="000000"/>
        </w:rPr>
        <w:t>Agricultural</w:t>
      </w:r>
      <w:r w:rsidR="0012336E">
        <w:rPr>
          <w:rFonts w:ascii="Times New Roman" w:hAnsi="Times New Roman" w:cs="Times New Roman"/>
          <w:sz w:val="24"/>
          <w:szCs w:val="24"/>
          <w:u w:color="000000"/>
        </w:rPr>
        <w:t xml:space="preserve"> </w:t>
      </w:r>
      <w:r w:rsidRPr="000B521F">
        <w:rPr>
          <w:rFonts w:ascii="Times New Roman" w:hAnsi="Times New Roman" w:cs="Times New Roman"/>
          <w:sz w:val="24"/>
          <w:szCs w:val="24"/>
          <w:u w:color="000000"/>
        </w:rPr>
        <w:t>Fund</w:t>
      </w:r>
      <w:r w:rsidR="0012336E">
        <w:rPr>
          <w:rFonts w:ascii="Times New Roman" w:hAnsi="Times New Roman" w:cs="Times New Roman"/>
          <w:sz w:val="24"/>
          <w:szCs w:val="24"/>
          <w:u w:color="000000"/>
        </w:rPr>
        <w:t xml:space="preserve"> </w:t>
      </w:r>
      <w:r w:rsidRPr="000B521F">
        <w:rPr>
          <w:rFonts w:ascii="Times New Roman" w:hAnsi="Times New Roman" w:cs="Times New Roman"/>
          <w:sz w:val="24"/>
          <w:szCs w:val="24"/>
          <w:u w:color="000000"/>
        </w:rPr>
        <w:t>for</w:t>
      </w:r>
      <w:r w:rsidR="0012336E">
        <w:rPr>
          <w:rFonts w:ascii="Times New Roman" w:hAnsi="Times New Roman" w:cs="Times New Roman"/>
          <w:sz w:val="24"/>
          <w:szCs w:val="24"/>
          <w:u w:color="000000"/>
        </w:rPr>
        <w:t xml:space="preserve"> </w:t>
      </w:r>
      <w:r w:rsidRPr="000B521F">
        <w:rPr>
          <w:rFonts w:ascii="Times New Roman" w:hAnsi="Times New Roman" w:cs="Times New Roman"/>
          <w:sz w:val="24"/>
          <w:szCs w:val="24"/>
          <w:u w:color="000000"/>
        </w:rPr>
        <w:t>Rural</w:t>
      </w:r>
      <w:r w:rsidR="0012336E">
        <w:rPr>
          <w:rFonts w:ascii="Times New Roman" w:hAnsi="Times New Roman" w:cs="Times New Roman"/>
          <w:sz w:val="24"/>
          <w:szCs w:val="24"/>
          <w:u w:color="000000"/>
        </w:rPr>
        <w:t xml:space="preserve"> </w:t>
      </w:r>
      <w:r w:rsidRPr="000B521F">
        <w:rPr>
          <w:rFonts w:ascii="Times New Roman" w:hAnsi="Times New Roman" w:cs="Times New Roman"/>
          <w:sz w:val="24"/>
          <w:szCs w:val="24"/>
          <w:u w:color="000000"/>
        </w:rPr>
        <w:t xml:space="preserve">Development </w:t>
      </w:r>
      <w:r w:rsidR="0012336E">
        <w:rPr>
          <w:rFonts w:ascii="Times New Roman" w:hAnsi="Times New Roman" w:cs="Times New Roman"/>
          <w:sz w:val="24"/>
          <w:szCs w:val="24"/>
          <w:u w:color="000000"/>
        </w:rPr>
        <w:t>–</w:t>
      </w:r>
      <w:r w:rsidRPr="000B521F">
        <w:rPr>
          <w:rFonts w:ascii="Times New Roman" w:hAnsi="Times New Roman" w:cs="Times New Roman"/>
          <w:sz w:val="24"/>
          <w:szCs w:val="24"/>
          <w:u w:color="000000"/>
        </w:rPr>
        <w:t xml:space="preserve"> EAFRD)</w:t>
      </w:r>
    </w:p>
    <w:p w:rsidR="0018040B" w:rsidRPr="000B521F" w:rsidRDefault="002B23F0" w:rsidP="0059011D">
      <w:pPr>
        <w:tabs>
          <w:tab w:val="left" w:pos="4253"/>
        </w:tabs>
        <w:spacing w:after="120" w:line="240" w:lineRule="auto"/>
        <w:ind w:left="4253" w:hanging="4253"/>
        <w:rPr>
          <w:rFonts w:ascii="Times New Roman" w:hAnsi="Times New Roman" w:cs="Times New Roman"/>
          <w:sz w:val="24"/>
          <w:szCs w:val="24"/>
        </w:rPr>
      </w:pPr>
      <w:r w:rsidRPr="000B521F">
        <w:rPr>
          <w:rFonts w:ascii="Times New Roman" w:hAnsi="Times New Roman" w:cs="Times New Roman"/>
          <w:sz w:val="24"/>
          <w:szCs w:val="24"/>
        </w:rPr>
        <w:t>FIFG</w:t>
      </w:r>
      <w:r w:rsidRPr="000B521F">
        <w:rPr>
          <w:rFonts w:ascii="Times New Roman" w:hAnsi="Times New Roman" w:cs="Times New Roman"/>
          <w:sz w:val="24"/>
          <w:szCs w:val="24"/>
        </w:rPr>
        <w:tab/>
        <w:t>Finanční nástroj na podporu rybolovu (Financial Instrument for</w:t>
      </w:r>
      <w:r w:rsidR="0012336E">
        <w:rPr>
          <w:rFonts w:ascii="Times New Roman" w:hAnsi="Times New Roman" w:cs="Times New Roman"/>
          <w:sz w:val="24"/>
          <w:szCs w:val="24"/>
        </w:rPr>
        <w:t xml:space="preserve"> </w:t>
      </w:r>
      <w:r w:rsidRPr="000B521F">
        <w:rPr>
          <w:rFonts w:ascii="Times New Roman" w:hAnsi="Times New Roman" w:cs="Times New Roman"/>
          <w:sz w:val="24"/>
          <w:szCs w:val="24"/>
        </w:rPr>
        <w:t>Fisheries</w:t>
      </w:r>
      <w:r w:rsidR="0012336E">
        <w:rPr>
          <w:rFonts w:ascii="Times New Roman" w:hAnsi="Times New Roman" w:cs="Times New Roman"/>
          <w:sz w:val="24"/>
          <w:szCs w:val="24"/>
        </w:rPr>
        <w:t xml:space="preserve"> </w:t>
      </w:r>
      <w:r w:rsidRPr="000B521F">
        <w:rPr>
          <w:rFonts w:ascii="Times New Roman" w:hAnsi="Times New Roman" w:cs="Times New Roman"/>
          <w:sz w:val="24"/>
          <w:szCs w:val="24"/>
        </w:rPr>
        <w:t>Guidance)</w:t>
      </w:r>
    </w:p>
    <w:p w:rsidR="0018040B" w:rsidRPr="000B521F" w:rsidRDefault="002B23F0"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FS</w:t>
      </w:r>
      <w:r w:rsidRPr="000B521F">
        <w:rPr>
          <w:rFonts w:ascii="Times New Roman" w:hAnsi="Times New Roman" w:cs="Times New Roman"/>
          <w:sz w:val="24"/>
          <w:szCs w:val="24"/>
        </w:rPr>
        <w:tab/>
        <w:t>Fond soudržnosti (Cohesion</w:t>
      </w:r>
      <w:r w:rsidR="0012336E">
        <w:rPr>
          <w:rFonts w:ascii="Times New Roman" w:hAnsi="Times New Roman" w:cs="Times New Roman"/>
          <w:sz w:val="24"/>
          <w:szCs w:val="24"/>
        </w:rPr>
        <w:t xml:space="preserve"> </w:t>
      </w:r>
      <w:r w:rsidRPr="000B521F">
        <w:rPr>
          <w:rFonts w:ascii="Times New Roman" w:hAnsi="Times New Roman" w:cs="Times New Roman"/>
          <w:sz w:val="24"/>
          <w:szCs w:val="24"/>
        </w:rPr>
        <w:t xml:space="preserve">Fund </w:t>
      </w:r>
      <w:r w:rsidR="0012336E">
        <w:rPr>
          <w:rFonts w:ascii="Times New Roman" w:hAnsi="Times New Roman" w:cs="Times New Roman"/>
          <w:sz w:val="24"/>
          <w:szCs w:val="24"/>
        </w:rPr>
        <w:t>–</w:t>
      </w:r>
      <w:r w:rsidRPr="000B521F">
        <w:rPr>
          <w:rFonts w:ascii="Times New Roman" w:hAnsi="Times New Roman" w:cs="Times New Roman"/>
          <w:sz w:val="24"/>
          <w:szCs w:val="24"/>
        </w:rPr>
        <w:t xml:space="preserve"> CF)</w:t>
      </w:r>
    </w:p>
    <w:p w:rsidR="0018040B" w:rsidRPr="000B521F" w:rsidRDefault="002B23F0" w:rsidP="0059011D">
      <w:pPr>
        <w:tabs>
          <w:tab w:val="left" w:pos="4253"/>
        </w:tabs>
        <w:spacing w:after="120" w:line="240" w:lineRule="auto"/>
        <w:ind w:left="4253" w:hanging="4253"/>
        <w:rPr>
          <w:rFonts w:ascii="Times New Roman" w:hAnsi="Times New Roman" w:cs="Times New Roman"/>
          <w:sz w:val="24"/>
          <w:szCs w:val="24"/>
        </w:rPr>
      </w:pPr>
      <w:r w:rsidRPr="000B521F">
        <w:rPr>
          <w:rFonts w:ascii="Times New Roman" w:hAnsi="Times New Roman" w:cs="Times New Roman"/>
          <w:sz w:val="24"/>
          <w:szCs w:val="24"/>
        </w:rPr>
        <w:t>GCI</w:t>
      </w:r>
      <w:r w:rsidRPr="000B521F">
        <w:rPr>
          <w:rFonts w:ascii="Times New Roman" w:hAnsi="Times New Roman" w:cs="Times New Roman"/>
          <w:sz w:val="24"/>
          <w:szCs w:val="24"/>
        </w:rPr>
        <w:tab/>
        <w:t>Index globální konkurenceschopnosti (Global</w:t>
      </w:r>
      <w:r w:rsidR="0012336E">
        <w:rPr>
          <w:rFonts w:ascii="Times New Roman" w:hAnsi="Times New Roman" w:cs="Times New Roman"/>
          <w:sz w:val="24"/>
          <w:szCs w:val="24"/>
        </w:rPr>
        <w:t xml:space="preserve"> </w:t>
      </w:r>
      <w:r w:rsidRPr="000B521F">
        <w:rPr>
          <w:rFonts w:ascii="Times New Roman" w:hAnsi="Times New Roman" w:cs="Times New Roman"/>
          <w:sz w:val="24"/>
          <w:szCs w:val="24"/>
        </w:rPr>
        <w:t>Competitivness Index)</w:t>
      </w:r>
    </w:p>
    <w:p w:rsidR="0018040B" w:rsidRPr="000B521F" w:rsidRDefault="002B23F0"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HDP</w:t>
      </w:r>
      <w:r w:rsidRPr="000B521F">
        <w:rPr>
          <w:rFonts w:ascii="Times New Roman" w:hAnsi="Times New Roman" w:cs="Times New Roman"/>
          <w:sz w:val="24"/>
          <w:szCs w:val="24"/>
        </w:rPr>
        <w:tab/>
        <w:t>Hrubý domácí produkt</w:t>
      </w:r>
    </w:p>
    <w:p w:rsidR="0018040B" w:rsidRPr="000B521F" w:rsidRDefault="002B23F0" w:rsidP="0059011D">
      <w:pPr>
        <w:tabs>
          <w:tab w:val="left" w:pos="4253"/>
        </w:tabs>
        <w:spacing w:after="120" w:line="240" w:lineRule="auto"/>
        <w:ind w:left="4253" w:hanging="4253"/>
        <w:rPr>
          <w:rFonts w:ascii="Times New Roman" w:hAnsi="Times New Roman" w:cs="Times New Roman"/>
          <w:sz w:val="24"/>
          <w:szCs w:val="24"/>
        </w:rPr>
      </w:pPr>
      <w:r w:rsidRPr="000B521F">
        <w:rPr>
          <w:rFonts w:ascii="Times New Roman" w:hAnsi="Times New Roman" w:cs="Times New Roman"/>
          <w:sz w:val="24"/>
          <w:szCs w:val="24"/>
        </w:rPr>
        <w:t>HRDP</w:t>
      </w:r>
      <w:r w:rsidRPr="000B521F">
        <w:rPr>
          <w:rFonts w:ascii="Times New Roman" w:hAnsi="Times New Roman" w:cs="Times New Roman"/>
          <w:sz w:val="24"/>
          <w:szCs w:val="24"/>
        </w:rPr>
        <w:tab/>
        <w:t>Horizontální plán rozvoje venko</w:t>
      </w:r>
      <w:r w:rsidR="0012336E">
        <w:rPr>
          <w:rFonts w:ascii="Times New Roman" w:hAnsi="Times New Roman" w:cs="Times New Roman"/>
          <w:sz w:val="24"/>
          <w:szCs w:val="24"/>
        </w:rPr>
        <w:t>va ČR na období 2004–</w:t>
      </w:r>
      <w:r w:rsidRPr="000B521F">
        <w:rPr>
          <w:rFonts w:ascii="Times New Roman" w:hAnsi="Times New Roman" w:cs="Times New Roman"/>
          <w:sz w:val="24"/>
          <w:szCs w:val="24"/>
        </w:rPr>
        <w:t>2006</w:t>
      </w:r>
    </w:p>
    <w:p w:rsidR="0018040B" w:rsidRPr="000B521F" w:rsidRDefault="002B23F0"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HU</w:t>
      </w:r>
      <w:r w:rsidRPr="000B521F">
        <w:rPr>
          <w:rFonts w:ascii="Times New Roman" w:hAnsi="Times New Roman" w:cs="Times New Roman"/>
          <w:sz w:val="24"/>
          <w:szCs w:val="24"/>
        </w:rPr>
        <w:tab/>
        <w:t>Maďarsko</w:t>
      </w:r>
    </w:p>
    <w:p w:rsidR="0018040B" w:rsidRPr="000B521F" w:rsidRDefault="002B23F0" w:rsidP="0059011D">
      <w:pPr>
        <w:tabs>
          <w:tab w:val="left" w:pos="4253"/>
        </w:tabs>
        <w:spacing w:after="120" w:line="240" w:lineRule="auto"/>
        <w:ind w:left="4253" w:hanging="4253"/>
        <w:rPr>
          <w:rFonts w:ascii="Times New Roman" w:hAnsi="Times New Roman" w:cs="Times New Roman"/>
          <w:sz w:val="24"/>
          <w:szCs w:val="24"/>
        </w:rPr>
      </w:pPr>
      <w:r w:rsidRPr="000B521F">
        <w:rPr>
          <w:rFonts w:ascii="Times New Roman" w:hAnsi="Times New Roman" w:cs="Times New Roman"/>
          <w:sz w:val="24"/>
          <w:szCs w:val="24"/>
        </w:rPr>
        <w:t>ICT</w:t>
      </w:r>
      <w:r w:rsidRPr="000B521F">
        <w:rPr>
          <w:rFonts w:ascii="Times New Roman" w:hAnsi="Times New Roman" w:cs="Times New Roman"/>
          <w:sz w:val="24"/>
          <w:szCs w:val="24"/>
        </w:rPr>
        <w:tab/>
        <w:t>Informační a komunikační technologie (Information and Communication Technologies)</w:t>
      </w:r>
    </w:p>
    <w:p w:rsidR="0018040B" w:rsidRPr="000B521F" w:rsidRDefault="002B23F0" w:rsidP="0059011D">
      <w:pPr>
        <w:tabs>
          <w:tab w:val="left" w:pos="4253"/>
        </w:tabs>
        <w:spacing w:after="120" w:line="240" w:lineRule="auto"/>
        <w:rPr>
          <w:rFonts w:ascii="Times New Roman" w:hAnsi="Times New Roman" w:cs="Times New Roman"/>
          <w:sz w:val="24"/>
          <w:szCs w:val="24"/>
          <w:u w:color="000000"/>
        </w:rPr>
      </w:pPr>
      <w:r w:rsidRPr="000B521F">
        <w:rPr>
          <w:rFonts w:ascii="Times New Roman" w:hAnsi="Times New Roman" w:cs="Times New Roman"/>
          <w:sz w:val="24"/>
          <w:szCs w:val="24"/>
          <w:u w:color="000000"/>
        </w:rPr>
        <w:t>INTERACT</w:t>
      </w:r>
      <w:r w:rsidRPr="000B521F">
        <w:rPr>
          <w:rFonts w:ascii="Times New Roman" w:hAnsi="Times New Roman" w:cs="Times New Roman"/>
          <w:sz w:val="24"/>
          <w:szCs w:val="24"/>
          <w:u w:color="000000"/>
        </w:rPr>
        <w:tab/>
        <w:t>Název operačního programu</w:t>
      </w:r>
      <w:r w:rsidRPr="000B521F">
        <w:rPr>
          <w:rFonts w:ascii="Times New Roman" w:hAnsi="Times New Roman" w:cs="Times New Roman"/>
          <w:sz w:val="24"/>
          <w:szCs w:val="24"/>
          <w:u w:color="000000"/>
        </w:rPr>
        <w:tab/>
      </w:r>
    </w:p>
    <w:p w:rsidR="0018040B" w:rsidRPr="000B521F" w:rsidRDefault="002B23F0" w:rsidP="0059011D">
      <w:pPr>
        <w:tabs>
          <w:tab w:val="left" w:pos="4253"/>
        </w:tabs>
        <w:spacing w:after="120" w:line="240" w:lineRule="auto"/>
        <w:rPr>
          <w:rFonts w:ascii="Times New Roman" w:hAnsi="Times New Roman" w:cs="Times New Roman"/>
          <w:sz w:val="24"/>
          <w:szCs w:val="24"/>
          <w:u w:color="000000"/>
        </w:rPr>
      </w:pPr>
      <w:r w:rsidRPr="000B521F">
        <w:rPr>
          <w:rFonts w:ascii="Times New Roman" w:hAnsi="Times New Roman" w:cs="Times New Roman"/>
          <w:sz w:val="24"/>
          <w:szCs w:val="24"/>
          <w:u w:color="000000"/>
        </w:rPr>
        <w:t>INTERREG IVC</w:t>
      </w:r>
      <w:r w:rsidRPr="000B521F">
        <w:rPr>
          <w:rFonts w:ascii="Times New Roman" w:hAnsi="Times New Roman" w:cs="Times New Roman"/>
          <w:sz w:val="24"/>
          <w:szCs w:val="24"/>
          <w:u w:color="000000"/>
        </w:rPr>
        <w:tab/>
        <w:t>Operační program</w:t>
      </w:r>
      <w:r w:rsidRPr="000B521F">
        <w:rPr>
          <w:rFonts w:ascii="Times New Roman" w:hAnsi="Times New Roman" w:cs="Times New Roman"/>
          <w:sz w:val="24"/>
          <w:szCs w:val="24"/>
        </w:rPr>
        <w:t xml:space="preserve"> meziregionální spolupráce</w:t>
      </w:r>
    </w:p>
    <w:p w:rsidR="0018040B" w:rsidRPr="000B521F" w:rsidRDefault="002B23F0"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IOP</w:t>
      </w:r>
      <w:r w:rsidRPr="000B521F">
        <w:rPr>
          <w:rFonts w:ascii="Times New Roman" w:hAnsi="Times New Roman" w:cs="Times New Roman"/>
          <w:sz w:val="24"/>
          <w:szCs w:val="24"/>
        </w:rPr>
        <w:tab/>
        <w:t>Integrovaný operační program</w:t>
      </w:r>
    </w:p>
    <w:p w:rsidR="0018040B" w:rsidRPr="000B521F" w:rsidRDefault="002B23F0"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IOR</w:t>
      </w:r>
      <w:r w:rsidRPr="000B521F">
        <w:rPr>
          <w:rFonts w:ascii="Times New Roman" w:hAnsi="Times New Roman" w:cs="Times New Roman"/>
          <w:sz w:val="24"/>
          <w:szCs w:val="24"/>
        </w:rPr>
        <w:tab/>
        <w:t>Integrovaná ochrana rostlin</w:t>
      </w:r>
    </w:p>
    <w:p w:rsidR="0018040B" w:rsidRPr="000B521F" w:rsidRDefault="002B23F0"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IPRÚ</w:t>
      </w:r>
      <w:r w:rsidRPr="000B521F">
        <w:rPr>
          <w:rFonts w:ascii="Times New Roman" w:hAnsi="Times New Roman" w:cs="Times New Roman"/>
          <w:sz w:val="24"/>
          <w:szCs w:val="24"/>
        </w:rPr>
        <w:tab/>
        <w:t>Integrovaný plán rozvoje území</w:t>
      </w:r>
    </w:p>
    <w:p w:rsidR="0018040B" w:rsidRPr="000B521F" w:rsidRDefault="002B23F0"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IROP</w:t>
      </w:r>
      <w:r w:rsidRPr="000B521F">
        <w:rPr>
          <w:rFonts w:ascii="Times New Roman" w:hAnsi="Times New Roman" w:cs="Times New Roman"/>
          <w:sz w:val="24"/>
          <w:szCs w:val="24"/>
        </w:rPr>
        <w:tab/>
        <w:t>Integrovaný regionální operační program</w:t>
      </w:r>
    </w:p>
    <w:p w:rsidR="0018040B" w:rsidRPr="000B521F" w:rsidRDefault="002B23F0"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IRÚ</w:t>
      </w:r>
      <w:r w:rsidRPr="000B521F">
        <w:rPr>
          <w:rFonts w:ascii="Times New Roman" w:hAnsi="Times New Roman" w:cs="Times New Roman"/>
          <w:sz w:val="24"/>
          <w:szCs w:val="24"/>
        </w:rPr>
        <w:tab/>
        <w:t>Integrovaný rozvoj území</w:t>
      </w:r>
    </w:p>
    <w:p w:rsidR="0018040B" w:rsidRPr="000B521F" w:rsidRDefault="002B23F0"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IT</w:t>
      </w:r>
      <w:r w:rsidRPr="000B521F">
        <w:rPr>
          <w:rFonts w:ascii="Times New Roman" w:hAnsi="Times New Roman" w:cs="Times New Roman"/>
          <w:sz w:val="24"/>
          <w:szCs w:val="24"/>
        </w:rPr>
        <w:tab/>
        <w:t>Informační technologie</w:t>
      </w:r>
    </w:p>
    <w:p w:rsidR="0018040B" w:rsidRPr="000B521F" w:rsidRDefault="002B23F0" w:rsidP="0059011D">
      <w:pPr>
        <w:tabs>
          <w:tab w:val="left" w:pos="4253"/>
        </w:tabs>
        <w:spacing w:after="120" w:line="240" w:lineRule="auto"/>
        <w:ind w:left="4253" w:hanging="4253"/>
        <w:rPr>
          <w:rFonts w:ascii="Times New Roman" w:hAnsi="Times New Roman" w:cs="Times New Roman"/>
          <w:sz w:val="24"/>
          <w:szCs w:val="24"/>
        </w:rPr>
      </w:pPr>
      <w:r w:rsidRPr="000B521F">
        <w:rPr>
          <w:rFonts w:ascii="Times New Roman" w:hAnsi="Times New Roman" w:cs="Times New Roman"/>
          <w:sz w:val="24"/>
          <w:szCs w:val="24"/>
        </w:rPr>
        <w:t>ITI</w:t>
      </w:r>
      <w:r w:rsidRPr="000B521F">
        <w:rPr>
          <w:rFonts w:ascii="Times New Roman" w:hAnsi="Times New Roman" w:cs="Times New Roman"/>
          <w:sz w:val="24"/>
          <w:szCs w:val="24"/>
        </w:rPr>
        <w:tab/>
        <w:t>Integrované územní investice (Integrated</w:t>
      </w:r>
      <w:r w:rsidR="0012336E">
        <w:rPr>
          <w:rFonts w:ascii="Times New Roman" w:hAnsi="Times New Roman" w:cs="Times New Roman"/>
          <w:sz w:val="24"/>
          <w:szCs w:val="24"/>
        </w:rPr>
        <w:t xml:space="preserve"> </w:t>
      </w:r>
      <w:r w:rsidRPr="000B521F">
        <w:rPr>
          <w:rFonts w:ascii="Times New Roman" w:hAnsi="Times New Roman" w:cs="Times New Roman"/>
          <w:sz w:val="24"/>
          <w:szCs w:val="24"/>
        </w:rPr>
        <w:t>Territorial</w:t>
      </w:r>
      <w:r w:rsidR="0012336E">
        <w:rPr>
          <w:rFonts w:ascii="Times New Roman" w:hAnsi="Times New Roman" w:cs="Times New Roman"/>
          <w:sz w:val="24"/>
          <w:szCs w:val="24"/>
        </w:rPr>
        <w:t xml:space="preserve"> </w:t>
      </w:r>
      <w:r w:rsidRPr="000B521F">
        <w:rPr>
          <w:rFonts w:ascii="Times New Roman" w:hAnsi="Times New Roman" w:cs="Times New Roman"/>
          <w:sz w:val="24"/>
          <w:szCs w:val="24"/>
        </w:rPr>
        <w:t>Investments)</w:t>
      </w:r>
    </w:p>
    <w:p w:rsidR="0018040B" w:rsidRPr="000B521F" w:rsidRDefault="002B23F0" w:rsidP="0059011D">
      <w:pPr>
        <w:tabs>
          <w:tab w:val="left" w:pos="4253"/>
        </w:tabs>
        <w:spacing w:after="120" w:line="240" w:lineRule="auto"/>
        <w:ind w:left="4253" w:hanging="4253"/>
        <w:rPr>
          <w:rFonts w:ascii="Times New Roman" w:hAnsi="Times New Roman" w:cs="Times New Roman"/>
          <w:sz w:val="24"/>
          <w:szCs w:val="24"/>
        </w:rPr>
      </w:pPr>
      <w:r w:rsidRPr="000B521F">
        <w:rPr>
          <w:rFonts w:ascii="Times New Roman" w:hAnsi="Times New Roman" w:cs="Times New Roman"/>
          <w:sz w:val="24"/>
          <w:szCs w:val="24"/>
        </w:rPr>
        <w:t>ITS</w:t>
      </w:r>
      <w:r w:rsidRPr="000B521F">
        <w:rPr>
          <w:rFonts w:ascii="Times New Roman" w:hAnsi="Times New Roman" w:cs="Times New Roman"/>
          <w:sz w:val="24"/>
          <w:szCs w:val="24"/>
        </w:rPr>
        <w:tab/>
        <w:t>Inteligentní dopravní systémy (Intelligent</w:t>
      </w:r>
      <w:r w:rsidR="0012336E">
        <w:rPr>
          <w:rFonts w:ascii="Times New Roman" w:hAnsi="Times New Roman" w:cs="Times New Roman"/>
          <w:sz w:val="24"/>
          <w:szCs w:val="24"/>
        </w:rPr>
        <w:t xml:space="preserve"> </w:t>
      </w:r>
      <w:r w:rsidRPr="000B521F">
        <w:rPr>
          <w:rFonts w:ascii="Times New Roman" w:hAnsi="Times New Roman" w:cs="Times New Roman"/>
          <w:sz w:val="24"/>
          <w:szCs w:val="24"/>
        </w:rPr>
        <w:t>Transportation Systems )</w:t>
      </w:r>
    </w:p>
    <w:p w:rsidR="00567824" w:rsidRPr="000B521F" w:rsidRDefault="00567824" w:rsidP="0059011D">
      <w:pPr>
        <w:tabs>
          <w:tab w:val="left" w:pos="4253"/>
        </w:tabs>
        <w:spacing w:after="120" w:line="240" w:lineRule="auto"/>
        <w:ind w:left="4253" w:hanging="4253"/>
        <w:rPr>
          <w:rFonts w:ascii="Times New Roman" w:hAnsi="Times New Roman" w:cs="Times New Roman"/>
          <w:sz w:val="24"/>
          <w:szCs w:val="24"/>
        </w:rPr>
      </w:pPr>
      <w:r w:rsidRPr="000B521F">
        <w:rPr>
          <w:rFonts w:ascii="Times New Roman" w:hAnsi="Times New Roman" w:cs="Times New Roman"/>
          <w:sz w:val="24"/>
          <w:szCs w:val="24"/>
        </w:rPr>
        <w:t>IZM</w:t>
      </w:r>
      <w:r w:rsidRPr="000B521F">
        <w:rPr>
          <w:rFonts w:ascii="Times New Roman" w:hAnsi="Times New Roman" w:cs="Times New Roman"/>
          <w:sz w:val="24"/>
          <w:szCs w:val="24"/>
        </w:rPr>
        <w:tab/>
        <w:t>Iniciativa na podporu zaměstnanosti mladých lidí</w:t>
      </w:r>
    </w:p>
    <w:p w:rsidR="0018040B" w:rsidRPr="000B521F" w:rsidRDefault="002B23F0" w:rsidP="0059011D">
      <w:pPr>
        <w:tabs>
          <w:tab w:val="left" w:pos="4253"/>
        </w:tabs>
        <w:spacing w:after="120" w:line="240" w:lineRule="auto"/>
        <w:ind w:left="4253" w:hanging="4253"/>
        <w:rPr>
          <w:rFonts w:ascii="Times New Roman" w:hAnsi="Times New Roman" w:cs="Times New Roman"/>
          <w:sz w:val="24"/>
          <w:szCs w:val="24"/>
        </w:rPr>
      </w:pPr>
      <w:r w:rsidRPr="000B521F">
        <w:rPr>
          <w:rFonts w:ascii="Times New Roman" w:hAnsi="Times New Roman" w:cs="Times New Roman"/>
          <w:sz w:val="24"/>
          <w:szCs w:val="24"/>
        </w:rPr>
        <w:t>JTS</w:t>
      </w:r>
      <w:r w:rsidRPr="000B521F">
        <w:rPr>
          <w:rFonts w:ascii="Times New Roman" w:hAnsi="Times New Roman" w:cs="Times New Roman"/>
          <w:sz w:val="24"/>
          <w:szCs w:val="24"/>
        </w:rPr>
        <w:tab/>
        <w:t>Společný technický sekretariát (Joint Technical</w:t>
      </w:r>
      <w:r w:rsidR="0012336E">
        <w:rPr>
          <w:rFonts w:ascii="Times New Roman" w:hAnsi="Times New Roman" w:cs="Times New Roman"/>
          <w:sz w:val="24"/>
          <w:szCs w:val="24"/>
        </w:rPr>
        <w:t xml:space="preserve"> </w:t>
      </w:r>
      <w:r w:rsidRPr="000B521F">
        <w:rPr>
          <w:rFonts w:ascii="Times New Roman" w:hAnsi="Times New Roman" w:cs="Times New Roman"/>
          <w:sz w:val="24"/>
          <w:szCs w:val="24"/>
        </w:rPr>
        <w:t>Secretariat)</w:t>
      </w:r>
    </w:p>
    <w:p w:rsidR="0018040B" w:rsidRPr="000B521F" w:rsidRDefault="002B23F0"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LEADER</w:t>
      </w:r>
      <w:r w:rsidRPr="000B521F">
        <w:rPr>
          <w:rFonts w:ascii="Times New Roman" w:hAnsi="Times New Roman" w:cs="Times New Roman"/>
          <w:sz w:val="24"/>
          <w:szCs w:val="24"/>
        </w:rPr>
        <w:tab/>
        <w:t>Program zaměřený na podporu venkovských území</w:t>
      </w:r>
    </w:p>
    <w:p w:rsidR="0018040B" w:rsidRPr="000B521F" w:rsidRDefault="002B23F0"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MA</w:t>
      </w:r>
      <w:r w:rsidRPr="000B521F">
        <w:rPr>
          <w:rFonts w:ascii="Times New Roman" w:hAnsi="Times New Roman" w:cs="Times New Roman"/>
          <w:sz w:val="24"/>
          <w:szCs w:val="24"/>
        </w:rPr>
        <w:tab/>
        <w:t>Master of</w:t>
      </w:r>
      <w:r w:rsidR="0012336E">
        <w:rPr>
          <w:rFonts w:ascii="Times New Roman" w:hAnsi="Times New Roman" w:cs="Times New Roman"/>
          <w:sz w:val="24"/>
          <w:szCs w:val="24"/>
        </w:rPr>
        <w:t xml:space="preserve"> </w:t>
      </w:r>
      <w:r w:rsidRPr="000B521F">
        <w:rPr>
          <w:rFonts w:ascii="Times New Roman" w:hAnsi="Times New Roman" w:cs="Times New Roman"/>
          <w:sz w:val="24"/>
          <w:szCs w:val="24"/>
        </w:rPr>
        <w:t>Arts</w:t>
      </w:r>
    </w:p>
    <w:p w:rsidR="0018040B" w:rsidRPr="000B521F" w:rsidRDefault="002B23F0"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MAS</w:t>
      </w:r>
      <w:r w:rsidRPr="000B521F">
        <w:rPr>
          <w:rFonts w:ascii="Times New Roman" w:hAnsi="Times New Roman" w:cs="Times New Roman"/>
          <w:sz w:val="24"/>
          <w:szCs w:val="24"/>
        </w:rPr>
        <w:tab/>
        <w:t>Místní akční skupina</w:t>
      </w:r>
    </w:p>
    <w:p w:rsidR="0018040B" w:rsidRPr="000B521F" w:rsidRDefault="002B23F0"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MD</w:t>
      </w:r>
      <w:r w:rsidRPr="000B521F">
        <w:rPr>
          <w:rFonts w:ascii="Times New Roman" w:hAnsi="Times New Roman" w:cs="Times New Roman"/>
          <w:sz w:val="24"/>
          <w:szCs w:val="24"/>
        </w:rPr>
        <w:tab/>
        <w:t>Ministerstvo dopravy ČR</w:t>
      </w:r>
    </w:p>
    <w:p w:rsidR="0018040B" w:rsidRPr="000B521F" w:rsidRDefault="002B23F0"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MEPS</w:t>
      </w:r>
      <w:r w:rsidRPr="000B521F">
        <w:rPr>
          <w:rFonts w:ascii="Times New Roman" w:hAnsi="Times New Roman" w:cs="Times New Roman"/>
          <w:sz w:val="24"/>
          <w:szCs w:val="24"/>
        </w:rPr>
        <w:tab/>
        <w:t>Mezirezortní expertní poradní skupina</w:t>
      </w:r>
    </w:p>
    <w:p w:rsidR="0018040B" w:rsidRPr="000B521F" w:rsidRDefault="002B23F0"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MMR</w:t>
      </w:r>
      <w:r w:rsidRPr="000B521F">
        <w:rPr>
          <w:rFonts w:ascii="Times New Roman" w:hAnsi="Times New Roman" w:cs="Times New Roman"/>
          <w:sz w:val="24"/>
          <w:szCs w:val="24"/>
        </w:rPr>
        <w:tab/>
        <w:t>Ministerstvo pro místní rozvoj ČR</w:t>
      </w:r>
    </w:p>
    <w:p w:rsidR="0018040B" w:rsidRPr="000B521F" w:rsidRDefault="002B23F0"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MPO</w:t>
      </w:r>
      <w:r w:rsidRPr="000B521F">
        <w:rPr>
          <w:rFonts w:ascii="Times New Roman" w:hAnsi="Times New Roman" w:cs="Times New Roman"/>
          <w:sz w:val="24"/>
          <w:szCs w:val="24"/>
        </w:rPr>
        <w:tab/>
        <w:t>Ministerstvo průmyslu a obchodu ČR</w:t>
      </w:r>
    </w:p>
    <w:p w:rsidR="0018040B" w:rsidRPr="000B521F" w:rsidRDefault="002B23F0"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MPSV</w:t>
      </w:r>
      <w:r w:rsidRPr="000B521F">
        <w:rPr>
          <w:rFonts w:ascii="Times New Roman" w:hAnsi="Times New Roman" w:cs="Times New Roman"/>
          <w:sz w:val="24"/>
          <w:szCs w:val="24"/>
        </w:rPr>
        <w:tab/>
        <w:t>Ministerstvo práce a sociálních věcí ČR</w:t>
      </w:r>
    </w:p>
    <w:p w:rsidR="0018040B" w:rsidRPr="000B521F" w:rsidRDefault="002B23F0" w:rsidP="0059011D">
      <w:pPr>
        <w:tabs>
          <w:tab w:val="left" w:pos="4253"/>
          <w:tab w:val="left" w:pos="6924"/>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MRS</w:t>
      </w:r>
      <w:r w:rsidRPr="000B521F">
        <w:rPr>
          <w:rFonts w:ascii="Times New Roman" w:hAnsi="Times New Roman" w:cs="Times New Roman"/>
          <w:sz w:val="24"/>
          <w:szCs w:val="24"/>
        </w:rPr>
        <w:tab/>
        <w:t>Místní rozvojové strategie</w:t>
      </w:r>
    </w:p>
    <w:p w:rsidR="0018040B" w:rsidRPr="000B521F" w:rsidRDefault="002B23F0" w:rsidP="0059011D">
      <w:pPr>
        <w:tabs>
          <w:tab w:val="left" w:pos="4253"/>
          <w:tab w:val="left" w:pos="6924"/>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MSP</w:t>
      </w:r>
      <w:r w:rsidRPr="000B521F">
        <w:rPr>
          <w:rFonts w:ascii="Times New Roman" w:hAnsi="Times New Roman" w:cs="Times New Roman"/>
          <w:sz w:val="24"/>
          <w:szCs w:val="24"/>
        </w:rPr>
        <w:tab/>
        <w:t>Malé a střední podniky</w:t>
      </w:r>
      <w:r w:rsidRPr="000B521F">
        <w:rPr>
          <w:rFonts w:ascii="Times New Roman" w:hAnsi="Times New Roman" w:cs="Times New Roman"/>
          <w:sz w:val="24"/>
          <w:szCs w:val="24"/>
        </w:rPr>
        <w:tab/>
      </w:r>
    </w:p>
    <w:p w:rsidR="0018040B" w:rsidRPr="000B521F" w:rsidRDefault="002B23F0"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MŠMT</w:t>
      </w:r>
      <w:r w:rsidRPr="000B521F">
        <w:rPr>
          <w:rFonts w:ascii="Times New Roman" w:hAnsi="Times New Roman" w:cs="Times New Roman"/>
          <w:sz w:val="24"/>
          <w:szCs w:val="24"/>
        </w:rPr>
        <w:tab/>
        <w:t>Ministerstvo školství, mládeže a tělovýchovy ČR</w:t>
      </w:r>
    </w:p>
    <w:p w:rsidR="0018040B" w:rsidRPr="000B521F" w:rsidRDefault="002B23F0"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MZe</w:t>
      </w:r>
      <w:r w:rsidRPr="000B521F">
        <w:rPr>
          <w:rFonts w:ascii="Times New Roman" w:hAnsi="Times New Roman" w:cs="Times New Roman"/>
          <w:sz w:val="24"/>
          <w:szCs w:val="24"/>
        </w:rPr>
        <w:tab/>
        <w:t>Ministerstvo zemědělství</w:t>
      </w:r>
    </w:p>
    <w:p w:rsidR="0018040B" w:rsidRPr="000B521F" w:rsidRDefault="002B23F0"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MŽP</w:t>
      </w:r>
      <w:r w:rsidRPr="000B521F">
        <w:rPr>
          <w:rFonts w:ascii="Times New Roman" w:hAnsi="Times New Roman" w:cs="Times New Roman"/>
          <w:sz w:val="24"/>
          <w:szCs w:val="24"/>
        </w:rPr>
        <w:tab/>
        <w:t>Ministerstvo životního prostředí ČR</w:t>
      </w:r>
    </w:p>
    <w:p w:rsidR="0018040B" w:rsidRPr="000B521F" w:rsidRDefault="002B23F0" w:rsidP="0059011D">
      <w:pPr>
        <w:tabs>
          <w:tab w:val="left" w:pos="4253"/>
        </w:tabs>
        <w:spacing w:after="120" w:line="240" w:lineRule="auto"/>
        <w:ind w:left="4253" w:hanging="4253"/>
        <w:rPr>
          <w:rFonts w:ascii="Times New Roman" w:hAnsi="Times New Roman" w:cs="Times New Roman"/>
          <w:sz w:val="24"/>
          <w:szCs w:val="24"/>
        </w:rPr>
      </w:pPr>
      <w:r w:rsidRPr="000B521F">
        <w:rPr>
          <w:rFonts w:ascii="Times New Roman" w:hAnsi="Times New Roman" w:cs="Times New Roman"/>
          <w:sz w:val="24"/>
          <w:szCs w:val="24"/>
        </w:rPr>
        <w:t>NATURA 2000</w:t>
      </w:r>
      <w:r w:rsidRPr="000B521F">
        <w:rPr>
          <w:rFonts w:ascii="Times New Roman" w:hAnsi="Times New Roman" w:cs="Times New Roman"/>
          <w:sz w:val="24"/>
          <w:szCs w:val="24"/>
        </w:rPr>
        <w:tab/>
        <w:t>Soustava chráněných území, které vytvářejí na svém území podle jednotných principů všechny státy EU</w:t>
      </w:r>
    </w:p>
    <w:p w:rsidR="0018040B" w:rsidRPr="000B521F" w:rsidRDefault="002B23F0"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NCP</w:t>
      </w:r>
      <w:r w:rsidRPr="000B521F">
        <w:rPr>
          <w:rFonts w:ascii="Times New Roman" w:hAnsi="Times New Roman" w:cs="Times New Roman"/>
          <w:sz w:val="24"/>
          <w:szCs w:val="24"/>
        </w:rPr>
        <w:tab/>
        <w:t>Národní kontaktní bod (National</w:t>
      </w:r>
      <w:r w:rsidR="0012336E">
        <w:rPr>
          <w:rFonts w:ascii="Times New Roman" w:hAnsi="Times New Roman" w:cs="Times New Roman"/>
          <w:sz w:val="24"/>
          <w:szCs w:val="24"/>
        </w:rPr>
        <w:t xml:space="preserve"> </w:t>
      </w:r>
      <w:r w:rsidRPr="000B521F">
        <w:rPr>
          <w:rFonts w:ascii="Times New Roman" w:hAnsi="Times New Roman" w:cs="Times New Roman"/>
          <w:sz w:val="24"/>
          <w:szCs w:val="24"/>
        </w:rPr>
        <w:t>Contact Point)</w:t>
      </w:r>
    </w:p>
    <w:p w:rsidR="0018040B" w:rsidRPr="000B521F" w:rsidRDefault="002B23F0"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NH</w:t>
      </w:r>
      <w:r w:rsidRPr="000B521F">
        <w:rPr>
          <w:rFonts w:ascii="Times New Roman" w:hAnsi="Times New Roman" w:cs="Times New Roman"/>
          <w:sz w:val="24"/>
          <w:szCs w:val="24"/>
        </w:rPr>
        <w:tab/>
        <w:t>Národní hospodářství</w:t>
      </w:r>
    </w:p>
    <w:p w:rsidR="0018040B" w:rsidRPr="000B521F" w:rsidRDefault="002B23F0"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NOK</w:t>
      </w:r>
      <w:r w:rsidRPr="000B521F">
        <w:rPr>
          <w:rFonts w:ascii="Times New Roman" w:hAnsi="Times New Roman" w:cs="Times New Roman"/>
          <w:sz w:val="24"/>
          <w:szCs w:val="24"/>
        </w:rPr>
        <w:tab/>
        <w:t>Národní orgán pro koordinaci</w:t>
      </w:r>
    </w:p>
    <w:p w:rsidR="0018040B" w:rsidRPr="000B521F" w:rsidRDefault="002B23F0"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NPR</w:t>
      </w:r>
      <w:r w:rsidRPr="000B521F">
        <w:rPr>
          <w:rFonts w:ascii="Times New Roman" w:hAnsi="Times New Roman" w:cs="Times New Roman"/>
          <w:sz w:val="24"/>
          <w:szCs w:val="24"/>
        </w:rPr>
        <w:tab/>
        <w:t>Národní program reforem ČR</w:t>
      </w:r>
    </w:p>
    <w:p w:rsidR="0018040B" w:rsidRPr="000B521F" w:rsidRDefault="002B23F0"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NRP</w:t>
      </w:r>
      <w:r w:rsidRPr="000B521F">
        <w:rPr>
          <w:rFonts w:ascii="Times New Roman" w:hAnsi="Times New Roman" w:cs="Times New Roman"/>
          <w:sz w:val="24"/>
          <w:szCs w:val="24"/>
        </w:rPr>
        <w:tab/>
        <w:t>Národní rozvojové priority</w:t>
      </w:r>
    </w:p>
    <w:p w:rsidR="0018040B" w:rsidRPr="000B521F" w:rsidRDefault="002B23F0" w:rsidP="0059011D">
      <w:pPr>
        <w:tabs>
          <w:tab w:val="left" w:pos="4253"/>
        </w:tabs>
        <w:spacing w:after="120" w:line="240" w:lineRule="auto"/>
        <w:rPr>
          <w:rFonts w:ascii="Times New Roman" w:hAnsi="Times New Roman" w:cs="Times New Roman"/>
          <w:sz w:val="24"/>
          <w:szCs w:val="24"/>
          <w:u w:color="000000"/>
        </w:rPr>
      </w:pPr>
      <w:r w:rsidRPr="000B521F">
        <w:rPr>
          <w:rFonts w:ascii="Times New Roman" w:hAnsi="Times New Roman" w:cs="Times New Roman"/>
          <w:sz w:val="24"/>
          <w:szCs w:val="24"/>
          <w:u w:color="000000"/>
        </w:rPr>
        <w:t>NS MAS</w:t>
      </w:r>
      <w:r w:rsidRPr="000B521F">
        <w:rPr>
          <w:rFonts w:ascii="Times New Roman" w:hAnsi="Times New Roman" w:cs="Times New Roman"/>
          <w:sz w:val="24"/>
          <w:szCs w:val="24"/>
          <w:u w:color="000000"/>
        </w:rPr>
        <w:tab/>
        <w:t>Národní síť místních akčních skupin</w:t>
      </w:r>
    </w:p>
    <w:p w:rsidR="0018040B" w:rsidRPr="000B521F" w:rsidRDefault="002B23F0" w:rsidP="0059011D">
      <w:pPr>
        <w:tabs>
          <w:tab w:val="left" w:pos="4253"/>
        </w:tabs>
        <w:spacing w:after="120" w:line="240" w:lineRule="auto"/>
        <w:rPr>
          <w:rFonts w:ascii="Times New Roman" w:hAnsi="Times New Roman" w:cs="Times New Roman"/>
          <w:sz w:val="24"/>
          <w:szCs w:val="24"/>
          <w:u w:color="000000"/>
        </w:rPr>
      </w:pPr>
      <w:r w:rsidRPr="000B521F">
        <w:rPr>
          <w:rFonts w:ascii="Times New Roman" w:hAnsi="Times New Roman" w:cs="Times New Roman"/>
          <w:sz w:val="24"/>
          <w:szCs w:val="24"/>
          <w:u w:color="000000"/>
        </w:rPr>
        <w:t>NSRR</w:t>
      </w:r>
      <w:r w:rsidRPr="000B521F">
        <w:rPr>
          <w:rFonts w:ascii="Times New Roman" w:hAnsi="Times New Roman" w:cs="Times New Roman"/>
          <w:sz w:val="24"/>
          <w:szCs w:val="24"/>
          <w:u w:color="000000"/>
        </w:rPr>
        <w:tab/>
        <w:t>Národní strategický referenční rámec</w:t>
      </w:r>
    </w:p>
    <w:p w:rsidR="0018040B" w:rsidRPr="000B521F" w:rsidRDefault="002B23F0"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OECD</w:t>
      </w:r>
      <w:r w:rsidRPr="000B521F">
        <w:rPr>
          <w:rFonts w:ascii="Times New Roman" w:hAnsi="Times New Roman" w:cs="Times New Roman"/>
          <w:sz w:val="24"/>
          <w:szCs w:val="24"/>
        </w:rPr>
        <w:tab/>
        <w:t>Organizace pro hospodářskou spolupráci a rozvoj</w:t>
      </w:r>
    </w:p>
    <w:p w:rsidR="0018040B" w:rsidRPr="000B521F" w:rsidRDefault="002B23F0"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OP</w:t>
      </w:r>
      <w:r w:rsidRPr="000B521F">
        <w:rPr>
          <w:rFonts w:ascii="Times New Roman" w:hAnsi="Times New Roman" w:cs="Times New Roman"/>
          <w:sz w:val="24"/>
          <w:szCs w:val="24"/>
        </w:rPr>
        <w:tab/>
        <w:t>Operační programy</w:t>
      </w:r>
    </w:p>
    <w:p w:rsidR="0018040B" w:rsidRPr="000B521F" w:rsidRDefault="002B23F0"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OP PPR</w:t>
      </w:r>
      <w:r w:rsidRPr="000B521F">
        <w:rPr>
          <w:rFonts w:ascii="Times New Roman" w:hAnsi="Times New Roman" w:cs="Times New Roman"/>
          <w:sz w:val="24"/>
          <w:szCs w:val="24"/>
        </w:rPr>
        <w:tab/>
        <w:t>Operační program Praha – pól růstu ČR</w:t>
      </w:r>
    </w:p>
    <w:p w:rsidR="0018040B" w:rsidRPr="000B521F" w:rsidRDefault="002B23F0"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OP VaVpI</w:t>
      </w:r>
      <w:r w:rsidRPr="000B521F">
        <w:rPr>
          <w:rFonts w:ascii="Times New Roman" w:hAnsi="Times New Roman" w:cs="Times New Roman"/>
          <w:sz w:val="24"/>
          <w:szCs w:val="24"/>
        </w:rPr>
        <w:tab/>
        <w:t>Operační program Výzkum a vývoj pro inovace</w:t>
      </w:r>
    </w:p>
    <w:p w:rsidR="0018040B" w:rsidRPr="000B521F" w:rsidRDefault="002B23F0"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OP VVV</w:t>
      </w:r>
      <w:r w:rsidRPr="000B521F">
        <w:rPr>
          <w:rFonts w:ascii="Times New Roman" w:hAnsi="Times New Roman" w:cs="Times New Roman"/>
          <w:sz w:val="24"/>
          <w:szCs w:val="24"/>
        </w:rPr>
        <w:tab/>
        <w:t>Operační program Výzkum vývoj a vzdělávání</w:t>
      </w:r>
    </w:p>
    <w:p w:rsidR="0018040B" w:rsidRPr="000B521F" w:rsidRDefault="002B23F0"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OP ŽP</w:t>
      </w:r>
      <w:r w:rsidRPr="000B521F">
        <w:rPr>
          <w:rFonts w:ascii="Times New Roman" w:hAnsi="Times New Roman" w:cs="Times New Roman"/>
          <w:sz w:val="24"/>
          <w:szCs w:val="24"/>
        </w:rPr>
        <w:tab/>
        <w:t>Operační program Životní prostředí</w:t>
      </w:r>
    </w:p>
    <w:p w:rsidR="0018040B" w:rsidRPr="000B521F" w:rsidRDefault="002B23F0"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OZE</w:t>
      </w:r>
      <w:r w:rsidRPr="000B521F">
        <w:rPr>
          <w:rFonts w:ascii="Times New Roman" w:hAnsi="Times New Roman" w:cs="Times New Roman"/>
          <w:sz w:val="24"/>
          <w:szCs w:val="24"/>
        </w:rPr>
        <w:tab/>
        <w:t>Obnovitelné zdroje energie</w:t>
      </w:r>
    </w:p>
    <w:p w:rsidR="0018040B" w:rsidRPr="000B521F" w:rsidRDefault="002B23F0" w:rsidP="0059011D">
      <w:pPr>
        <w:tabs>
          <w:tab w:val="left" w:pos="4253"/>
        </w:tabs>
        <w:spacing w:after="120" w:line="240" w:lineRule="auto"/>
        <w:ind w:left="4253" w:hanging="4253"/>
        <w:rPr>
          <w:rFonts w:ascii="Times New Roman" w:hAnsi="Times New Roman" w:cs="Times New Roman"/>
          <w:sz w:val="24"/>
          <w:szCs w:val="24"/>
        </w:rPr>
      </w:pPr>
      <w:r w:rsidRPr="000B521F">
        <w:rPr>
          <w:rFonts w:ascii="Times New Roman" w:hAnsi="Times New Roman" w:cs="Times New Roman"/>
          <w:sz w:val="24"/>
          <w:szCs w:val="24"/>
        </w:rPr>
        <w:t>PD</w:t>
      </w:r>
      <w:r w:rsidRPr="000B521F">
        <w:rPr>
          <w:rFonts w:ascii="Times New Roman" w:hAnsi="Times New Roman" w:cs="Times New Roman"/>
          <w:sz w:val="24"/>
          <w:szCs w:val="24"/>
        </w:rPr>
        <w:tab/>
        <w:t>Poziční dokument (Stanovisko útvarů Komise k přípravě dohody o partnerství a programů v České republice na období 2014</w:t>
      </w:r>
      <w:r w:rsidR="0012336E">
        <w:rPr>
          <w:rFonts w:ascii="Times New Roman" w:hAnsi="Times New Roman" w:cs="Times New Roman"/>
          <w:sz w:val="24"/>
          <w:szCs w:val="24"/>
        </w:rPr>
        <w:t>–</w:t>
      </w:r>
      <w:r w:rsidRPr="000B521F">
        <w:rPr>
          <w:rFonts w:ascii="Times New Roman" w:hAnsi="Times New Roman" w:cs="Times New Roman"/>
          <w:sz w:val="24"/>
          <w:szCs w:val="24"/>
        </w:rPr>
        <w:t>2020)</w:t>
      </w:r>
    </w:p>
    <w:p w:rsidR="0018040B" w:rsidRPr="000B521F" w:rsidRDefault="002B23F0"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PF</w:t>
      </w:r>
      <w:r w:rsidRPr="000B521F">
        <w:rPr>
          <w:rFonts w:ascii="Times New Roman" w:hAnsi="Times New Roman" w:cs="Times New Roman"/>
          <w:sz w:val="24"/>
          <w:szCs w:val="24"/>
        </w:rPr>
        <w:tab/>
        <w:t>Priorita financování</w:t>
      </w:r>
    </w:p>
    <w:p w:rsidR="00E560E7" w:rsidRPr="000B521F" w:rsidRDefault="00E560E7"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PMA</w:t>
      </w:r>
      <w:r w:rsidRPr="000B521F">
        <w:rPr>
          <w:rFonts w:ascii="Times New Roman" w:hAnsi="Times New Roman" w:cs="Times New Roman"/>
          <w:sz w:val="24"/>
          <w:szCs w:val="24"/>
        </w:rPr>
        <w:tab/>
        <w:t>Procesní modelování agend</w:t>
      </w:r>
    </w:p>
    <w:p w:rsidR="0018040B" w:rsidRPr="000B521F" w:rsidRDefault="002B23F0"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PO</w:t>
      </w:r>
      <w:r w:rsidRPr="000B521F">
        <w:rPr>
          <w:rFonts w:ascii="Times New Roman" w:hAnsi="Times New Roman" w:cs="Times New Roman"/>
          <w:sz w:val="24"/>
          <w:szCs w:val="24"/>
        </w:rPr>
        <w:tab/>
        <w:t>Prioritní osa</w:t>
      </w:r>
    </w:p>
    <w:p w:rsidR="0018040B" w:rsidRPr="000B521F" w:rsidRDefault="002B23F0"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PRV</w:t>
      </w:r>
      <w:r w:rsidRPr="000B521F">
        <w:rPr>
          <w:rFonts w:ascii="Times New Roman" w:hAnsi="Times New Roman" w:cs="Times New Roman"/>
          <w:sz w:val="24"/>
          <w:szCs w:val="24"/>
        </w:rPr>
        <w:tab/>
        <w:t>Program rozvoje venkova</w:t>
      </w:r>
    </w:p>
    <w:p w:rsidR="0018040B" w:rsidRPr="000B521F" w:rsidRDefault="002B23F0"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PS</w:t>
      </w:r>
      <w:r w:rsidRPr="000B521F">
        <w:rPr>
          <w:rFonts w:ascii="Times New Roman" w:hAnsi="Times New Roman" w:cs="Times New Roman"/>
          <w:sz w:val="24"/>
          <w:szCs w:val="24"/>
        </w:rPr>
        <w:tab/>
        <w:t>Pracovní skupina</w:t>
      </w:r>
    </w:p>
    <w:p w:rsidR="0018040B" w:rsidRPr="000B521F" w:rsidRDefault="00806900" w:rsidP="0059011D">
      <w:pPr>
        <w:tabs>
          <w:tab w:val="left" w:pos="4253"/>
        </w:tabs>
        <w:spacing w:after="120" w:line="240" w:lineRule="auto"/>
        <w:ind w:left="4253" w:hanging="4253"/>
        <w:rPr>
          <w:rFonts w:ascii="Times New Roman" w:hAnsi="Times New Roman" w:cs="Times New Roman"/>
          <w:sz w:val="24"/>
          <w:szCs w:val="24"/>
        </w:rPr>
      </w:pPr>
      <w:r w:rsidRPr="000B521F">
        <w:rPr>
          <w:rFonts w:ascii="Times New Roman" w:hAnsi="Times New Roman" w:cs="Times New Roman"/>
          <w:sz w:val="24"/>
          <w:szCs w:val="24"/>
        </w:rPr>
        <w:t>EaSI</w:t>
      </w:r>
      <w:r w:rsidR="002B23F0" w:rsidRPr="000B521F">
        <w:rPr>
          <w:rFonts w:ascii="Times New Roman" w:hAnsi="Times New Roman" w:cs="Times New Roman"/>
          <w:sz w:val="24"/>
          <w:szCs w:val="24"/>
        </w:rPr>
        <w:tab/>
        <w:t xml:space="preserve">Program </w:t>
      </w:r>
      <w:r w:rsidRPr="000B521F">
        <w:rPr>
          <w:rFonts w:ascii="Times New Roman" w:hAnsi="Times New Roman" w:cs="Times New Roman"/>
          <w:sz w:val="24"/>
          <w:szCs w:val="24"/>
        </w:rPr>
        <w:t xml:space="preserve">Evropské unie </w:t>
      </w:r>
      <w:r w:rsidR="002B23F0" w:rsidRPr="000B521F">
        <w:rPr>
          <w:rFonts w:ascii="Times New Roman" w:hAnsi="Times New Roman" w:cs="Times New Roman"/>
          <w:sz w:val="24"/>
          <w:szCs w:val="24"/>
        </w:rPr>
        <w:t xml:space="preserve">pro </w:t>
      </w:r>
      <w:r w:rsidRPr="000B521F">
        <w:rPr>
          <w:rFonts w:ascii="Times New Roman" w:hAnsi="Times New Roman" w:cs="Times New Roman"/>
          <w:sz w:val="24"/>
          <w:szCs w:val="24"/>
        </w:rPr>
        <w:t xml:space="preserve">zaměstnanost a </w:t>
      </w:r>
      <w:r w:rsidR="002B23F0" w:rsidRPr="000B521F">
        <w:rPr>
          <w:rFonts w:ascii="Times New Roman" w:hAnsi="Times New Roman" w:cs="Times New Roman"/>
          <w:sz w:val="24"/>
          <w:szCs w:val="24"/>
        </w:rPr>
        <w:t xml:space="preserve">sociální  inovace </w:t>
      </w:r>
    </w:p>
    <w:p w:rsidR="0018040B" w:rsidRPr="000B521F" w:rsidRDefault="002B23F0"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PÚR</w:t>
      </w:r>
      <w:r w:rsidRPr="000B521F">
        <w:rPr>
          <w:rFonts w:ascii="Times New Roman" w:hAnsi="Times New Roman" w:cs="Times New Roman"/>
          <w:sz w:val="24"/>
          <w:szCs w:val="24"/>
        </w:rPr>
        <w:tab/>
        <w:t>Politika územního rozvoje ČR</w:t>
      </w:r>
    </w:p>
    <w:p w:rsidR="0018040B" w:rsidRPr="000B521F" w:rsidRDefault="002B23F0"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 xml:space="preserve">Rada pro fondy </w:t>
      </w:r>
      <w:r w:rsidR="00281571" w:rsidRPr="000B521F">
        <w:rPr>
          <w:rFonts w:ascii="Times New Roman" w:hAnsi="Times New Roman" w:cs="Times New Roman"/>
          <w:sz w:val="24"/>
          <w:szCs w:val="24"/>
        </w:rPr>
        <w:t>ESIF</w:t>
      </w:r>
      <w:r w:rsidRPr="000B521F">
        <w:rPr>
          <w:rFonts w:ascii="Times New Roman" w:hAnsi="Times New Roman" w:cs="Times New Roman"/>
          <w:sz w:val="24"/>
          <w:szCs w:val="24"/>
        </w:rPr>
        <w:tab/>
        <w:t>Rada pro fondy Společného strategického rámce</w:t>
      </w:r>
    </w:p>
    <w:p w:rsidR="0018040B" w:rsidRPr="000B521F" w:rsidRDefault="002B23F0"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RMAS</w:t>
      </w:r>
      <w:r w:rsidRPr="000B521F">
        <w:rPr>
          <w:rFonts w:ascii="Times New Roman" w:hAnsi="Times New Roman" w:cs="Times New Roman"/>
          <w:sz w:val="24"/>
          <w:szCs w:val="24"/>
        </w:rPr>
        <w:tab/>
        <w:t>Rybářská místní akční skupina</w:t>
      </w:r>
    </w:p>
    <w:p w:rsidR="0018040B" w:rsidRPr="000B521F" w:rsidRDefault="002B23F0"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ROP</w:t>
      </w:r>
      <w:r w:rsidRPr="000B521F">
        <w:rPr>
          <w:rFonts w:ascii="Times New Roman" w:hAnsi="Times New Roman" w:cs="Times New Roman"/>
          <w:sz w:val="24"/>
          <w:szCs w:val="24"/>
        </w:rPr>
        <w:tab/>
        <w:t>Regionální operační program</w:t>
      </w:r>
    </w:p>
    <w:p w:rsidR="0018040B" w:rsidRPr="000B521F" w:rsidRDefault="002B23F0" w:rsidP="0059011D">
      <w:pPr>
        <w:tabs>
          <w:tab w:val="left" w:pos="4253"/>
        </w:tabs>
        <w:spacing w:after="120" w:line="240" w:lineRule="auto"/>
        <w:ind w:left="4253" w:hanging="4253"/>
        <w:rPr>
          <w:rFonts w:ascii="Times New Roman" w:hAnsi="Times New Roman" w:cs="Times New Roman"/>
          <w:sz w:val="24"/>
          <w:szCs w:val="24"/>
        </w:rPr>
      </w:pPr>
      <w:r w:rsidRPr="000B521F">
        <w:rPr>
          <w:rFonts w:ascii="Times New Roman" w:hAnsi="Times New Roman" w:cs="Times New Roman"/>
          <w:sz w:val="24"/>
          <w:szCs w:val="24"/>
        </w:rPr>
        <w:t>ŘKV</w:t>
      </w:r>
      <w:r w:rsidRPr="000B521F">
        <w:rPr>
          <w:rFonts w:ascii="Times New Roman" w:hAnsi="Times New Roman" w:cs="Times New Roman"/>
          <w:sz w:val="24"/>
          <w:szCs w:val="24"/>
        </w:rPr>
        <w:tab/>
        <w:t>Řídící a koordinační výbor pro potřeby koordinace pomoci poskyt</w:t>
      </w:r>
      <w:r w:rsidR="0012336E">
        <w:rPr>
          <w:rFonts w:ascii="Times New Roman" w:hAnsi="Times New Roman" w:cs="Times New Roman"/>
          <w:sz w:val="24"/>
          <w:szCs w:val="24"/>
        </w:rPr>
        <w:t>ované v programovém období 2007–</w:t>
      </w:r>
      <w:r w:rsidRPr="000B521F">
        <w:rPr>
          <w:rFonts w:ascii="Times New Roman" w:hAnsi="Times New Roman" w:cs="Times New Roman"/>
          <w:sz w:val="24"/>
          <w:szCs w:val="24"/>
        </w:rPr>
        <w:t xml:space="preserve">2013 </w:t>
      </w:r>
    </w:p>
    <w:p w:rsidR="0018040B" w:rsidRPr="000B521F" w:rsidRDefault="002B23F0"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ŘO</w:t>
      </w:r>
      <w:r w:rsidRPr="000B521F">
        <w:rPr>
          <w:rFonts w:ascii="Times New Roman" w:hAnsi="Times New Roman" w:cs="Times New Roman"/>
          <w:sz w:val="24"/>
          <w:szCs w:val="24"/>
        </w:rPr>
        <w:tab/>
        <w:t>Řídící orgán</w:t>
      </w:r>
    </w:p>
    <w:p w:rsidR="0018040B" w:rsidRPr="000B521F" w:rsidRDefault="002B23F0" w:rsidP="0059011D">
      <w:pPr>
        <w:tabs>
          <w:tab w:val="left" w:pos="4253"/>
        </w:tabs>
        <w:spacing w:after="120" w:line="240" w:lineRule="auto"/>
        <w:ind w:left="4253" w:hanging="4253"/>
        <w:rPr>
          <w:rFonts w:ascii="Times New Roman" w:hAnsi="Times New Roman" w:cs="Times New Roman"/>
          <w:sz w:val="24"/>
          <w:szCs w:val="24"/>
        </w:rPr>
      </w:pPr>
      <w:r w:rsidRPr="000B521F">
        <w:rPr>
          <w:rFonts w:ascii="Times New Roman" w:hAnsi="Times New Roman" w:cs="Times New Roman"/>
          <w:sz w:val="24"/>
          <w:szCs w:val="24"/>
        </w:rPr>
        <w:t>S3</w:t>
      </w:r>
      <w:r w:rsidRPr="000B521F">
        <w:rPr>
          <w:rFonts w:ascii="Times New Roman" w:hAnsi="Times New Roman" w:cs="Times New Roman"/>
          <w:sz w:val="24"/>
          <w:szCs w:val="24"/>
        </w:rPr>
        <w:tab/>
        <w:t>Strategie pro inteligentní specializaci</w:t>
      </w:r>
    </w:p>
    <w:p w:rsidR="0018040B" w:rsidRPr="000B521F" w:rsidRDefault="002B23F0" w:rsidP="0059011D">
      <w:pPr>
        <w:tabs>
          <w:tab w:val="left" w:pos="4253"/>
        </w:tabs>
        <w:spacing w:after="120" w:line="240" w:lineRule="auto"/>
        <w:ind w:left="4253" w:hanging="4253"/>
        <w:rPr>
          <w:rFonts w:ascii="Times New Roman" w:hAnsi="Times New Roman" w:cs="Times New Roman"/>
          <w:sz w:val="24"/>
          <w:szCs w:val="24"/>
        </w:rPr>
      </w:pPr>
      <w:r w:rsidRPr="000B521F">
        <w:rPr>
          <w:rFonts w:ascii="Times New Roman" w:hAnsi="Times New Roman" w:cs="Times New Roman"/>
          <w:sz w:val="24"/>
          <w:szCs w:val="24"/>
        </w:rPr>
        <w:t>SAPARD</w:t>
      </w:r>
      <w:r w:rsidRPr="000B521F">
        <w:rPr>
          <w:rFonts w:ascii="Times New Roman" w:hAnsi="Times New Roman" w:cs="Times New Roman"/>
          <w:sz w:val="24"/>
          <w:szCs w:val="24"/>
        </w:rPr>
        <w:tab/>
      </w:r>
      <w:r w:rsidRPr="000B521F">
        <w:rPr>
          <w:rFonts w:ascii="Times New Roman" w:hAnsi="Times New Roman" w:cs="Times New Roman"/>
          <w:bCs/>
          <w:sz w:val="24"/>
          <w:szCs w:val="24"/>
        </w:rPr>
        <w:t>Speciální předvstupní program pro zemědělství a rozvoj venkova (Special</w:t>
      </w:r>
      <w:r w:rsidR="00F937FC">
        <w:rPr>
          <w:rFonts w:ascii="Times New Roman" w:hAnsi="Times New Roman" w:cs="Times New Roman"/>
          <w:bCs/>
          <w:sz w:val="24"/>
          <w:szCs w:val="24"/>
        </w:rPr>
        <w:t xml:space="preserve"> </w:t>
      </w:r>
      <w:r w:rsidRPr="000B521F">
        <w:rPr>
          <w:rFonts w:ascii="Times New Roman" w:hAnsi="Times New Roman" w:cs="Times New Roman"/>
          <w:bCs/>
          <w:sz w:val="24"/>
          <w:szCs w:val="24"/>
        </w:rPr>
        <w:t>Accesion</w:t>
      </w:r>
      <w:r w:rsidR="00F937FC">
        <w:rPr>
          <w:rFonts w:ascii="Times New Roman" w:hAnsi="Times New Roman" w:cs="Times New Roman"/>
          <w:bCs/>
          <w:sz w:val="24"/>
          <w:szCs w:val="24"/>
        </w:rPr>
        <w:t xml:space="preserve"> </w:t>
      </w:r>
      <w:r w:rsidRPr="000B521F">
        <w:rPr>
          <w:rFonts w:ascii="Times New Roman" w:hAnsi="Times New Roman" w:cs="Times New Roman"/>
          <w:bCs/>
          <w:sz w:val="24"/>
          <w:szCs w:val="24"/>
        </w:rPr>
        <w:t>Programme</w:t>
      </w:r>
      <w:r w:rsidR="00F937FC">
        <w:rPr>
          <w:rFonts w:ascii="Times New Roman" w:hAnsi="Times New Roman" w:cs="Times New Roman"/>
          <w:bCs/>
          <w:sz w:val="24"/>
          <w:szCs w:val="24"/>
        </w:rPr>
        <w:t xml:space="preserve"> </w:t>
      </w:r>
      <w:r w:rsidRPr="000B521F">
        <w:rPr>
          <w:rFonts w:ascii="Times New Roman" w:hAnsi="Times New Roman" w:cs="Times New Roman"/>
          <w:bCs/>
          <w:sz w:val="24"/>
          <w:szCs w:val="24"/>
        </w:rPr>
        <w:t>for</w:t>
      </w:r>
      <w:r w:rsidR="00F937FC">
        <w:rPr>
          <w:rFonts w:ascii="Times New Roman" w:hAnsi="Times New Roman" w:cs="Times New Roman"/>
          <w:bCs/>
          <w:sz w:val="24"/>
          <w:szCs w:val="24"/>
        </w:rPr>
        <w:t xml:space="preserve"> </w:t>
      </w:r>
      <w:r w:rsidRPr="000B521F">
        <w:rPr>
          <w:rFonts w:ascii="Times New Roman" w:hAnsi="Times New Roman" w:cs="Times New Roman"/>
          <w:bCs/>
          <w:sz w:val="24"/>
          <w:szCs w:val="24"/>
        </w:rPr>
        <w:t>Agriculture and Rural</w:t>
      </w:r>
      <w:r w:rsidR="00F937FC">
        <w:rPr>
          <w:rFonts w:ascii="Times New Roman" w:hAnsi="Times New Roman" w:cs="Times New Roman"/>
          <w:bCs/>
          <w:sz w:val="24"/>
          <w:szCs w:val="24"/>
        </w:rPr>
        <w:t xml:space="preserve"> </w:t>
      </w:r>
      <w:r w:rsidRPr="000B521F">
        <w:rPr>
          <w:rFonts w:ascii="Times New Roman" w:hAnsi="Times New Roman" w:cs="Times New Roman"/>
          <w:bCs/>
          <w:sz w:val="24"/>
          <w:szCs w:val="24"/>
        </w:rPr>
        <w:t>Development)</w:t>
      </w:r>
    </w:p>
    <w:p w:rsidR="0018040B" w:rsidRPr="000B521F" w:rsidRDefault="002B23F0" w:rsidP="0059011D">
      <w:pPr>
        <w:tabs>
          <w:tab w:val="left" w:pos="4253"/>
        </w:tabs>
        <w:spacing w:after="120" w:line="240" w:lineRule="auto"/>
        <w:ind w:left="4253" w:hanging="4253"/>
        <w:rPr>
          <w:rFonts w:ascii="Times New Roman" w:hAnsi="Times New Roman" w:cs="Times New Roman"/>
          <w:sz w:val="24"/>
          <w:szCs w:val="24"/>
        </w:rPr>
      </w:pPr>
      <w:r w:rsidRPr="000B521F">
        <w:rPr>
          <w:rFonts w:ascii="Times New Roman" w:hAnsi="Times New Roman" w:cs="Times New Roman"/>
          <w:sz w:val="24"/>
          <w:szCs w:val="24"/>
        </w:rPr>
        <w:t>SEA</w:t>
      </w:r>
      <w:r w:rsidRPr="000B521F">
        <w:rPr>
          <w:rFonts w:ascii="Times New Roman" w:hAnsi="Times New Roman" w:cs="Times New Roman"/>
          <w:sz w:val="24"/>
          <w:szCs w:val="24"/>
        </w:rPr>
        <w:tab/>
        <w:t>Strategic</w:t>
      </w:r>
      <w:r w:rsidR="00F937FC">
        <w:rPr>
          <w:rFonts w:ascii="Times New Roman" w:hAnsi="Times New Roman" w:cs="Times New Roman"/>
          <w:sz w:val="24"/>
          <w:szCs w:val="24"/>
        </w:rPr>
        <w:t xml:space="preserve"> </w:t>
      </w:r>
      <w:r w:rsidRPr="000B521F">
        <w:rPr>
          <w:rFonts w:ascii="Times New Roman" w:hAnsi="Times New Roman" w:cs="Times New Roman"/>
          <w:sz w:val="24"/>
          <w:szCs w:val="24"/>
        </w:rPr>
        <w:t>Environmental</w:t>
      </w:r>
      <w:r w:rsidR="00F937FC">
        <w:rPr>
          <w:rFonts w:ascii="Times New Roman" w:hAnsi="Times New Roman" w:cs="Times New Roman"/>
          <w:sz w:val="24"/>
          <w:szCs w:val="24"/>
        </w:rPr>
        <w:t xml:space="preserve"> </w:t>
      </w:r>
      <w:r w:rsidRPr="000B521F">
        <w:rPr>
          <w:rFonts w:ascii="Times New Roman" w:hAnsi="Times New Roman" w:cs="Times New Roman"/>
          <w:sz w:val="24"/>
          <w:szCs w:val="24"/>
        </w:rPr>
        <w:t>Assessment (proces posuzování vlivů koncepcí a územně plánovacích dokumentací za životní prostředí)</w:t>
      </w:r>
    </w:p>
    <w:p w:rsidR="0018040B" w:rsidRPr="000B521F" w:rsidRDefault="002B23F0"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SFC</w:t>
      </w:r>
      <w:r w:rsidRPr="000B521F">
        <w:rPr>
          <w:rFonts w:ascii="Times New Roman" w:hAnsi="Times New Roman" w:cs="Times New Roman"/>
          <w:sz w:val="24"/>
          <w:szCs w:val="24"/>
        </w:rPr>
        <w:tab/>
      </w:r>
      <w:r w:rsidR="00943982" w:rsidRPr="000B521F">
        <w:rPr>
          <w:rStyle w:val="st1"/>
          <w:rFonts w:ascii="Times New Roman" w:hAnsi="Times New Roman" w:cs="Times New Roman"/>
          <w:sz w:val="24"/>
          <w:szCs w:val="24"/>
        </w:rPr>
        <w:t>Structural</w:t>
      </w:r>
      <w:r w:rsidR="00F937FC">
        <w:rPr>
          <w:rStyle w:val="st1"/>
          <w:rFonts w:ascii="Times New Roman" w:hAnsi="Times New Roman" w:cs="Times New Roman"/>
          <w:sz w:val="24"/>
          <w:szCs w:val="24"/>
        </w:rPr>
        <w:t xml:space="preserve"> </w:t>
      </w:r>
      <w:r w:rsidR="00943982" w:rsidRPr="000B521F">
        <w:rPr>
          <w:rStyle w:val="st1"/>
          <w:rFonts w:ascii="Times New Roman" w:hAnsi="Times New Roman" w:cs="Times New Roman"/>
          <w:sz w:val="24"/>
          <w:szCs w:val="24"/>
        </w:rPr>
        <w:t>Funds</w:t>
      </w:r>
      <w:r w:rsidR="00F937FC">
        <w:rPr>
          <w:rStyle w:val="st1"/>
          <w:rFonts w:ascii="Times New Roman" w:hAnsi="Times New Roman" w:cs="Times New Roman"/>
          <w:sz w:val="24"/>
          <w:szCs w:val="24"/>
        </w:rPr>
        <w:t xml:space="preserve"> </w:t>
      </w:r>
      <w:r w:rsidR="00943982" w:rsidRPr="000B521F">
        <w:rPr>
          <w:rStyle w:val="st1"/>
          <w:rFonts w:ascii="Times New Roman" w:hAnsi="Times New Roman" w:cs="Times New Roman"/>
          <w:sz w:val="24"/>
          <w:szCs w:val="24"/>
        </w:rPr>
        <w:t>common database</w:t>
      </w:r>
    </w:p>
    <w:p w:rsidR="0018040B" w:rsidRPr="000B521F" w:rsidRDefault="00943982"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SFEU</w:t>
      </w:r>
      <w:r w:rsidRPr="000B521F">
        <w:rPr>
          <w:rFonts w:ascii="Times New Roman" w:hAnsi="Times New Roman" w:cs="Times New Roman"/>
          <w:sz w:val="24"/>
          <w:szCs w:val="24"/>
        </w:rPr>
        <w:tab/>
        <w:t>Smlouva o fungování Evropské unie</w:t>
      </w:r>
    </w:p>
    <w:p w:rsidR="0018040B" w:rsidRPr="000B521F" w:rsidRDefault="00943982"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SMK</w:t>
      </w:r>
      <w:r w:rsidRPr="000B521F">
        <w:rPr>
          <w:rFonts w:ascii="Times New Roman" w:hAnsi="Times New Roman" w:cs="Times New Roman"/>
          <w:sz w:val="24"/>
          <w:szCs w:val="24"/>
        </w:rPr>
        <w:tab/>
        <w:t>Strategie mezinárodní konkurenceschopnosti ČR</w:t>
      </w:r>
    </w:p>
    <w:p w:rsidR="0018040B" w:rsidRPr="000B521F" w:rsidRDefault="00943982"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SRP</w:t>
      </w:r>
      <w:r w:rsidRPr="000B521F">
        <w:rPr>
          <w:rFonts w:ascii="Times New Roman" w:hAnsi="Times New Roman" w:cs="Times New Roman"/>
          <w:sz w:val="24"/>
          <w:szCs w:val="24"/>
        </w:rPr>
        <w:tab/>
        <w:t>Společná rybářská politika</w:t>
      </w:r>
    </w:p>
    <w:p w:rsidR="0018040B" w:rsidRPr="000B521F" w:rsidRDefault="00943982"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SRR</w:t>
      </w:r>
      <w:r w:rsidRPr="000B521F">
        <w:rPr>
          <w:rFonts w:ascii="Times New Roman" w:hAnsi="Times New Roman" w:cs="Times New Roman"/>
          <w:sz w:val="24"/>
          <w:szCs w:val="24"/>
        </w:rPr>
        <w:tab/>
        <w:t>Strategie regionálního rozvoje</w:t>
      </w:r>
    </w:p>
    <w:p w:rsidR="00395889" w:rsidRPr="000B521F" w:rsidRDefault="00943982" w:rsidP="0059011D">
      <w:pPr>
        <w:spacing w:after="120" w:line="240" w:lineRule="auto"/>
        <w:ind w:left="4253" w:hanging="4253"/>
        <w:rPr>
          <w:rFonts w:ascii="Times New Roman" w:hAnsi="Times New Roman" w:cs="Times New Roman"/>
          <w:sz w:val="24"/>
          <w:szCs w:val="24"/>
        </w:rPr>
      </w:pPr>
      <w:r w:rsidRPr="000B521F">
        <w:rPr>
          <w:rFonts w:ascii="Times New Roman" w:hAnsi="Times New Roman" w:cs="Times New Roman"/>
          <w:sz w:val="24"/>
          <w:szCs w:val="24"/>
        </w:rPr>
        <w:t>SRUR</w:t>
      </w:r>
      <w:r w:rsidRPr="000B521F">
        <w:rPr>
          <w:rFonts w:ascii="Times New Roman" w:hAnsi="Times New Roman" w:cs="Times New Roman"/>
          <w:sz w:val="24"/>
          <w:szCs w:val="24"/>
        </w:rPr>
        <w:tab/>
      </w:r>
      <w:r w:rsidR="00395889" w:rsidRPr="000B521F">
        <w:rPr>
          <w:rFonts w:ascii="Times New Roman" w:hAnsi="Times New Roman" w:cs="Times New Roman"/>
          <w:sz w:val="24"/>
          <w:szCs w:val="24"/>
        </w:rPr>
        <w:tab/>
        <w:t>Strategický rámec udržitelného rozvoje České republiky</w:t>
      </w:r>
    </w:p>
    <w:p w:rsidR="0018040B" w:rsidRPr="000B521F" w:rsidRDefault="00281571" w:rsidP="0059011D">
      <w:pPr>
        <w:tabs>
          <w:tab w:val="left" w:pos="4253"/>
        </w:tabs>
        <w:spacing w:after="120" w:line="240" w:lineRule="auto"/>
        <w:ind w:left="4253" w:hanging="4253"/>
        <w:rPr>
          <w:rFonts w:ascii="Times New Roman" w:hAnsi="Times New Roman" w:cs="Times New Roman"/>
          <w:sz w:val="24"/>
          <w:szCs w:val="24"/>
        </w:rPr>
      </w:pPr>
      <w:r w:rsidRPr="000B521F">
        <w:rPr>
          <w:rFonts w:ascii="Times New Roman" w:hAnsi="Times New Roman" w:cs="Times New Roman"/>
          <w:sz w:val="24"/>
          <w:szCs w:val="24"/>
        </w:rPr>
        <w:t>ESIF</w:t>
      </w:r>
      <w:r w:rsidR="00943982" w:rsidRPr="000B521F">
        <w:rPr>
          <w:rFonts w:ascii="Times New Roman" w:hAnsi="Times New Roman" w:cs="Times New Roman"/>
          <w:sz w:val="24"/>
          <w:szCs w:val="24"/>
        </w:rPr>
        <w:tab/>
        <w:t>Společný strategický rámec (Common</w:t>
      </w:r>
      <w:r w:rsidR="00F937FC">
        <w:rPr>
          <w:rFonts w:ascii="Times New Roman" w:hAnsi="Times New Roman" w:cs="Times New Roman"/>
          <w:sz w:val="24"/>
          <w:szCs w:val="24"/>
        </w:rPr>
        <w:t xml:space="preserve"> </w:t>
      </w:r>
      <w:r w:rsidR="00943982" w:rsidRPr="000B521F">
        <w:rPr>
          <w:rFonts w:ascii="Times New Roman" w:hAnsi="Times New Roman" w:cs="Times New Roman"/>
          <w:sz w:val="24"/>
          <w:szCs w:val="24"/>
        </w:rPr>
        <w:t>Strategic Framework – CSF)</w:t>
      </w:r>
    </w:p>
    <w:p w:rsidR="0018040B" w:rsidRPr="000B521F" w:rsidRDefault="00943982" w:rsidP="0059011D">
      <w:pPr>
        <w:tabs>
          <w:tab w:val="left" w:pos="4253"/>
        </w:tabs>
        <w:spacing w:after="120" w:line="240" w:lineRule="auto"/>
        <w:ind w:left="4253" w:hanging="4253"/>
        <w:rPr>
          <w:rFonts w:ascii="Times New Roman" w:hAnsi="Times New Roman" w:cs="Times New Roman"/>
          <w:sz w:val="24"/>
          <w:szCs w:val="24"/>
        </w:rPr>
      </w:pPr>
      <w:r w:rsidRPr="000B521F">
        <w:rPr>
          <w:rFonts w:ascii="Times New Roman" w:hAnsi="Times New Roman" w:cs="Times New Roman"/>
          <w:sz w:val="24"/>
          <w:szCs w:val="24"/>
        </w:rPr>
        <w:t>SZP</w:t>
      </w:r>
      <w:r w:rsidRPr="000B521F">
        <w:rPr>
          <w:rFonts w:ascii="Times New Roman" w:hAnsi="Times New Roman" w:cs="Times New Roman"/>
          <w:sz w:val="24"/>
          <w:szCs w:val="24"/>
        </w:rPr>
        <w:tab/>
        <w:t>Společná zemědělská politika</w:t>
      </w:r>
    </w:p>
    <w:p w:rsidR="0018040B" w:rsidRPr="000B521F" w:rsidRDefault="00943982" w:rsidP="0059011D">
      <w:pPr>
        <w:tabs>
          <w:tab w:val="left" w:pos="4253"/>
        </w:tabs>
        <w:spacing w:after="120" w:line="240" w:lineRule="auto"/>
        <w:ind w:left="4253" w:hanging="4253"/>
        <w:rPr>
          <w:rFonts w:ascii="Times New Roman" w:hAnsi="Times New Roman" w:cs="Times New Roman"/>
          <w:sz w:val="24"/>
          <w:szCs w:val="24"/>
        </w:rPr>
      </w:pPr>
      <w:r w:rsidRPr="000B521F">
        <w:rPr>
          <w:rFonts w:ascii="Times New Roman" w:hAnsi="Times New Roman" w:cs="Times New Roman"/>
          <w:sz w:val="24"/>
          <w:szCs w:val="24"/>
        </w:rPr>
        <w:t>TC</w:t>
      </w:r>
      <w:r w:rsidRPr="000B521F">
        <w:rPr>
          <w:rFonts w:ascii="Times New Roman" w:hAnsi="Times New Roman" w:cs="Times New Roman"/>
          <w:sz w:val="24"/>
          <w:szCs w:val="24"/>
        </w:rPr>
        <w:tab/>
        <w:t>Tematický cíl</w:t>
      </w:r>
    </w:p>
    <w:p w:rsidR="0018040B" w:rsidRPr="000B521F" w:rsidRDefault="00943982" w:rsidP="0059011D">
      <w:pPr>
        <w:tabs>
          <w:tab w:val="left" w:pos="4253"/>
        </w:tabs>
        <w:spacing w:after="120" w:line="240" w:lineRule="auto"/>
        <w:ind w:left="4253" w:hanging="4253"/>
        <w:rPr>
          <w:rStyle w:val="cizojazycne"/>
          <w:rFonts w:ascii="Times New Roman" w:hAnsi="Times New Roman" w:cs="Times New Roman"/>
          <w:sz w:val="24"/>
          <w:szCs w:val="24"/>
        </w:rPr>
      </w:pPr>
      <w:r w:rsidRPr="000B521F">
        <w:rPr>
          <w:rFonts w:ascii="Times New Roman" w:hAnsi="Times New Roman" w:cs="Times New Roman"/>
          <w:sz w:val="24"/>
          <w:szCs w:val="24"/>
        </w:rPr>
        <w:t>TEN-T</w:t>
      </w:r>
      <w:r w:rsidRPr="000B521F">
        <w:rPr>
          <w:rFonts w:ascii="Times New Roman" w:hAnsi="Times New Roman" w:cs="Times New Roman"/>
          <w:sz w:val="24"/>
          <w:szCs w:val="24"/>
        </w:rPr>
        <w:tab/>
      </w:r>
      <w:r w:rsidRPr="000B521F">
        <w:rPr>
          <w:rStyle w:val="cizojazycne"/>
          <w:rFonts w:ascii="Times New Roman" w:hAnsi="Times New Roman" w:cs="Times New Roman"/>
          <w:sz w:val="24"/>
          <w:szCs w:val="24"/>
        </w:rPr>
        <w:t>Transevropská dopravní síť (Trans-European Transport Network)</w:t>
      </w:r>
    </w:p>
    <w:p w:rsidR="002C4160" w:rsidRPr="000B521F" w:rsidRDefault="002B23F0" w:rsidP="0059011D">
      <w:pPr>
        <w:tabs>
          <w:tab w:val="left" w:pos="4253"/>
        </w:tabs>
        <w:spacing w:after="120" w:line="240" w:lineRule="auto"/>
        <w:ind w:left="4253" w:hanging="4253"/>
        <w:rPr>
          <w:rFonts w:ascii="Times New Roman" w:hAnsi="Times New Roman" w:cs="Times New Roman"/>
          <w:sz w:val="24"/>
          <w:szCs w:val="24"/>
        </w:rPr>
      </w:pPr>
      <w:r w:rsidRPr="000B521F">
        <w:rPr>
          <w:rFonts w:ascii="Times New Roman" w:hAnsi="Times New Roman" w:cs="Times New Roman"/>
          <w:sz w:val="24"/>
          <w:szCs w:val="24"/>
        </w:rPr>
        <w:t xml:space="preserve">THFKVS </w:t>
      </w:r>
      <w:r w:rsidRPr="000B521F">
        <w:rPr>
          <w:rFonts w:ascii="Times New Roman" w:hAnsi="Times New Roman" w:cs="Times New Roman"/>
          <w:sz w:val="24"/>
          <w:szCs w:val="24"/>
        </w:rPr>
        <w:tab/>
        <w:t>Tvorba hrubého fixního kapitálu vládního sektoru</w:t>
      </w:r>
    </w:p>
    <w:p w:rsidR="0018040B" w:rsidRPr="000B521F" w:rsidRDefault="00943982"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TO</w:t>
      </w:r>
      <w:r w:rsidRPr="000B521F">
        <w:rPr>
          <w:rFonts w:ascii="Times New Roman" w:hAnsi="Times New Roman" w:cs="Times New Roman"/>
          <w:sz w:val="24"/>
          <w:szCs w:val="24"/>
        </w:rPr>
        <w:tab/>
        <w:t>Tematické okruhy</w:t>
      </w:r>
    </w:p>
    <w:p w:rsidR="0018040B" w:rsidRPr="000B521F" w:rsidRDefault="00943982"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TOP</w:t>
      </w:r>
      <w:r w:rsidRPr="000B521F">
        <w:rPr>
          <w:rFonts w:ascii="Times New Roman" w:hAnsi="Times New Roman" w:cs="Times New Roman"/>
          <w:sz w:val="24"/>
          <w:szCs w:val="24"/>
        </w:rPr>
        <w:tab/>
        <w:t>Tematický operační program</w:t>
      </w:r>
    </w:p>
    <w:p w:rsidR="0018040B" w:rsidRPr="000B521F" w:rsidRDefault="00943982" w:rsidP="0059011D">
      <w:pPr>
        <w:tabs>
          <w:tab w:val="left" w:pos="4253"/>
        </w:tabs>
        <w:spacing w:after="120" w:line="240" w:lineRule="auto"/>
        <w:rPr>
          <w:rFonts w:ascii="Times New Roman" w:hAnsi="Times New Roman" w:cs="Times New Roman"/>
          <w:sz w:val="24"/>
          <w:szCs w:val="24"/>
          <w:u w:color="000000"/>
        </w:rPr>
      </w:pPr>
      <w:r w:rsidRPr="000B521F">
        <w:rPr>
          <w:rFonts w:ascii="Times New Roman" w:hAnsi="Times New Roman" w:cs="Times New Roman"/>
          <w:sz w:val="24"/>
          <w:szCs w:val="24"/>
          <w:u w:color="000000"/>
        </w:rPr>
        <w:t>URBACT</w:t>
      </w:r>
      <w:r w:rsidRPr="000B521F">
        <w:rPr>
          <w:rFonts w:ascii="Times New Roman" w:hAnsi="Times New Roman" w:cs="Times New Roman"/>
          <w:sz w:val="24"/>
          <w:szCs w:val="24"/>
          <w:u w:color="000000"/>
        </w:rPr>
        <w:tab/>
        <w:t>Název operačního programu</w:t>
      </w:r>
    </w:p>
    <w:p w:rsidR="0018040B" w:rsidRPr="000B521F" w:rsidRDefault="00943982"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ÚSES</w:t>
      </w:r>
      <w:r w:rsidRPr="000B521F">
        <w:rPr>
          <w:rFonts w:ascii="Times New Roman" w:hAnsi="Times New Roman" w:cs="Times New Roman"/>
          <w:sz w:val="24"/>
          <w:szCs w:val="24"/>
        </w:rPr>
        <w:tab/>
        <w:t xml:space="preserve">Územní systém ekologické stability </w:t>
      </w:r>
    </w:p>
    <w:p w:rsidR="0018040B" w:rsidRPr="000B521F" w:rsidRDefault="00943982"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ÚZEI</w:t>
      </w:r>
      <w:r w:rsidRPr="000B521F">
        <w:rPr>
          <w:rFonts w:ascii="Times New Roman" w:hAnsi="Times New Roman" w:cs="Times New Roman"/>
          <w:sz w:val="24"/>
          <w:szCs w:val="24"/>
        </w:rPr>
        <w:tab/>
        <w:t>Ústav zemědělské ekonomiky a informací</w:t>
      </w:r>
    </w:p>
    <w:p w:rsidR="0018040B" w:rsidRPr="000B521F" w:rsidRDefault="00943982"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VaV</w:t>
      </w:r>
      <w:r w:rsidRPr="000B521F">
        <w:rPr>
          <w:rFonts w:ascii="Times New Roman" w:hAnsi="Times New Roman" w:cs="Times New Roman"/>
          <w:sz w:val="24"/>
          <w:szCs w:val="24"/>
        </w:rPr>
        <w:tab/>
        <w:t>Výzkum a vývoj</w:t>
      </w:r>
    </w:p>
    <w:p w:rsidR="0018040B" w:rsidRPr="000B521F" w:rsidRDefault="00943982"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VaVaI</w:t>
      </w:r>
      <w:r w:rsidRPr="000B521F">
        <w:rPr>
          <w:rFonts w:ascii="Times New Roman" w:hAnsi="Times New Roman" w:cs="Times New Roman"/>
          <w:sz w:val="24"/>
          <w:szCs w:val="24"/>
        </w:rPr>
        <w:tab/>
        <w:t>Výzkum, vývoj a inovace</w:t>
      </w:r>
    </w:p>
    <w:p w:rsidR="0018040B" w:rsidRPr="000B521F" w:rsidRDefault="00943982"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VPM</w:t>
      </w:r>
      <w:r w:rsidRPr="000B521F">
        <w:rPr>
          <w:rFonts w:ascii="Times New Roman" w:hAnsi="Times New Roman" w:cs="Times New Roman"/>
          <w:sz w:val="24"/>
          <w:szCs w:val="24"/>
        </w:rPr>
        <w:tab/>
        <w:t>Volná pracovní místa</w:t>
      </w:r>
    </w:p>
    <w:p w:rsidR="0018040B" w:rsidRPr="000B521F" w:rsidRDefault="00943982"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VŠ</w:t>
      </w:r>
      <w:r w:rsidRPr="000B521F">
        <w:rPr>
          <w:rFonts w:ascii="Times New Roman" w:hAnsi="Times New Roman" w:cs="Times New Roman"/>
          <w:sz w:val="24"/>
          <w:szCs w:val="24"/>
        </w:rPr>
        <w:tab/>
        <w:t>Vysoká škola/školství</w:t>
      </w:r>
    </w:p>
    <w:p w:rsidR="0018040B" w:rsidRPr="000B521F" w:rsidRDefault="00943982"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YEI</w:t>
      </w:r>
      <w:r w:rsidRPr="000B521F">
        <w:rPr>
          <w:rFonts w:ascii="Times New Roman" w:hAnsi="Times New Roman" w:cs="Times New Roman"/>
          <w:sz w:val="24"/>
          <w:szCs w:val="24"/>
        </w:rPr>
        <w:tab/>
        <w:t>Iniciativa na podporu zaměstnanosti mladých lidí</w:t>
      </w:r>
      <w:r w:rsidRPr="000B521F">
        <w:rPr>
          <w:rFonts w:ascii="Times New Roman" w:hAnsi="Times New Roman" w:cs="Times New Roman"/>
          <w:sz w:val="24"/>
          <w:szCs w:val="24"/>
        </w:rPr>
        <w:tab/>
        <w:t>(Youth</w:t>
      </w:r>
      <w:r w:rsidR="00F937FC">
        <w:rPr>
          <w:rFonts w:ascii="Times New Roman" w:hAnsi="Times New Roman" w:cs="Times New Roman"/>
          <w:sz w:val="24"/>
          <w:szCs w:val="24"/>
        </w:rPr>
        <w:t xml:space="preserve"> </w:t>
      </w:r>
      <w:r w:rsidRPr="000B521F">
        <w:rPr>
          <w:rFonts w:ascii="Times New Roman" w:hAnsi="Times New Roman" w:cs="Times New Roman"/>
          <w:sz w:val="24"/>
          <w:szCs w:val="24"/>
        </w:rPr>
        <w:t>employment</w:t>
      </w:r>
      <w:r w:rsidR="00F937FC">
        <w:rPr>
          <w:rFonts w:ascii="Times New Roman" w:hAnsi="Times New Roman" w:cs="Times New Roman"/>
          <w:sz w:val="24"/>
          <w:szCs w:val="24"/>
        </w:rPr>
        <w:t xml:space="preserve"> </w:t>
      </w:r>
      <w:r w:rsidRPr="000B521F">
        <w:rPr>
          <w:rFonts w:ascii="Times New Roman" w:hAnsi="Times New Roman" w:cs="Times New Roman"/>
          <w:sz w:val="24"/>
          <w:szCs w:val="24"/>
        </w:rPr>
        <w:t>initiative)</w:t>
      </w:r>
    </w:p>
    <w:p w:rsidR="0018040B" w:rsidRPr="000B521F" w:rsidRDefault="00943982"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ZPF</w:t>
      </w:r>
      <w:r w:rsidRPr="000B521F">
        <w:rPr>
          <w:rFonts w:ascii="Times New Roman" w:hAnsi="Times New Roman" w:cs="Times New Roman"/>
          <w:sz w:val="24"/>
          <w:szCs w:val="24"/>
        </w:rPr>
        <w:tab/>
        <w:t>Zemědělský půdní fond</w:t>
      </w:r>
    </w:p>
    <w:p w:rsidR="0018040B" w:rsidRPr="000B521F" w:rsidRDefault="00943982"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ZS</w:t>
      </w:r>
      <w:r w:rsidRPr="000B521F">
        <w:rPr>
          <w:rFonts w:ascii="Times New Roman" w:hAnsi="Times New Roman" w:cs="Times New Roman"/>
          <w:sz w:val="24"/>
          <w:szCs w:val="24"/>
        </w:rPr>
        <w:tab/>
        <w:t>Zprostředkující subjekt</w:t>
      </w:r>
    </w:p>
    <w:p w:rsidR="0018040B" w:rsidRPr="000B521F" w:rsidRDefault="00943982" w:rsidP="0059011D">
      <w:pPr>
        <w:tabs>
          <w:tab w:val="left" w:pos="4253"/>
        </w:tabs>
        <w:spacing w:after="120" w:line="240" w:lineRule="auto"/>
        <w:rPr>
          <w:rFonts w:ascii="Times New Roman" w:hAnsi="Times New Roman" w:cs="Times New Roman"/>
          <w:sz w:val="24"/>
          <w:szCs w:val="24"/>
        </w:rPr>
      </w:pPr>
      <w:r w:rsidRPr="000B521F">
        <w:rPr>
          <w:rFonts w:ascii="Times New Roman" w:hAnsi="Times New Roman" w:cs="Times New Roman"/>
          <w:sz w:val="24"/>
          <w:szCs w:val="24"/>
        </w:rPr>
        <w:t>ZŠ</w:t>
      </w:r>
      <w:r w:rsidRPr="000B521F">
        <w:rPr>
          <w:rFonts w:ascii="Times New Roman" w:hAnsi="Times New Roman" w:cs="Times New Roman"/>
          <w:sz w:val="24"/>
          <w:szCs w:val="24"/>
        </w:rPr>
        <w:tab/>
        <w:t>Základní škola/školství</w:t>
      </w:r>
    </w:p>
    <w:p w:rsidR="00013806" w:rsidRPr="000B521F" w:rsidRDefault="00013806" w:rsidP="0059011D">
      <w:pPr>
        <w:spacing w:after="120" w:line="240" w:lineRule="auto"/>
        <w:jc w:val="both"/>
        <w:rPr>
          <w:rFonts w:ascii="Times New Roman" w:hAnsi="Times New Roman" w:cs="Times New Roman"/>
          <w:sz w:val="24"/>
          <w:szCs w:val="24"/>
        </w:rPr>
      </w:pPr>
    </w:p>
    <w:sectPr w:rsidR="00013806" w:rsidRPr="000B521F" w:rsidSect="00D444FD">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5D8C" w:rsidRDefault="00885D8C" w:rsidP="00582F78">
      <w:pPr>
        <w:spacing w:after="0" w:line="240" w:lineRule="auto"/>
      </w:pPr>
      <w:r>
        <w:separator/>
      </w:r>
    </w:p>
  </w:endnote>
  <w:endnote w:type="continuationSeparator" w:id="0">
    <w:p w:rsidR="00885D8C" w:rsidRDefault="00885D8C" w:rsidP="00582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Corbel">
    <w:panose1 w:val="020B0503020204020204"/>
    <w:charset w:val="EE"/>
    <w:family w:val="swiss"/>
    <w:pitch w:val="variable"/>
    <w:sig w:usb0="A00002EF" w:usb1="4000A44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Franklin Gothic Medium">
    <w:panose1 w:val="020B06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34F" w:rsidRDefault="0005034F">
    <w:pPr>
      <w:pStyle w:val="Zpat"/>
      <w:jc w:val="right"/>
      <w:rPr>
        <w:rFonts w:ascii="Times New Roman" w:hAnsi="Times New Roman" w:cs="Times New Roman"/>
        <w:sz w:val="18"/>
        <w:szCs w:val="18"/>
      </w:rPr>
    </w:pPr>
  </w:p>
  <w:p w:rsidR="0005034F" w:rsidRPr="00A719BD" w:rsidRDefault="0005034F">
    <w:pPr>
      <w:pStyle w:val="Zpat"/>
      <w:jc w:val="right"/>
      <w:rPr>
        <w:rFonts w:ascii="Times New Roman" w:hAnsi="Times New Roman" w:cs="Times New Roman"/>
        <w:sz w:val="18"/>
        <w:szCs w:val="18"/>
      </w:rPr>
    </w:pPr>
    <w:r w:rsidRPr="00A719BD">
      <w:rPr>
        <w:rFonts w:ascii="Times New Roman" w:hAnsi="Times New Roman" w:cs="Times New Roman"/>
        <w:sz w:val="18"/>
        <w:szCs w:val="18"/>
      </w:rPr>
      <w:t xml:space="preserve">Stránka </w:t>
    </w:r>
    <w:r w:rsidRPr="00A719BD">
      <w:rPr>
        <w:rFonts w:ascii="Times New Roman" w:hAnsi="Times New Roman" w:cs="Times New Roman"/>
        <w:b/>
        <w:sz w:val="18"/>
        <w:szCs w:val="18"/>
      </w:rPr>
      <w:fldChar w:fldCharType="begin"/>
    </w:r>
    <w:r w:rsidRPr="00A719BD">
      <w:rPr>
        <w:rFonts w:ascii="Times New Roman" w:hAnsi="Times New Roman" w:cs="Times New Roman"/>
        <w:b/>
        <w:sz w:val="18"/>
        <w:szCs w:val="18"/>
      </w:rPr>
      <w:instrText>PAGE</w:instrText>
    </w:r>
    <w:r w:rsidRPr="00A719BD">
      <w:rPr>
        <w:rFonts w:ascii="Times New Roman" w:hAnsi="Times New Roman" w:cs="Times New Roman"/>
        <w:b/>
        <w:sz w:val="18"/>
        <w:szCs w:val="18"/>
      </w:rPr>
      <w:fldChar w:fldCharType="separate"/>
    </w:r>
    <w:r w:rsidR="007C0356">
      <w:rPr>
        <w:rFonts w:ascii="Times New Roman" w:hAnsi="Times New Roman" w:cs="Times New Roman"/>
        <w:b/>
        <w:noProof/>
        <w:sz w:val="18"/>
        <w:szCs w:val="18"/>
      </w:rPr>
      <w:t>2</w:t>
    </w:r>
    <w:r w:rsidRPr="00A719BD">
      <w:rPr>
        <w:rFonts w:ascii="Times New Roman" w:hAnsi="Times New Roman" w:cs="Times New Roman"/>
        <w:b/>
        <w:sz w:val="18"/>
        <w:szCs w:val="18"/>
      </w:rPr>
      <w:fldChar w:fldCharType="end"/>
    </w:r>
    <w:r w:rsidRPr="00A719BD">
      <w:rPr>
        <w:rFonts w:ascii="Times New Roman" w:hAnsi="Times New Roman" w:cs="Times New Roman"/>
        <w:sz w:val="18"/>
        <w:szCs w:val="18"/>
      </w:rPr>
      <w:t xml:space="preserve"> z </w:t>
    </w:r>
    <w:r w:rsidRPr="00A719BD">
      <w:rPr>
        <w:rFonts w:ascii="Times New Roman" w:hAnsi="Times New Roman" w:cs="Times New Roman"/>
        <w:b/>
        <w:sz w:val="18"/>
        <w:szCs w:val="18"/>
      </w:rPr>
      <w:fldChar w:fldCharType="begin"/>
    </w:r>
    <w:r w:rsidRPr="00A719BD">
      <w:rPr>
        <w:rFonts w:ascii="Times New Roman" w:hAnsi="Times New Roman" w:cs="Times New Roman"/>
        <w:b/>
        <w:sz w:val="18"/>
        <w:szCs w:val="18"/>
      </w:rPr>
      <w:instrText>NUMPAGES</w:instrText>
    </w:r>
    <w:r w:rsidRPr="00A719BD">
      <w:rPr>
        <w:rFonts w:ascii="Times New Roman" w:hAnsi="Times New Roman" w:cs="Times New Roman"/>
        <w:b/>
        <w:sz w:val="18"/>
        <w:szCs w:val="18"/>
      </w:rPr>
      <w:fldChar w:fldCharType="separate"/>
    </w:r>
    <w:r w:rsidR="007C0356">
      <w:rPr>
        <w:rFonts w:ascii="Times New Roman" w:hAnsi="Times New Roman" w:cs="Times New Roman"/>
        <w:b/>
        <w:noProof/>
        <w:sz w:val="18"/>
        <w:szCs w:val="18"/>
      </w:rPr>
      <w:t>151</w:t>
    </w:r>
    <w:r w:rsidRPr="00A719BD">
      <w:rPr>
        <w:rFonts w:ascii="Times New Roman" w:hAnsi="Times New Roman" w:cs="Times New Roman"/>
        <w:b/>
        <w:sz w:val="18"/>
        <w:szCs w:val="18"/>
      </w:rPr>
      <w:fldChar w:fldCharType="end"/>
    </w:r>
  </w:p>
  <w:p w:rsidR="0005034F" w:rsidRDefault="0005034F">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5D8C" w:rsidRDefault="00885D8C" w:rsidP="00582F78">
      <w:pPr>
        <w:spacing w:after="0" w:line="240" w:lineRule="auto"/>
      </w:pPr>
      <w:r>
        <w:separator/>
      </w:r>
    </w:p>
  </w:footnote>
  <w:footnote w:type="continuationSeparator" w:id="0">
    <w:p w:rsidR="00885D8C" w:rsidRDefault="00885D8C" w:rsidP="00582F78">
      <w:pPr>
        <w:spacing w:after="0" w:line="240" w:lineRule="auto"/>
      </w:pPr>
      <w:r>
        <w:continuationSeparator/>
      </w:r>
    </w:p>
  </w:footnote>
  <w:footnote w:id="1">
    <w:p w:rsidR="0005034F" w:rsidRPr="009E757B" w:rsidRDefault="0005034F" w:rsidP="009E757B">
      <w:pPr>
        <w:pStyle w:val="Textpoznpodarou"/>
        <w:spacing w:after="0" w:line="240" w:lineRule="auto"/>
        <w:jc w:val="both"/>
        <w:rPr>
          <w:rFonts w:ascii="Times New Roman" w:hAnsi="Times New Roman"/>
          <w:b/>
          <w:sz w:val="20"/>
        </w:rPr>
      </w:pPr>
      <w:r w:rsidRPr="009E757B">
        <w:rPr>
          <w:rStyle w:val="Znakapoznpodarou"/>
          <w:rFonts w:ascii="Times New Roman" w:hAnsi="Times New Roman"/>
          <w:sz w:val="20"/>
        </w:rPr>
        <w:footnoteRef/>
      </w:r>
      <w:r w:rsidRPr="009E757B">
        <w:rPr>
          <w:rFonts w:ascii="Times New Roman" w:hAnsi="Times New Roman"/>
          <w:sz w:val="20"/>
          <w:lang w:val="cs-CZ"/>
        </w:rPr>
        <w:t xml:space="preserve"> Nařízení Evropského parlamentu (EP) a Rady o společných ustanoveních ohledně Evropského fondu pro regionální rozvoj (EFRR), Evropského sociálního fondu (ESF), Fondu soudržnosti (FS), Evropského zemědělského fondu pro rozvoj venkova (EZFRV) a Evropského námořního a rybářského fondu (ENRF), jichž se týká SSR, o obecných ustanoveních ohledně EFRR, ESF a FS a o zrušení nařízení (ES) č. 1083/2006.</w:t>
      </w:r>
    </w:p>
  </w:footnote>
  <w:footnote w:id="2">
    <w:p w:rsidR="0005034F" w:rsidRPr="008F5036" w:rsidRDefault="0005034F" w:rsidP="008F5036">
      <w:pPr>
        <w:pStyle w:val="Textpoznpodarou"/>
        <w:spacing w:after="0" w:line="240" w:lineRule="auto"/>
        <w:jc w:val="both"/>
        <w:rPr>
          <w:rFonts w:ascii="Times New Roman" w:hAnsi="Times New Roman"/>
          <w:sz w:val="20"/>
          <w:lang w:val="cs-CZ"/>
        </w:rPr>
      </w:pPr>
      <w:r w:rsidRPr="008F5036">
        <w:rPr>
          <w:rStyle w:val="Znakapoznpodarou"/>
          <w:rFonts w:ascii="Times New Roman" w:hAnsi="Times New Roman"/>
          <w:sz w:val="20"/>
        </w:rPr>
        <w:footnoteRef/>
      </w:r>
      <w:r w:rsidRPr="008F5036">
        <w:rPr>
          <w:rFonts w:ascii="Times New Roman" w:hAnsi="Times New Roman"/>
          <w:sz w:val="20"/>
        </w:rPr>
        <w:t xml:space="preserve"> </w:t>
      </w:r>
      <w:r w:rsidRPr="008F5036">
        <w:rPr>
          <w:rFonts w:ascii="Times New Roman" w:hAnsi="Times New Roman"/>
          <w:sz w:val="20"/>
          <w:lang w:val="cs-CZ"/>
        </w:rPr>
        <w:t xml:space="preserve">Zdroj dat: ČSÚ: Čtvrtletní národní účty , Tvorba a užití HDP a Předběžný odhad HDP. Online na: </w:t>
      </w:r>
      <w:hyperlink r:id="rId1" w:history="1">
        <w:r w:rsidRPr="00235A8B">
          <w:rPr>
            <w:rStyle w:val="Hypertextovodkaz"/>
            <w:rFonts w:ascii="Times New Roman" w:hAnsi="Times New Roman"/>
            <w:sz w:val="20"/>
            <w:lang w:val="cs-CZ"/>
          </w:rPr>
          <w:t>http://www.czso.cz/csu/csu.nsf/kalendar/aktual-hdp</w:t>
        </w:r>
      </w:hyperlink>
    </w:p>
  </w:footnote>
  <w:footnote w:id="3">
    <w:p w:rsidR="0005034F" w:rsidRPr="009E757B" w:rsidRDefault="0005034F" w:rsidP="009E757B">
      <w:pPr>
        <w:pStyle w:val="Textpoznpodarou"/>
        <w:spacing w:after="0" w:line="240" w:lineRule="auto"/>
        <w:jc w:val="both"/>
        <w:rPr>
          <w:rFonts w:ascii="Times New Roman" w:eastAsia="Times New Roman" w:hAnsi="Times New Roman"/>
          <w:sz w:val="20"/>
          <w:lang w:val="en-US"/>
        </w:rPr>
      </w:pPr>
      <w:r w:rsidRPr="009E757B">
        <w:rPr>
          <w:rStyle w:val="Znakapoznpodarou"/>
          <w:rFonts w:ascii="Times New Roman" w:hAnsi="Times New Roman"/>
          <w:sz w:val="20"/>
        </w:rPr>
        <w:footnoteRef/>
      </w:r>
      <w:r w:rsidRPr="009E757B">
        <w:rPr>
          <w:rFonts w:ascii="Times New Roman" w:hAnsi="Times New Roman"/>
          <w:sz w:val="20"/>
          <w:lang w:val="cs-CZ"/>
        </w:rPr>
        <w:t>Zdroj dat</w:t>
      </w:r>
      <w:r w:rsidRPr="009E757B">
        <w:rPr>
          <w:rFonts w:ascii="Times New Roman" w:hAnsi="Times New Roman"/>
          <w:sz w:val="20"/>
        </w:rPr>
        <w:t>: Eurostat: National Accounts. GDP and Main Components, 2013.</w:t>
      </w:r>
      <w:r w:rsidRPr="009E757B">
        <w:rPr>
          <w:rFonts w:ascii="Times New Roman" w:hAnsi="Times New Roman"/>
          <w:sz w:val="20"/>
          <w:lang w:val="en-US"/>
        </w:rPr>
        <w:t xml:space="preserve">Online na: </w:t>
      </w:r>
      <w:hyperlink r:id="rId2" w:history="1">
        <w:r w:rsidRPr="009E757B">
          <w:rPr>
            <w:rStyle w:val="Hypertextovodkaz"/>
            <w:rFonts w:ascii="Times New Roman" w:hAnsi="Times New Roman"/>
            <w:sz w:val="20"/>
            <w:lang w:val="en-US"/>
          </w:rPr>
          <w:t>http://epp.eurostat.ec.europa.eu/portal/page/portal/national_accounts/data/database</w:t>
        </w:r>
      </w:hyperlink>
    </w:p>
  </w:footnote>
  <w:footnote w:id="4">
    <w:p w:rsidR="0005034F" w:rsidRPr="009E757B" w:rsidRDefault="0005034F"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lang w:val="cs-CZ"/>
        </w:rPr>
        <w:footnoteRef/>
      </w:r>
      <w:r w:rsidRPr="009E757B">
        <w:rPr>
          <w:rFonts w:ascii="Times New Roman" w:hAnsi="Times New Roman"/>
          <w:sz w:val="20"/>
          <w:lang w:val="cs-CZ"/>
        </w:rPr>
        <w:t xml:space="preserve">Zdroj dat: ČSÚ: Časová řada základních ukazatelů Výběrového šetření pracovních sil, 2013. Online na: </w:t>
      </w:r>
      <w:hyperlink r:id="rId3" w:history="1">
        <w:r w:rsidRPr="009E757B">
          <w:rPr>
            <w:rStyle w:val="Hypertextovodkaz"/>
            <w:rFonts w:ascii="Times New Roman" w:hAnsi="Times New Roman"/>
            <w:sz w:val="20"/>
            <w:lang w:val="cs-CZ"/>
          </w:rPr>
          <w:t>http://www.czso.cz/csu/redakce.nsf/i/zam_cr</w:t>
        </w:r>
      </w:hyperlink>
    </w:p>
  </w:footnote>
  <w:footnote w:id="5">
    <w:p w:rsidR="0005034F" w:rsidRPr="003120B5" w:rsidRDefault="0005034F" w:rsidP="003120B5">
      <w:pPr>
        <w:pStyle w:val="Textpoznpodarou"/>
        <w:spacing w:after="0" w:line="240" w:lineRule="auto"/>
        <w:rPr>
          <w:rFonts w:ascii="Times New Roman" w:hAnsi="Times New Roman"/>
          <w:sz w:val="20"/>
          <w:lang w:val="cs-CZ"/>
        </w:rPr>
      </w:pPr>
      <w:r w:rsidRPr="003120B5">
        <w:rPr>
          <w:rStyle w:val="Znakapoznpodarou"/>
          <w:rFonts w:ascii="Times New Roman" w:hAnsi="Times New Roman"/>
          <w:sz w:val="20"/>
        </w:rPr>
        <w:footnoteRef/>
      </w:r>
      <w:r w:rsidRPr="003120B5">
        <w:rPr>
          <w:rFonts w:ascii="Times New Roman" w:hAnsi="Times New Roman"/>
          <w:sz w:val="20"/>
        </w:rPr>
        <w:t xml:space="preserve"> </w:t>
      </w:r>
      <w:r w:rsidRPr="003120B5">
        <w:rPr>
          <w:rFonts w:ascii="Times New Roman" w:hAnsi="Times New Roman"/>
          <w:sz w:val="20"/>
          <w:lang w:val="cs-CZ"/>
        </w:rPr>
        <w:t>Jednotka značí kolik energie (GJ) bylo potřeba k vytvoření HDP ve výši 1000 Kč ve stálých cenách roku 2005.</w:t>
      </w:r>
    </w:p>
  </w:footnote>
  <w:footnote w:id="6">
    <w:p w:rsidR="0005034F" w:rsidRPr="009E757B" w:rsidRDefault="0005034F" w:rsidP="009E757B">
      <w:pPr>
        <w:pStyle w:val="Textpoznpodarou"/>
        <w:spacing w:after="0" w:line="240" w:lineRule="auto"/>
        <w:jc w:val="both"/>
        <w:rPr>
          <w:rFonts w:ascii="Times New Roman" w:hAnsi="Times New Roman"/>
          <w:sz w:val="20"/>
          <w:lang w:val="de-DE"/>
        </w:rPr>
      </w:pPr>
      <w:r w:rsidRPr="009E757B">
        <w:rPr>
          <w:rStyle w:val="Znakapoznpodarou"/>
          <w:rFonts w:ascii="Times New Roman" w:hAnsi="Times New Roman"/>
          <w:sz w:val="20"/>
        </w:rPr>
        <w:footnoteRef/>
      </w:r>
      <w:r w:rsidRPr="009E757B">
        <w:rPr>
          <w:rFonts w:ascii="Times New Roman" w:hAnsi="Times New Roman"/>
          <w:sz w:val="20"/>
        </w:rPr>
        <w:t xml:space="preserve">Zdroj: World Economic Forum: Global Competitiveness Report 2013–2014. </w:t>
      </w:r>
      <w:r w:rsidRPr="009E757B">
        <w:rPr>
          <w:rFonts w:ascii="Times New Roman" w:hAnsi="Times New Roman"/>
          <w:sz w:val="20"/>
          <w:lang w:val="de-DE"/>
        </w:rPr>
        <w:t xml:space="preserve">Online na: </w:t>
      </w:r>
      <w:hyperlink r:id="rId4" w:history="1">
        <w:r w:rsidRPr="009E757B">
          <w:rPr>
            <w:rStyle w:val="Hypertextovodkaz"/>
            <w:rFonts w:ascii="Times New Roman" w:hAnsi="Times New Roman"/>
            <w:sz w:val="20"/>
            <w:lang w:val="de-DE"/>
          </w:rPr>
          <w:t>http://www.weforum.org/reports/global-competitiveness-report-2013-2014</w:t>
        </w:r>
      </w:hyperlink>
    </w:p>
  </w:footnote>
  <w:footnote w:id="7">
    <w:p w:rsidR="0005034F" w:rsidRPr="009E757B" w:rsidRDefault="0005034F"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sidRPr="009E757B">
        <w:rPr>
          <w:rFonts w:ascii="Times New Roman" w:hAnsi="Times New Roman"/>
          <w:sz w:val="20"/>
          <w:lang w:val="cs-CZ"/>
        </w:rPr>
        <w:t>Tamtéž.</w:t>
      </w:r>
    </w:p>
  </w:footnote>
  <w:footnote w:id="8">
    <w:p w:rsidR="0005034F" w:rsidRPr="009E757B" w:rsidRDefault="0005034F"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sidRPr="009E757B">
        <w:rPr>
          <w:rFonts w:ascii="Times New Roman" w:hAnsi="Times New Roman"/>
          <w:sz w:val="20"/>
          <w:lang w:val="de-DE"/>
        </w:rPr>
        <w:t xml:space="preserve"> </w:t>
      </w:r>
      <w:r w:rsidRPr="009E757B">
        <w:rPr>
          <w:rFonts w:ascii="Times New Roman" w:hAnsi="Times New Roman"/>
          <w:sz w:val="20"/>
          <w:lang w:val="cs-CZ"/>
        </w:rPr>
        <w:t xml:space="preserve">NRP byly </w:t>
      </w:r>
      <w:r w:rsidRPr="009E757B">
        <w:rPr>
          <w:rFonts w:ascii="Times New Roman" w:eastAsia="Arial Unicode MS" w:hAnsi="Times New Roman"/>
          <w:sz w:val="20"/>
          <w:lang w:val="cs-CZ"/>
        </w:rPr>
        <w:t>projednány vládou a vzaty na vědomí usnesením vlády č. 650/2011.</w:t>
      </w:r>
    </w:p>
  </w:footnote>
  <w:footnote w:id="9">
    <w:p w:rsidR="0005034F" w:rsidRPr="009E757B" w:rsidRDefault="0005034F"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sidRPr="009E757B">
        <w:rPr>
          <w:rFonts w:ascii="Times New Roman" w:eastAsia="Calibri" w:hAnsi="Times New Roman"/>
          <w:color w:val="000000"/>
          <w:sz w:val="20"/>
          <w:lang w:val="cs-CZ"/>
        </w:rPr>
        <w:t>Jsou jimi nedostatečně výkonný systém výzkumu a inovací, nedostatečně rozvinutá dopravní infrastruktura, nevýkonný vzdělávací systém, nedostatečně využívaný potenciál trhu práce, neúčinné využívání zdrojů a neefektivní veřejná správa.</w:t>
      </w:r>
    </w:p>
  </w:footnote>
  <w:footnote w:id="10">
    <w:p w:rsidR="0005034F" w:rsidRPr="009E757B" w:rsidRDefault="0005034F"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sidRPr="009E757B">
        <w:rPr>
          <w:rFonts w:ascii="Times New Roman" w:hAnsi="Times New Roman"/>
          <w:sz w:val="20"/>
          <w:lang w:val="cs-CZ"/>
        </w:rPr>
        <w:t xml:space="preserve">Zdroj dat: ČSÚ: Časová řada základních ukazatelů Výběrového šetření pracovních sil, 2013. Online na: </w:t>
      </w:r>
      <w:hyperlink r:id="rId5" w:history="1">
        <w:r w:rsidRPr="009E757B">
          <w:rPr>
            <w:rStyle w:val="Hypertextovodkaz"/>
            <w:rFonts w:ascii="Times New Roman" w:hAnsi="Times New Roman"/>
            <w:sz w:val="20"/>
            <w:lang w:val="cs-CZ"/>
          </w:rPr>
          <w:t>http://www.czso.cz/csu/redakce.nsf/i/zam_cr</w:t>
        </w:r>
      </w:hyperlink>
    </w:p>
  </w:footnote>
  <w:footnote w:id="11">
    <w:p w:rsidR="0005034F" w:rsidRPr="009E757B" w:rsidRDefault="0005034F"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sidRPr="009E757B">
        <w:rPr>
          <w:rFonts w:ascii="Times New Roman" w:hAnsi="Times New Roman"/>
          <w:sz w:val="20"/>
          <w:lang w:val="cs-CZ"/>
        </w:rPr>
        <w:t>Zdroj dat: ČSÚ: Výběrové šetření pracovních sil, 2013. Vlastní výpočty.</w:t>
      </w:r>
    </w:p>
  </w:footnote>
  <w:footnote w:id="12">
    <w:p w:rsidR="0005034F" w:rsidRPr="009E757B" w:rsidRDefault="0005034F" w:rsidP="009E757B">
      <w:pPr>
        <w:pStyle w:val="Textpoznpodarou"/>
        <w:tabs>
          <w:tab w:val="left" w:pos="7883"/>
        </w:tabs>
        <w:spacing w:after="0" w:line="240" w:lineRule="auto"/>
        <w:jc w:val="both"/>
        <w:rPr>
          <w:rFonts w:ascii="Times New Roman" w:hAnsi="Times New Roman"/>
          <w:sz w:val="20"/>
          <w:lang w:val="de-DE"/>
        </w:rPr>
      </w:pPr>
      <w:r w:rsidRPr="009E757B">
        <w:rPr>
          <w:rStyle w:val="Znakapoznpodarou"/>
          <w:rFonts w:ascii="Times New Roman" w:hAnsi="Times New Roman"/>
          <w:sz w:val="20"/>
        </w:rPr>
        <w:footnoteRef/>
      </w:r>
      <w:r w:rsidRPr="009E757B">
        <w:rPr>
          <w:rFonts w:ascii="Times New Roman" w:hAnsi="Times New Roman"/>
          <w:sz w:val="20"/>
          <w:lang w:val="de-DE"/>
        </w:rPr>
        <w:t xml:space="preserve"> </w:t>
      </w:r>
      <w:r w:rsidRPr="009E757B">
        <w:rPr>
          <w:rFonts w:ascii="Times New Roman" w:hAnsi="Times New Roman"/>
          <w:sz w:val="20"/>
          <w:lang w:val="cs-CZ"/>
        </w:rPr>
        <w:t>Zdroj dat v této části analýzy: ČSÚ: Výběrové šetření pracovních sil, 2013. Vlastní výpočty.</w:t>
      </w:r>
      <w:r w:rsidRPr="009E757B">
        <w:rPr>
          <w:rFonts w:ascii="Times New Roman" w:hAnsi="Times New Roman"/>
          <w:sz w:val="20"/>
          <w:lang w:val="cs-CZ"/>
        </w:rPr>
        <w:tab/>
      </w:r>
    </w:p>
  </w:footnote>
  <w:footnote w:id="13">
    <w:p w:rsidR="0005034F" w:rsidRPr="009E757B" w:rsidRDefault="0005034F"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sidRPr="009E757B">
        <w:rPr>
          <w:rFonts w:ascii="Times New Roman" w:hAnsi="Times New Roman"/>
          <w:sz w:val="20"/>
          <w:lang w:val="de-DE"/>
        </w:rPr>
        <w:t xml:space="preserve"> </w:t>
      </w:r>
      <w:r w:rsidRPr="009E757B">
        <w:rPr>
          <w:rFonts w:ascii="Times New Roman" w:hAnsi="Times New Roman"/>
          <w:sz w:val="20"/>
          <w:lang w:val="cs-CZ"/>
        </w:rPr>
        <w:t>Tamtéž.</w:t>
      </w:r>
    </w:p>
  </w:footnote>
  <w:footnote w:id="14">
    <w:p w:rsidR="0005034F" w:rsidRPr="009E757B" w:rsidRDefault="0005034F"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sidRPr="009E757B">
        <w:rPr>
          <w:rFonts w:ascii="Times New Roman" w:hAnsi="Times New Roman"/>
          <w:sz w:val="20"/>
          <w:lang w:val="cs-CZ"/>
        </w:rPr>
        <w:t xml:space="preserve"> Zdroj: Úřad práce ČR.</w:t>
      </w:r>
    </w:p>
  </w:footnote>
  <w:footnote w:id="15">
    <w:p w:rsidR="0005034F" w:rsidRPr="009E757B" w:rsidRDefault="0005034F"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sidRPr="009E757B">
        <w:rPr>
          <w:rFonts w:ascii="Times New Roman" w:hAnsi="Times New Roman"/>
          <w:sz w:val="20"/>
          <w:lang w:val="cs-CZ"/>
        </w:rPr>
        <w:t xml:space="preserve"> Zdroj: </w:t>
      </w:r>
      <w:r w:rsidRPr="009E757B">
        <w:rPr>
          <w:rFonts w:ascii="Times New Roman" w:hAnsi="Times New Roman"/>
          <w:sz w:val="20"/>
        </w:rPr>
        <w:t xml:space="preserve">Adult Education Survey (Eurostat 2013). </w:t>
      </w:r>
      <w:r w:rsidRPr="009E757B">
        <w:rPr>
          <w:rFonts w:ascii="Times New Roman" w:hAnsi="Times New Roman"/>
          <w:sz w:val="20"/>
          <w:lang w:val="cs-CZ"/>
        </w:rPr>
        <w:t xml:space="preserve">Online na: </w:t>
      </w:r>
      <w:hyperlink r:id="rId6" w:history="1">
        <w:r w:rsidRPr="009E757B">
          <w:rPr>
            <w:rStyle w:val="Hypertextovodkaz"/>
            <w:rFonts w:ascii="Times New Roman" w:hAnsi="Times New Roman"/>
            <w:sz w:val="20"/>
            <w:lang w:val="de-DE"/>
          </w:rPr>
          <w:t>http://appsso.eurostat.ec.europa.eu/nui/show.do?dataset=trng_aes_102&amp;lang=en</w:t>
        </w:r>
      </w:hyperlink>
    </w:p>
  </w:footnote>
  <w:footnote w:id="16">
    <w:p w:rsidR="0005034F" w:rsidRPr="009E757B" w:rsidRDefault="0005034F"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sidRPr="009E757B">
        <w:rPr>
          <w:rFonts w:ascii="Times New Roman" w:hAnsi="Times New Roman"/>
          <w:sz w:val="20"/>
        </w:rPr>
        <w:t xml:space="preserve"> </w:t>
      </w:r>
      <w:r w:rsidRPr="009E757B">
        <w:rPr>
          <w:rFonts w:ascii="Times New Roman" w:hAnsi="Times New Roman"/>
          <w:sz w:val="20"/>
          <w:lang w:val="cs-CZ"/>
        </w:rPr>
        <w:t xml:space="preserve">Zdroj: </w:t>
      </w:r>
      <w:r w:rsidRPr="009E757B">
        <w:rPr>
          <w:rFonts w:ascii="Times New Roman" w:hAnsi="Times New Roman"/>
          <w:sz w:val="20"/>
        </w:rPr>
        <w:t>Continuing Vocational Training (Eurostat 2013)</w:t>
      </w:r>
      <w:r w:rsidRPr="009E757B">
        <w:rPr>
          <w:rFonts w:ascii="Times New Roman" w:hAnsi="Times New Roman"/>
          <w:sz w:val="20"/>
          <w:lang w:val="cs-CZ"/>
        </w:rPr>
        <w:t xml:space="preserve">. Online na: </w:t>
      </w:r>
      <w:hyperlink r:id="rId7" w:history="1">
        <w:r w:rsidRPr="009E757B">
          <w:rPr>
            <w:rStyle w:val="Hypertextovodkaz"/>
            <w:rFonts w:ascii="Times New Roman" w:hAnsi="Times New Roman"/>
            <w:sz w:val="20"/>
            <w:lang w:val="de-DE"/>
          </w:rPr>
          <w:t>http://appsso.eurostat.ec.europa.eu/nui/show.do?dataset=trng_cvts02&amp;lang=en</w:t>
        </w:r>
      </w:hyperlink>
    </w:p>
  </w:footnote>
  <w:footnote w:id="17">
    <w:p w:rsidR="0005034F" w:rsidRPr="009E757B" w:rsidRDefault="0005034F"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sidRPr="009E757B">
        <w:rPr>
          <w:rFonts w:ascii="Times New Roman" w:hAnsi="Times New Roman"/>
          <w:sz w:val="20"/>
          <w:lang w:val="cs-CZ"/>
        </w:rPr>
        <w:t>Viz např. OECD, PIAAC.</w:t>
      </w:r>
    </w:p>
  </w:footnote>
  <w:footnote w:id="18">
    <w:p w:rsidR="0005034F" w:rsidRPr="009E757B" w:rsidRDefault="0005034F"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sidRPr="009E757B">
        <w:rPr>
          <w:rFonts w:ascii="Times New Roman" w:hAnsi="Times New Roman"/>
          <w:sz w:val="20"/>
          <w:lang w:val="cs-CZ"/>
        </w:rPr>
        <w:t>Strategie mezinárodní konkurenceschopnosti, projektová karta Změny obsahu vzdělávání.</w:t>
      </w:r>
    </w:p>
  </w:footnote>
  <w:footnote w:id="19">
    <w:p w:rsidR="0005034F" w:rsidRPr="009E757B" w:rsidRDefault="0005034F"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sidRPr="009E757B">
        <w:rPr>
          <w:rFonts w:ascii="Times New Roman" w:hAnsi="Times New Roman"/>
          <w:sz w:val="20"/>
          <w:lang w:val="cs-CZ"/>
        </w:rPr>
        <w:t>Eurostat 2012.</w:t>
      </w:r>
    </w:p>
  </w:footnote>
  <w:footnote w:id="20">
    <w:p w:rsidR="0005034F" w:rsidRPr="009E757B" w:rsidRDefault="0005034F"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sidRPr="009E757B">
        <w:rPr>
          <w:rFonts w:ascii="Times New Roman" w:hAnsi="Times New Roman"/>
          <w:sz w:val="20"/>
          <w:lang w:val="cs-CZ"/>
        </w:rPr>
        <w:t>Eurostat 2012.</w:t>
      </w:r>
    </w:p>
  </w:footnote>
  <w:footnote w:id="21">
    <w:p w:rsidR="0005034F" w:rsidRPr="009E757B" w:rsidRDefault="0005034F"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sidRPr="009E757B">
        <w:rPr>
          <w:rFonts w:ascii="Times New Roman" w:hAnsi="Times New Roman"/>
          <w:sz w:val="20"/>
          <w:lang w:val="cs-CZ"/>
        </w:rPr>
        <w:t xml:space="preserve"> Toto potvrzují mezinárodní výzkumy v žákovské i dospělé populaci (OECD PISA, PIAAC).</w:t>
      </w:r>
    </w:p>
  </w:footnote>
  <w:footnote w:id="22">
    <w:p w:rsidR="0005034F" w:rsidRPr="009E757B" w:rsidRDefault="0005034F"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sidRPr="009E757B">
        <w:rPr>
          <w:rFonts w:ascii="Times New Roman" w:hAnsi="Times New Roman"/>
          <w:sz w:val="20"/>
          <w:lang w:val="cs-CZ"/>
        </w:rPr>
        <w:t>Výsledky mezinárodních porovnání – PISA, TIMSS.</w:t>
      </w:r>
    </w:p>
  </w:footnote>
  <w:footnote w:id="23">
    <w:p w:rsidR="0005034F" w:rsidRPr="009E757B" w:rsidRDefault="0005034F"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sidRPr="009E757B">
        <w:rPr>
          <w:rFonts w:ascii="Times New Roman" w:hAnsi="Times New Roman"/>
          <w:sz w:val="20"/>
          <w:lang w:val="cs-CZ"/>
        </w:rPr>
        <w:t xml:space="preserve"> TIMSS a PIAAC z roku 2011.</w:t>
      </w:r>
    </w:p>
  </w:footnote>
  <w:footnote w:id="24">
    <w:p w:rsidR="0005034F" w:rsidRPr="009E757B" w:rsidRDefault="0005034F" w:rsidP="009E757B">
      <w:pPr>
        <w:pStyle w:val="Textpoznpodarou"/>
        <w:spacing w:after="0" w:line="240" w:lineRule="auto"/>
        <w:jc w:val="both"/>
        <w:rPr>
          <w:rFonts w:ascii="Times New Roman" w:hAnsi="Times New Roman"/>
          <w:color w:val="000000"/>
          <w:sz w:val="20"/>
          <w:lang w:val="cs-CZ"/>
        </w:rPr>
      </w:pPr>
      <w:r w:rsidRPr="009E757B">
        <w:rPr>
          <w:rStyle w:val="Znakapoznpodarou"/>
          <w:rFonts w:ascii="Times New Roman" w:hAnsi="Times New Roman"/>
          <w:sz w:val="20"/>
        </w:rPr>
        <w:footnoteRef/>
      </w:r>
      <w:r w:rsidRPr="009E757B">
        <w:rPr>
          <w:rFonts w:ascii="Times New Roman" w:hAnsi="Times New Roman"/>
          <w:color w:val="000000"/>
          <w:sz w:val="20"/>
          <w:lang w:val="cs-CZ"/>
        </w:rPr>
        <w:t>Na tento stav upozorňují i expertní stanoviska OECD a Doporučení Rady k NPR z roku 2013.</w:t>
      </w:r>
    </w:p>
  </w:footnote>
  <w:footnote w:id="25">
    <w:p w:rsidR="0005034F" w:rsidRPr="009E757B" w:rsidRDefault="0005034F" w:rsidP="009E757B">
      <w:pPr>
        <w:pStyle w:val="Textpoznpodarou"/>
        <w:spacing w:after="0" w:line="240" w:lineRule="auto"/>
        <w:ind w:left="284" w:hanging="284"/>
        <w:jc w:val="both"/>
        <w:rPr>
          <w:rFonts w:ascii="Times New Roman" w:hAnsi="Times New Roman"/>
          <w:sz w:val="20"/>
          <w:lang w:val="cs-CZ"/>
        </w:rPr>
      </w:pPr>
      <w:r w:rsidRPr="009E757B">
        <w:rPr>
          <w:rStyle w:val="Znakapoznpodarou"/>
          <w:rFonts w:ascii="Times New Roman" w:hAnsi="Times New Roman"/>
          <w:sz w:val="20"/>
        </w:rPr>
        <w:footnoteRef/>
      </w:r>
      <w:r w:rsidRPr="009E757B">
        <w:rPr>
          <w:rFonts w:ascii="Times New Roman" w:hAnsi="Times New Roman"/>
          <w:sz w:val="20"/>
          <w:lang w:val="cs-CZ"/>
        </w:rPr>
        <w:tab/>
      </w:r>
      <w:r w:rsidRPr="009E757B">
        <w:rPr>
          <w:rFonts w:ascii="Times New Roman" w:hAnsi="Times New Roman"/>
          <w:i/>
          <w:iCs/>
          <w:sz w:val="20"/>
          <w:lang w:val="cs-CZ"/>
        </w:rPr>
        <w:t xml:space="preserve">Klíčové schopnosti pro celoživotní učeni – Evropský referenční </w:t>
      </w:r>
      <w:r w:rsidRPr="009E757B">
        <w:rPr>
          <w:rFonts w:ascii="Times New Roman" w:hAnsi="Times New Roman"/>
          <w:i/>
          <w:iCs/>
          <w:color w:val="000000"/>
          <w:sz w:val="20"/>
          <w:lang w:val="cs-CZ"/>
        </w:rPr>
        <w:t xml:space="preserve">rámec </w:t>
      </w:r>
      <w:r w:rsidRPr="009E757B">
        <w:rPr>
          <w:rFonts w:ascii="Times New Roman" w:hAnsi="Times New Roman"/>
          <w:iCs/>
          <w:color w:val="000000"/>
          <w:sz w:val="20"/>
          <w:lang w:val="cs-CZ"/>
        </w:rPr>
        <w:t>(</w:t>
      </w:r>
      <w:r w:rsidRPr="009E757B">
        <w:rPr>
          <w:rFonts w:ascii="Times New Roman" w:hAnsi="Times New Roman"/>
          <w:color w:val="000000"/>
          <w:sz w:val="20"/>
          <w:lang w:val="cs-CZ"/>
        </w:rPr>
        <w:t>1. Komunikace v mateřském jazyce, 2. Komunikace v cizích jazycích, 3.Matematická schopnost a základní schopnosti v oblasti vědy a technologii, 4. Schopnost práce s digitálními technologiemi, 5.Schopnostučit se, 6.Sociální a občanské schopnosti, 7. Smysl pro iniciativu a podnikavost, 8. Kulturní povědomí a vyjádření). Je přílohou doporučení Evropského parlamentu a Rady ze dne 18. prosince</w:t>
      </w:r>
      <w:r w:rsidRPr="009E757B">
        <w:rPr>
          <w:rFonts w:ascii="Times New Roman" w:hAnsi="Times New Roman"/>
          <w:sz w:val="20"/>
          <w:lang w:val="cs-CZ"/>
        </w:rPr>
        <w:t xml:space="preserve"> 2008 o klíčových schopnostech pro celoživotní učeni, které bylo uveřejněno v Úředním věstníku Evropské unie dne 30. prosince 2006 L 394. http://eur-lex.europa.eu/LexUriServ/LexUriServ.do?uri=OJ:L:2006:394:0010:0018:CS:PDF.</w:t>
      </w:r>
    </w:p>
  </w:footnote>
  <w:footnote w:id="26">
    <w:p w:rsidR="0005034F" w:rsidRPr="009E757B" w:rsidRDefault="0005034F" w:rsidP="009E757B">
      <w:pPr>
        <w:pStyle w:val="Textpoznpodarou"/>
        <w:tabs>
          <w:tab w:val="left" w:pos="284"/>
        </w:tabs>
        <w:spacing w:after="0" w:line="240" w:lineRule="auto"/>
        <w:ind w:left="284" w:hanging="284"/>
        <w:jc w:val="both"/>
        <w:rPr>
          <w:rFonts w:ascii="Times New Roman" w:hAnsi="Times New Roman"/>
          <w:sz w:val="20"/>
          <w:lang w:val="cs-CZ"/>
        </w:rPr>
      </w:pPr>
      <w:r w:rsidRPr="009E757B">
        <w:rPr>
          <w:rStyle w:val="Znakapoznpodarou"/>
          <w:rFonts w:ascii="Times New Roman" w:hAnsi="Times New Roman"/>
          <w:sz w:val="20"/>
        </w:rPr>
        <w:footnoteRef/>
      </w:r>
      <w:r w:rsidRPr="009E757B">
        <w:rPr>
          <w:rFonts w:ascii="Times New Roman" w:hAnsi="Times New Roman"/>
          <w:sz w:val="20"/>
          <w:lang w:val="cs-CZ"/>
        </w:rPr>
        <w:t>22% žáků v roce 2012/2013.</w:t>
      </w:r>
    </w:p>
  </w:footnote>
  <w:footnote w:id="27">
    <w:p w:rsidR="0005034F" w:rsidRPr="002005FE" w:rsidRDefault="0005034F" w:rsidP="002005FE">
      <w:pPr>
        <w:spacing w:after="0" w:line="240" w:lineRule="auto"/>
        <w:jc w:val="both"/>
        <w:rPr>
          <w:rFonts w:ascii="Times New Roman" w:hAnsi="Times New Roman" w:cs="Times New Roman"/>
          <w:sz w:val="20"/>
          <w:szCs w:val="20"/>
        </w:rPr>
      </w:pPr>
      <w:r w:rsidRPr="009E757B">
        <w:rPr>
          <w:rStyle w:val="Znakapoznpodarou"/>
          <w:rFonts w:ascii="Times New Roman" w:hAnsi="Times New Roman" w:cs="Times New Roman"/>
          <w:sz w:val="20"/>
          <w:szCs w:val="20"/>
        </w:rPr>
        <w:footnoteRef/>
      </w:r>
      <w:r w:rsidRPr="009E757B">
        <w:rPr>
          <w:rFonts w:ascii="Times New Roman" w:hAnsi="Times New Roman" w:cs="Times New Roman"/>
          <w:sz w:val="20"/>
          <w:szCs w:val="20"/>
        </w:rPr>
        <w:t xml:space="preserve">Výzkum CzechInvestu k technickému vzdělávání, 2012; </w:t>
      </w:r>
      <w:hyperlink r:id="rId8" w:tgtFrame="_blank" w:history="1">
        <w:r w:rsidRPr="009E757B">
          <w:rPr>
            <w:rFonts w:ascii="Times New Roman" w:hAnsi="Times New Roman" w:cs="Times New Roman"/>
            <w:sz w:val="20"/>
            <w:szCs w:val="20"/>
          </w:rPr>
          <w:t>http://www.czechinvest.org/ceske-firmy-trapi-nedostatek-technicky-kvalifikovanych-pracovniku</w:t>
        </w:r>
      </w:hyperlink>
    </w:p>
  </w:footnote>
  <w:footnote w:id="28">
    <w:p w:rsidR="0005034F" w:rsidRPr="009E757B" w:rsidRDefault="0005034F" w:rsidP="009E757B">
      <w:pPr>
        <w:pStyle w:val="Textpoznpodarou"/>
        <w:spacing w:after="0" w:line="240" w:lineRule="auto"/>
        <w:jc w:val="both"/>
        <w:rPr>
          <w:rFonts w:ascii="Times New Roman" w:hAnsi="Times New Roman"/>
          <w:sz w:val="20"/>
        </w:rPr>
      </w:pPr>
      <w:r w:rsidRPr="009E757B">
        <w:rPr>
          <w:rStyle w:val="Znakapoznpodarou"/>
          <w:rFonts w:ascii="Times New Roman" w:hAnsi="Times New Roman"/>
          <w:sz w:val="20"/>
        </w:rPr>
        <w:footnoteRef/>
      </w:r>
      <w:r w:rsidRPr="009E757B">
        <w:rPr>
          <w:rFonts w:ascii="Times New Roman" w:hAnsi="Times New Roman"/>
          <w:sz w:val="20"/>
        </w:rPr>
        <w:t>Tamtéž.</w:t>
      </w:r>
    </w:p>
  </w:footnote>
  <w:footnote w:id="29">
    <w:p w:rsidR="0005034F" w:rsidRPr="009E757B" w:rsidRDefault="0005034F" w:rsidP="009E757B">
      <w:pPr>
        <w:pStyle w:val="Textpoznpodarou"/>
        <w:spacing w:after="0" w:line="240" w:lineRule="auto"/>
        <w:jc w:val="both"/>
        <w:rPr>
          <w:rFonts w:ascii="Times New Roman" w:hAnsi="Times New Roman"/>
          <w:sz w:val="20"/>
        </w:rPr>
      </w:pPr>
      <w:r w:rsidRPr="009E757B">
        <w:rPr>
          <w:rStyle w:val="Znakapoznpodarou"/>
          <w:rFonts w:ascii="Times New Roman" w:hAnsi="Times New Roman"/>
          <w:sz w:val="20"/>
        </w:rPr>
        <w:footnoteRef/>
      </w:r>
      <w:r w:rsidRPr="009E757B">
        <w:rPr>
          <w:rFonts w:ascii="Times New Roman" w:hAnsi="Times New Roman"/>
          <w:sz w:val="20"/>
        </w:rPr>
        <w:t xml:space="preserve">QS Word university Ranking: </w:t>
      </w:r>
      <w:hyperlink r:id="rId9" w:history="1">
        <w:r w:rsidRPr="009E757B">
          <w:rPr>
            <w:rStyle w:val="Hypertextovodkaz"/>
            <w:rFonts w:ascii="Times New Roman" w:hAnsi="Times New Roman"/>
            <w:sz w:val="20"/>
          </w:rPr>
          <w:t>http://www.topuniversities.com/university-rankings/world-university-rankings/2012</w:t>
        </w:r>
      </w:hyperlink>
      <w:r w:rsidRPr="009E757B">
        <w:rPr>
          <w:rFonts w:ascii="Times New Roman" w:hAnsi="Times New Roman"/>
          <w:sz w:val="20"/>
        </w:rPr>
        <w:t xml:space="preserve">;  Times higher education; </w:t>
      </w:r>
      <w:hyperlink r:id="rId10" w:history="1">
        <w:r w:rsidRPr="009E757B">
          <w:rPr>
            <w:rStyle w:val="Hypertextovodkaz"/>
            <w:rFonts w:ascii="Times New Roman" w:hAnsi="Times New Roman"/>
            <w:sz w:val="20"/>
          </w:rPr>
          <w:t>http://www.timeshighereducation.co.uk/world-university-rankings/2012-13/world-ranking/range/301-350/order/country%7Casc</w:t>
        </w:r>
      </w:hyperlink>
    </w:p>
  </w:footnote>
  <w:footnote w:id="30">
    <w:p w:rsidR="0005034F" w:rsidRPr="009E757B" w:rsidRDefault="0005034F" w:rsidP="009E757B">
      <w:pPr>
        <w:pStyle w:val="Textpoznpodarou"/>
        <w:spacing w:after="0" w:line="240" w:lineRule="auto"/>
        <w:jc w:val="both"/>
        <w:rPr>
          <w:rFonts w:ascii="Times New Roman" w:hAnsi="Times New Roman"/>
          <w:sz w:val="20"/>
        </w:rPr>
      </w:pPr>
      <w:r w:rsidRPr="009E757B">
        <w:rPr>
          <w:rStyle w:val="Znakapoznpodarou"/>
          <w:rFonts w:ascii="Times New Roman" w:hAnsi="Times New Roman"/>
          <w:sz w:val="20"/>
        </w:rPr>
        <w:footnoteRef/>
      </w:r>
      <w:r w:rsidRPr="009E757B">
        <w:rPr>
          <w:rFonts w:ascii="Times New Roman" w:hAnsi="Times New Roman"/>
          <w:sz w:val="20"/>
          <w:lang w:val="cs-CZ"/>
        </w:rPr>
        <w:t>V šetření Eurobarometer 2010, se ČR z hlediska spokojenosti zaměstnavatelů s absolventy umístila mezi posledními zeměmi v Evropě. Nejlepší hodnocení kvality dalo absolventům VŠ v průzkumu pouze 19 % zaměstnavatelů v ČR; v případě Finska to bylo 27 %, u Německa 35 %, Rakouska 45 % a Švédska dokonce 52 % zaměstnavatelů. Potvrzeno výstupy IPn Podpora technických a přírodovědných oborů, NVF: Průzkum požadavků zaměstnavatelů na absolventy technických a přírodovědných oborů.</w:t>
      </w:r>
    </w:p>
  </w:footnote>
  <w:footnote w:id="31">
    <w:p w:rsidR="0005034F" w:rsidRPr="009E757B" w:rsidRDefault="0005034F" w:rsidP="009E757B">
      <w:pPr>
        <w:pStyle w:val="Textpoznpodarou"/>
        <w:spacing w:after="0" w:line="240" w:lineRule="auto"/>
        <w:jc w:val="both"/>
        <w:rPr>
          <w:rFonts w:ascii="Times New Roman" w:hAnsi="Times New Roman"/>
          <w:sz w:val="20"/>
        </w:rPr>
      </w:pPr>
      <w:r w:rsidRPr="009E757B">
        <w:rPr>
          <w:rStyle w:val="Znakapoznpodarou"/>
          <w:rFonts w:ascii="Times New Roman" w:hAnsi="Times New Roman"/>
          <w:sz w:val="20"/>
        </w:rPr>
        <w:footnoteRef/>
      </w:r>
      <w:r w:rsidRPr="009E757B">
        <w:rPr>
          <w:rFonts w:ascii="Times New Roman" w:hAnsi="Times New Roman"/>
          <w:sz w:val="20"/>
        </w:rPr>
        <w:t>Viz WEF (2012): The Global Competitiveness Report 2012–2013.</w:t>
      </w:r>
    </w:p>
  </w:footnote>
  <w:footnote w:id="32">
    <w:p w:rsidR="0005034F" w:rsidRPr="009E757B" w:rsidRDefault="0005034F" w:rsidP="009E757B">
      <w:pPr>
        <w:pStyle w:val="Textpoznpodarou"/>
        <w:spacing w:after="0" w:line="240" w:lineRule="auto"/>
        <w:jc w:val="both"/>
        <w:rPr>
          <w:rFonts w:ascii="Times New Roman" w:hAnsi="Times New Roman"/>
          <w:sz w:val="20"/>
        </w:rPr>
      </w:pPr>
      <w:r w:rsidRPr="009E757B">
        <w:rPr>
          <w:rStyle w:val="Znakapoznpodarou"/>
          <w:rFonts w:ascii="Times New Roman" w:hAnsi="Times New Roman"/>
          <w:sz w:val="20"/>
        </w:rPr>
        <w:footnoteRef/>
      </w:r>
      <w:r w:rsidRPr="009E757B">
        <w:rPr>
          <w:rFonts w:ascii="Times New Roman" w:hAnsi="Times New Roman"/>
          <w:sz w:val="20"/>
        </w:rPr>
        <w:t>Viz IMD World Competitiveness Yearbook 2013.</w:t>
      </w:r>
    </w:p>
  </w:footnote>
  <w:footnote w:id="33">
    <w:p w:rsidR="0005034F" w:rsidRPr="009E757B" w:rsidRDefault="0005034F" w:rsidP="009E757B">
      <w:pPr>
        <w:pStyle w:val="Textpoznpodarou"/>
        <w:spacing w:after="0" w:line="240" w:lineRule="auto"/>
        <w:jc w:val="both"/>
        <w:rPr>
          <w:rFonts w:ascii="Times New Roman" w:hAnsi="Times New Roman"/>
          <w:sz w:val="20"/>
        </w:rPr>
      </w:pPr>
      <w:r w:rsidRPr="009E757B">
        <w:rPr>
          <w:rStyle w:val="Znakapoznpodarou"/>
          <w:rFonts w:ascii="Times New Roman" w:hAnsi="Times New Roman"/>
          <w:sz w:val="20"/>
        </w:rPr>
        <w:footnoteRef/>
      </w:r>
      <w:r w:rsidRPr="009E757B">
        <w:rPr>
          <w:rFonts w:ascii="Times New Roman" w:hAnsi="Times New Roman"/>
          <w:sz w:val="20"/>
        </w:rPr>
        <w:t>Viz R&amp;I performance – CR country profile, 2013, European Commission.</w:t>
      </w:r>
    </w:p>
  </w:footnote>
  <w:footnote w:id="34">
    <w:p w:rsidR="0005034F" w:rsidRPr="009E757B" w:rsidRDefault="0005034F" w:rsidP="009E757B">
      <w:pPr>
        <w:pStyle w:val="Textkomente"/>
        <w:spacing w:after="0"/>
        <w:jc w:val="both"/>
        <w:rPr>
          <w:rFonts w:ascii="Times New Roman" w:hAnsi="Times New Roman" w:cs="Times New Roman"/>
        </w:rPr>
      </w:pPr>
      <w:r w:rsidRPr="009E757B">
        <w:rPr>
          <w:rStyle w:val="Znakapoznpodarou"/>
          <w:rFonts w:ascii="Times New Roman" w:hAnsi="Times New Roman" w:cs="Times New Roman"/>
        </w:rPr>
        <w:footnoteRef/>
      </w:r>
      <w:r w:rsidRPr="009E757B">
        <w:rPr>
          <w:rFonts w:ascii="Times New Roman" w:hAnsi="Times New Roman" w:cs="Times New Roman"/>
        </w:rPr>
        <w:t xml:space="preserve"> Viz </w:t>
      </w:r>
      <w:r w:rsidRPr="009E757B">
        <w:rPr>
          <w:rFonts w:ascii="Times New Roman" w:hAnsi="Times New Roman" w:cs="Times New Roman"/>
          <w:lang w:val="en-GB"/>
        </w:rPr>
        <w:t>Innovation Union Scoreboard</w:t>
      </w:r>
      <w:r w:rsidRPr="009E757B">
        <w:rPr>
          <w:rFonts w:ascii="Times New Roman" w:hAnsi="Times New Roman" w:cs="Times New Roman"/>
        </w:rPr>
        <w:t xml:space="preserve"> 2013, ukazatel </w:t>
      </w:r>
      <w:r w:rsidRPr="009E757B">
        <w:rPr>
          <w:rFonts w:ascii="Times New Roman" w:hAnsi="Times New Roman" w:cs="Times New Roman"/>
          <w:i/>
          <w:lang w:val="en-US"/>
        </w:rPr>
        <w:t xml:space="preserve">Scientific publications among the top-10% most cited </w:t>
      </w:r>
      <w:r w:rsidRPr="009E757B">
        <w:rPr>
          <w:rFonts w:ascii="Times New Roman" w:hAnsi="Times New Roman" w:cs="Times New Roman"/>
          <w:lang w:val="en-GB"/>
        </w:rPr>
        <w:t>publications worldwide as % of total scientific publications of the country: ČR = 5,51; EU-27 = 10,9, Dánsko = 14,1.</w:t>
      </w:r>
    </w:p>
  </w:footnote>
  <w:footnote w:id="35">
    <w:p w:rsidR="0005034F" w:rsidRPr="009E757B" w:rsidRDefault="0005034F" w:rsidP="009E757B">
      <w:pPr>
        <w:pStyle w:val="Textkomente"/>
        <w:spacing w:after="0"/>
        <w:jc w:val="both"/>
        <w:rPr>
          <w:rFonts w:ascii="Times New Roman" w:hAnsi="Times New Roman" w:cs="Times New Roman"/>
        </w:rPr>
      </w:pPr>
      <w:r w:rsidRPr="009E757B">
        <w:rPr>
          <w:rFonts w:ascii="Times New Roman" w:hAnsi="Times New Roman" w:cs="Times New Roman"/>
          <w:lang w:val="en-GB"/>
        </w:rPr>
        <w:footnoteRef/>
      </w:r>
      <w:r w:rsidRPr="009E757B">
        <w:rPr>
          <w:rFonts w:ascii="Times New Roman" w:hAnsi="Times New Roman" w:cs="Times New Roman"/>
        </w:rPr>
        <w:t xml:space="preserve"> Údaje z roku 2012.</w:t>
      </w:r>
    </w:p>
  </w:footnote>
  <w:footnote w:id="36">
    <w:p w:rsidR="0005034F" w:rsidRPr="009E757B" w:rsidRDefault="0005034F"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sidRPr="009E757B">
        <w:rPr>
          <w:rFonts w:ascii="Times New Roman" w:hAnsi="Times New Roman"/>
          <w:sz w:val="20"/>
          <w:lang w:val="cs-CZ"/>
        </w:rPr>
        <w:t xml:space="preserve"> Zde nutno poznamenat, že na celkovém objemu se podílí z více než poloviny licenční příjmy jediné výzkumné instituce (UOCHB AVČR v. v. i.), hodnota je zaokrouhlena z 0,069 %.</w:t>
      </w:r>
    </w:p>
  </w:footnote>
  <w:footnote w:id="37">
    <w:p w:rsidR="0005034F" w:rsidRPr="009E757B" w:rsidRDefault="0005034F"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sidRPr="009E757B">
        <w:rPr>
          <w:rFonts w:ascii="Times New Roman" w:eastAsia="Times New Roman" w:hAnsi="Times New Roman"/>
          <w:sz w:val="20"/>
          <w:lang w:val="fr-FR"/>
        </w:rPr>
        <w:t>Údaje z roku 2011.</w:t>
      </w:r>
    </w:p>
  </w:footnote>
  <w:footnote w:id="38">
    <w:p w:rsidR="0005034F" w:rsidRPr="009E757B" w:rsidRDefault="0005034F"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sidRPr="009E757B">
        <w:rPr>
          <w:rFonts w:ascii="Times New Roman" w:hAnsi="Times New Roman"/>
          <w:sz w:val="20"/>
          <w:lang w:val="cs-CZ"/>
        </w:rPr>
        <w:t xml:space="preserve"> Mezinárodní udit výzkumu a vývoje v ČR, Technopolis Group 2010.</w:t>
      </w:r>
    </w:p>
  </w:footnote>
  <w:footnote w:id="39">
    <w:p w:rsidR="0005034F" w:rsidRPr="009E757B" w:rsidRDefault="0005034F"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sidRPr="009E757B">
        <w:rPr>
          <w:rFonts w:ascii="Times New Roman" w:hAnsi="Times New Roman"/>
          <w:sz w:val="20"/>
          <w:lang w:val="cs-CZ"/>
        </w:rPr>
        <w:t>IUS 2013, European Comission.</w:t>
      </w:r>
    </w:p>
  </w:footnote>
  <w:footnote w:id="40">
    <w:p w:rsidR="0005034F" w:rsidRPr="009E757B" w:rsidRDefault="0005034F"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sidRPr="009E757B">
        <w:rPr>
          <w:rFonts w:ascii="Times New Roman" w:hAnsi="Times New Roman"/>
          <w:sz w:val="20"/>
          <w:lang w:val="cs-CZ"/>
        </w:rPr>
        <w:t>Poměr mimopražských absolventů studentů pražských VŠ. Zdroj: Agregovaná informace z rejstříku studentů k 15. 2. 2013.</w:t>
      </w:r>
    </w:p>
  </w:footnote>
  <w:footnote w:id="41">
    <w:p w:rsidR="0005034F" w:rsidRPr="009E757B" w:rsidRDefault="0005034F"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sidRPr="009E757B">
        <w:rPr>
          <w:rFonts w:ascii="Times New Roman" w:hAnsi="Times New Roman"/>
          <w:sz w:val="20"/>
        </w:rPr>
        <w:t xml:space="preserve"> </w:t>
      </w:r>
      <w:r w:rsidRPr="009E757B">
        <w:rPr>
          <w:rFonts w:ascii="Times New Roman" w:hAnsi="Times New Roman"/>
          <w:sz w:val="20"/>
          <w:lang w:val="cs-CZ"/>
        </w:rPr>
        <w:t>Z důvodu existence podstatných rozdílů mezi kraji v rozvinutosti i potenciálu inovačních systémů na straně jedné a s vědomím významných rozdílů v přístupu jednotlivých krajů i pokud jde o přípravu a realizaci krajských inovačních strategií, budou součástí Národní strategie S3 i krajské strategie S3 ve formě regionálních annexů, které zohlední specifika jednotlivých krajů ve sféře VaVaI. Vzhledem k dosavadnímu stavu rozvinutosti inovačního systému na národní i krajské úrovni jsou opatření koncipována ve dvou hlavních dimenzích. První dimenzi tvoří horizontální priority, které slouží k dobudování, příp. posílení inovačního systému jako takového, druhou dimenzí jsou pak vertikální priority, tj. identifikované domény perspektivní specializace.</w:t>
      </w:r>
    </w:p>
  </w:footnote>
  <w:footnote w:id="42">
    <w:p w:rsidR="0005034F" w:rsidRPr="009E757B" w:rsidRDefault="0005034F" w:rsidP="009E757B">
      <w:pPr>
        <w:autoSpaceDE w:val="0"/>
        <w:autoSpaceDN w:val="0"/>
        <w:adjustRightInd w:val="0"/>
        <w:spacing w:after="0" w:line="240" w:lineRule="auto"/>
        <w:jc w:val="both"/>
        <w:rPr>
          <w:rFonts w:ascii="Times New Roman" w:hAnsi="Times New Roman" w:cs="Times New Roman"/>
          <w:sz w:val="20"/>
          <w:szCs w:val="20"/>
        </w:rPr>
      </w:pPr>
      <w:r w:rsidRPr="009E757B">
        <w:rPr>
          <w:rStyle w:val="Znakapoznpodarou"/>
          <w:rFonts w:ascii="Times New Roman" w:hAnsi="Times New Roman" w:cs="Times New Roman"/>
          <w:sz w:val="20"/>
          <w:szCs w:val="20"/>
        </w:rPr>
        <w:footnoteRef/>
      </w:r>
      <w:r w:rsidRPr="009E757B">
        <w:rPr>
          <w:rFonts w:ascii="Times New Roman" w:hAnsi="Times New Roman" w:cs="Times New Roman"/>
          <w:sz w:val="20"/>
          <w:szCs w:val="20"/>
        </w:rPr>
        <w:t>Analýza stavu výzkumu, vývoje a inovací v ČR a jejich srovnání se zahraničím v roce 2011, Rada vlády pro výzkum, vývoj a inovace, říjen 2011.</w:t>
      </w:r>
    </w:p>
  </w:footnote>
  <w:footnote w:id="43">
    <w:p w:rsidR="0005034F" w:rsidRPr="009E757B" w:rsidRDefault="0005034F" w:rsidP="009E757B">
      <w:pPr>
        <w:pStyle w:val="Textpoznpodarou"/>
        <w:spacing w:after="0" w:line="240" w:lineRule="auto"/>
        <w:jc w:val="both"/>
        <w:rPr>
          <w:rFonts w:ascii="Times New Roman" w:hAnsi="Times New Roman"/>
          <w:sz w:val="20"/>
        </w:rPr>
      </w:pPr>
      <w:r w:rsidRPr="009E757B">
        <w:rPr>
          <w:rStyle w:val="Znakapoznpodarou"/>
          <w:rFonts w:ascii="Times New Roman" w:hAnsi="Times New Roman"/>
          <w:sz w:val="20"/>
        </w:rPr>
        <w:footnoteRef/>
      </w:r>
      <w:r w:rsidRPr="009E757B">
        <w:rPr>
          <w:rFonts w:ascii="Times New Roman" w:hAnsi="Times New Roman"/>
          <w:sz w:val="20"/>
          <w:lang w:val="cs-CZ"/>
        </w:rPr>
        <w:t xml:space="preserve"> Mezinárodní audit výzkumu a vývoje v ČR byl realizován v rámci systémového projektu financovaného z OP Vzdělávání pro konkurenceschopnost (viz Arnold E. et al. </w:t>
      </w:r>
      <w:r w:rsidRPr="009E757B">
        <w:rPr>
          <w:rFonts w:ascii="Times New Roman" w:hAnsi="Times New Roman"/>
          <w:sz w:val="20"/>
          <w:lang w:val="en-US"/>
        </w:rPr>
        <w:t>(2011): The Quality of Research, Institutional Funding and Research Evaluation in the Czech Republic and Abroad).</w:t>
      </w:r>
    </w:p>
  </w:footnote>
  <w:footnote w:id="44">
    <w:p w:rsidR="0005034F" w:rsidRPr="009E757B" w:rsidRDefault="0005034F" w:rsidP="009E757B">
      <w:pPr>
        <w:pStyle w:val="Textpoznpodarou"/>
        <w:spacing w:after="0" w:line="240" w:lineRule="auto"/>
        <w:jc w:val="both"/>
        <w:rPr>
          <w:rFonts w:ascii="Times New Roman" w:hAnsi="Times New Roman"/>
          <w:sz w:val="20"/>
        </w:rPr>
      </w:pPr>
      <w:r w:rsidRPr="009E757B">
        <w:rPr>
          <w:rStyle w:val="Znakapoznpodarou"/>
          <w:rFonts w:ascii="Times New Roman" w:hAnsi="Times New Roman"/>
          <w:sz w:val="20"/>
        </w:rPr>
        <w:footnoteRef/>
      </w:r>
      <w:r w:rsidRPr="009E757B">
        <w:rPr>
          <w:rFonts w:ascii="Times New Roman" w:hAnsi="Times New Roman"/>
          <w:sz w:val="20"/>
          <w:lang w:val="cs-CZ"/>
        </w:rPr>
        <w:t>Metodika hodnocení výsledků výzkumných organizací a hodnocení výsledků ukončených programů (platná pro léta 2013 a 2015), schválená usnesením vlády ze dne 19.června 2013 č. 475.</w:t>
      </w:r>
    </w:p>
  </w:footnote>
  <w:footnote w:id="45">
    <w:p w:rsidR="0005034F" w:rsidRPr="009E757B" w:rsidRDefault="0005034F" w:rsidP="009E757B">
      <w:pPr>
        <w:pStyle w:val="Textpoznpodarou"/>
        <w:spacing w:after="0" w:line="240" w:lineRule="auto"/>
        <w:jc w:val="both"/>
        <w:rPr>
          <w:rFonts w:ascii="Times New Roman" w:hAnsi="Times New Roman"/>
          <w:sz w:val="20"/>
        </w:rPr>
      </w:pPr>
      <w:r w:rsidRPr="009E757B">
        <w:rPr>
          <w:rStyle w:val="Znakapoznpodarou"/>
          <w:rFonts w:ascii="Times New Roman" w:hAnsi="Times New Roman"/>
          <w:sz w:val="20"/>
        </w:rPr>
        <w:footnoteRef/>
      </w:r>
      <w:r w:rsidRPr="009E757B">
        <w:rPr>
          <w:rFonts w:ascii="Times New Roman" w:hAnsi="Times New Roman"/>
          <w:sz w:val="20"/>
        </w:rPr>
        <w:t xml:space="preserve"> MPO (2010): Národní inovační strategie ČR.</w:t>
      </w:r>
    </w:p>
  </w:footnote>
  <w:footnote w:id="46">
    <w:p w:rsidR="0005034F" w:rsidRPr="009E757B" w:rsidRDefault="0005034F" w:rsidP="009E757B">
      <w:pPr>
        <w:pStyle w:val="Textpoznpodarou"/>
        <w:spacing w:after="0" w:line="240" w:lineRule="auto"/>
        <w:jc w:val="both"/>
        <w:rPr>
          <w:rFonts w:ascii="Times New Roman" w:hAnsi="Times New Roman"/>
          <w:sz w:val="20"/>
        </w:rPr>
      </w:pPr>
      <w:r w:rsidRPr="009E757B">
        <w:rPr>
          <w:rStyle w:val="Znakapoznpodarou"/>
          <w:rFonts w:ascii="Times New Roman" w:hAnsi="Times New Roman"/>
          <w:sz w:val="20"/>
        </w:rPr>
        <w:footnoteRef/>
      </w:r>
      <w:r w:rsidRPr="009E757B">
        <w:rPr>
          <w:rFonts w:ascii="Times New Roman" w:hAnsi="Times New Roman"/>
          <w:sz w:val="20"/>
        </w:rPr>
        <w:t xml:space="preserve"> Analýza věcných priorit a potřeb jednotlivých oblastí v působnosti MPO pro zaměření podpory ze strukturálních fondů EU v příštím programovacím období (2014+).</w:t>
      </w:r>
    </w:p>
  </w:footnote>
  <w:footnote w:id="47">
    <w:p w:rsidR="0005034F" w:rsidRPr="009E757B" w:rsidRDefault="0005034F" w:rsidP="009E757B">
      <w:pPr>
        <w:pStyle w:val="Textpoznpodarou"/>
        <w:spacing w:after="0" w:line="240" w:lineRule="auto"/>
        <w:jc w:val="both"/>
        <w:rPr>
          <w:rFonts w:ascii="Times New Roman" w:hAnsi="Times New Roman"/>
          <w:sz w:val="20"/>
        </w:rPr>
      </w:pPr>
      <w:r w:rsidRPr="009E757B">
        <w:rPr>
          <w:rStyle w:val="Znakapoznpodarou"/>
          <w:rFonts w:ascii="Times New Roman" w:hAnsi="Times New Roman"/>
          <w:sz w:val="20"/>
        </w:rPr>
        <w:footnoteRef/>
      </w:r>
      <w:r w:rsidRPr="009E757B">
        <w:rPr>
          <w:rFonts w:ascii="Times New Roman" w:hAnsi="Times New Roman"/>
          <w:sz w:val="20"/>
        </w:rPr>
        <w:t xml:space="preserve"> Viz poznámka pod čarou č. 3.</w:t>
      </w:r>
    </w:p>
  </w:footnote>
  <w:footnote w:id="48">
    <w:p w:rsidR="0005034F" w:rsidRPr="009E757B" w:rsidRDefault="0005034F" w:rsidP="009E757B">
      <w:pPr>
        <w:pStyle w:val="Textpoznpodarou"/>
        <w:spacing w:after="0" w:line="240" w:lineRule="auto"/>
        <w:jc w:val="both"/>
        <w:rPr>
          <w:rFonts w:ascii="Times New Roman" w:hAnsi="Times New Roman"/>
          <w:sz w:val="20"/>
        </w:rPr>
      </w:pPr>
      <w:r w:rsidRPr="009E757B">
        <w:rPr>
          <w:rStyle w:val="Znakapoznpodarou"/>
          <w:rFonts w:ascii="Times New Roman" w:hAnsi="Times New Roman"/>
          <w:sz w:val="20"/>
        </w:rPr>
        <w:footnoteRef/>
      </w:r>
      <w:r w:rsidRPr="009E757B">
        <w:rPr>
          <w:rFonts w:ascii="Times New Roman" w:hAnsi="Times New Roman"/>
          <w:sz w:val="20"/>
        </w:rPr>
        <w:t xml:space="preserve"> MPO (2010): Národní inovační strategie ČR.</w:t>
      </w:r>
    </w:p>
  </w:footnote>
  <w:footnote w:id="49">
    <w:p w:rsidR="0005034F" w:rsidRPr="009E757B" w:rsidRDefault="0005034F" w:rsidP="009E757B">
      <w:pPr>
        <w:pStyle w:val="Textpoznpodarou"/>
        <w:spacing w:after="0" w:line="240" w:lineRule="auto"/>
        <w:jc w:val="both"/>
        <w:rPr>
          <w:rFonts w:ascii="Times New Roman" w:hAnsi="Times New Roman"/>
          <w:sz w:val="20"/>
        </w:rPr>
      </w:pPr>
    </w:p>
  </w:footnote>
  <w:footnote w:id="50">
    <w:p w:rsidR="0005034F" w:rsidRPr="009E757B" w:rsidRDefault="0005034F" w:rsidP="009E757B">
      <w:pPr>
        <w:pStyle w:val="Textpoznpodarou"/>
        <w:spacing w:after="0" w:line="240" w:lineRule="auto"/>
        <w:jc w:val="both"/>
        <w:rPr>
          <w:rFonts w:ascii="Times New Roman" w:hAnsi="Times New Roman"/>
          <w:sz w:val="20"/>
        </w:rPr>
      </w:pPr>
      <w:r w:rsidRPr="009E757B">
        <w:rPr>
          <w:rStyle w:val="Znakapoznpodarou"/>
          <w:rFonts w:ascii="Times New Roman" w:hAnsi="Times New Roman"/>
          <w:sz w:val="20"/>
        </w:rPr>
        <w:footnoteRef/>
      </w:r>
      <w:r w:rsidRPr="009E757B">
        <w:rPr>
          <w:rFonts w:ascii="Times New Roman" w:hAnsi="Times New Roman"/>
          <w:sz w:val="20"/>
        </w:rPr>
        <w:t xml:space="preserve"> MPO (2011) Strategie mezinárodní konkurenceschopnosti ČR 2012–2020.</w:t>
      </w:r>
    </w:p>
  </w:footnote>
  <w:footnote w:id="51">
    <w:p w:rsidR="0005034F" w:rsidRPr="009E757B" w:rsidRDefault="0005034F" w:rsidP="009E757B">
      <w:pPr>
        <w:pStyle w:val="Textpoznpodarou"/>
        <w:spacing w:after="0" w:line="240" w:lineRule="auto"/>
        <w:jc w:val="both"/>
        <w:rPr>
          <w:rFonts w:ascii="Times New Roman" w:hAnsi="Times New Roman"/>
          <w:sz w:val="20"/>
        </w:rPr>
      </w:pPr>
      <w:r w:rsidRPr="009E757B">
        <w:rPr>
          <w:rStyle w:val="Znakapoznpodarou"/>
          <w:rFonts w:ascii="Times New Roman" w:hAnsi="Times New Roman"/>
          <w:sz w:val="20"/>
        </w:rPr>
        <w:footnoteRef/>
      </w:r>
      <w:r w:rsidRPr="009E757B">
        <w:rPr>
          <w:rFonts w:ascii="Times New Roman" w:hAnsi="Times New Roman"/>
          <w:sz w:val="20"/>
        </w:rPr>
        <w:t xml:space="preserve"> Global entrepreneurship monitor 2011</w:t>
      </w:r>
    </w:p>
  </w:footnote>
  <w:footnote w:id="52">
    <w:p w:rsidR="0005034F" w:rsidRPr="009E757B" w:rsidRDefault="0005034F" w:rsidP="009E757B">
      <w:pPr>
        <w:pStyle w:val="Textpoznpodarou"/>
        <w:spacing w:after="0" w:line="240" w:lineRule="auto"/>
        <w:jc w:val="both"/>
        <w:rPr>
          <w:rFonts w:ascii="Times New Roman" w:hAnsi="Times New Roman"/>
          <w:sz w:val="20"/>
        </w:rPr>
      </w:pPr>
      <w:r w:rsidRPr="009E757B">
        <w:rPr>
          <w:rStyle w:val="Znakapoznpodarou"/>
          <w:rFonts w:ascii="Times New Roman" w:hAnsi="Times New Roman"/>
          <w:sz w:val="20"/>
        </w:rPr>
        <w:footnoteRef/>
      </w:r>
      <w:r w:rsidRPr="009E757B">
        <w:rPr>
          <w:rFonts w:ascii="Times New Roman" w:hAnsi="Times New Roman"/>
          <w:sz w:val="20"/>
        </w:rPr>
        <w:t xml:space="preserve"> MPO (2012): Koncepce podpory malých a středních podnikatelů 2014–2020.</w:t>
      </w:r>
    </w:p>
  </w:footnote>
  <w:footnote w:id="53">
    <w:p w:rsidR="0005034F" w:rsidRPr="009E757B" w:rsidRDefault="0005034F" w:rsidP="009E757B">
      <w:pPr>
        <w:spacing w:after="0" w:line="240" w:lineRule="auto"/>
        <w:jc w:val="both"/>
        <w:rPr>
          <w:rFonts w:ascii="Times New Roman" w:hAnsi="Times New Roman" w:cs="Times New Roman"/>
          <w:color w:val="000000"/>
          <w:sz w:val="20"/>
          <w:szCs w:val="20"/>
        </w:rPr>
      </w:pPr>
      <w:r w:rsidRPr="009E757B">
        <w:rPr>
          <w:rStyle w:val="Znakapoznpodarou"/>
          <w:rFonts w:ascii="Times New Roman" w:hAnsi="Times New Roman" w:cs="Times New Roman"/>
          <w:sz w:val="20"/>
          <w:szCs w:val="20"/>
        </w:rPr>
        <w:footnoteRef/>
      </w:r>
      <w:hyperlink r:id="rId11" w:history="1">
        <w:r w:rsidRPr="009E757B">
          <w:rPr>
            <w:rStyle w:val="Hypertextovodkaz"/>
            <w:rFonts w:ascii="Times New Roman" w:hAnsi="Times New Roman" w:cs="Times New Roman"/>
            <w:sz w:val="20"/>
            <w:szCs w:val="20"/>
          </w:rPr>
          <w:t>http://www.iea.org/statistics/statisticssearch/report/?country=CZECH&amp;product=balances&amp;year=2011</w:t>
        </w:r>
      </w:hyperlink>
      <w:r w:rsidRPr="009E757B">
        <w:rPr>
          <w:rFonts w:ascii="Times New Roman" w:hAnsi="Times New Roman" w:cs="Times New Roman"/>
          <w:color w:val="000000"/>
          <w:sz w:val="20"/>
          <w:szCs w:val="20"/>
        </w:rPr>
        <w:t xml:space="preserve"> nebo </w:t>
      </w:r>
      <w:hyperlink r:id="rId12" w:history="1">
        <w:r w:rsidRPr="009E757B">
          <w:rPr>
            <w:rStyle w:val="Hypertextovodkaz"/>
            <w:rFonts w:ascii="Times New Roman" w:hAnsi="Times New Roman" w:cs="Times New Roman"/>
            <w:sz w:val="20"/>
            <w:szCs w:val="20"/>
          </w:rPr>
          <w:t>http://www.czso.cz/csu/2012edicniplan.nsf/kapitola/8113-12-n_2012-03</w:t>
        </w:r>
      </w:hyperlink>
    </w:p>
    <w:p w:rsidR="0005034F" w:rsidRPr="009E757B" w:rsidRDefault="0005034F" w:rsidP="009E757B">
      <w:pPr>
        <w:pStyle w:val="Textpoznpodarou"/>
        <w:spacing w:after="0" w:line="240" w:lineRule="auto"/>
        <w:jc w:val="both"/>
        <w:rPr>
          <w:rFonts w:ascii="Times New Roman" w:hAnsi="Times New Roman"/>
          <w:sz w:val="20"/>
          <w:lang w:val="cs-CZ"/>
        </w:rPr>
      </w:pPr>
    </w:p>
  </w:footnote>
  <w:footnote w:id="54">
    <w:p w:rsidR="0005034F" w:rsidRPr="009E757B" w:rsidRDefault="0005034F"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sidRPr="009E757B">
        <w:rPr>
          <w:rFonts w:ascii="Times New Roman" w:hAnsi="Times New Roman"/>
          <w:sz w:val="20"/>
          <w:lang w:val="cs-CZ"/>
        </w:rPr>
        <w:t>Dle údajů uvedených ve strategii Státní politika v elektronických komunikacích – Digitální Česko neměli v roce 2010 obyvatelé 10,1 % obcí možnost přístupu k vysokorychlostnímu internetu, obyvatelé 20,4 % obcí měli možnost přístupu k vysokorychlostnímu internetu prostřednictvím 1 poskytovatele a obyvatelé 69,5 % obcí měli možnost přístupu k vysokorychlostnímu internetu prostřednictvím více než jednoho poskytovatele.</w:t>
      </w:r>
    </w:p>
  </w:footnote>
  <w:footnote w:id="55">
    <w:p w:rsidR="0005034F" w:rsidRPr="009E757B" w:rsidRDefault="0005034F" w:rsidP="009E757B">
      <w:pPr>
        <w:pStyle w:val="Textpoznpodarou"/>
        <w:spacing w:after="0" w:line="240" w:lineRule="auto"/>
        <w:jc w:val="both"/>
        <w:rPr>
          <w:rFonts w:ascii="Times New Roman" w:hAnsi="Times New Roman"/>
          <w:sz w:val="20"/>
          <w:lang w:val="cs-CZ"/>
        </w:rPr>
      </w:pPr>
      <w:r w:rsidRPr="009E757B">
        <w:rPr>
          <w:rFonts w:ascii="Times New Roman" w:hAnsi="Times New Roman"/>
          <w:sz w:val="20"/>
        </w:rPr>
        <w:footnoteRef/>
      </w:r>
      <w:r w:rsidRPr="009E757B">
        <w:rPr>
          <w:rFonts w:ascii="Times New Roman" w:hAnsi="Times New Roman"/>
          <w:sz w:val="20"/>
          <w:lang w:val="cs-CZ"/>
        </w:rPr>
        <w:t xml:space="preserve"> Oproti roku 2005.</w:t>
      </w:r>
    </w:p>
  </w:footnote>
  <w:footnote w:id="56">
    <w:p w:rsidR="0005034F" w:rsidRPr="009E757B" w:rsidRDefault="0005034F"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sidRPr="009E757B">
        <w:rPr>
          <w:rFonts w:ascii="Times New Roman" w:hAnsi="Times New Roman"/>
          <w:sz w:val="20"/>
          <w:lang w:val="cs-CZ"/>
        </w:rPr>
        <w:t>Národní akční plán České republiky pro energii z obnovitelných zdrojů si stanovuje cíl ve výši 13,5 %.</w:t>
      </w:r>
    </w:p>
  </w:footnote>
  <w:footnote w:id="57">
    <w:p w:rsidR="0005034F" w:rsidRDefault="0005034F" w:rsidP="005C2131">
      <w:pPr>
        <w:pStyle w:val="Textpoznpodarou"/>
        <w:spacing w:after="0" w:line="240" w:lineRule="auto"/>
      </w:pPr>
      <w:r w:rsidRPr="005C2131">
        <w:rPr>
          <w:rStyle w:val="Znakapoznpodarou"/>
          <w:rFonts w:ascii="Times New Roman" w:hAnsi="Times New Roman"/>
          <w:sz w:val="20"/>
        </w:rPr>
        <w:footnoteRef/>
      </w:r>
      <w:r w:rsidRPr="005C2131">
        <w:rPr>
          <w:rFonts w:ascii="Times New Roman" w:hAnsi="Times New Roman"/>
          <w:sz w:val="20"/>
        </w:rPr>
        <w:t xml:space="preserve"> </w:t>
      </w:r>
      <w:r w:rsidRPr="005C2131">
        <w:rPr>
          <w:rFonts w:ascii="Times New Roman" w:hAnsi="Times New Roman"/>
          <w:sz w:val="20"/>
          <w:lang w:val="cs-CZ"/>
        </w:rPr>
        <w:t>Za veřejnou správu je pro potřeby Dohody považována státní správa (organizační složky státu) a samospráva (obce, kraje, hlavní město Praha). Pod státní správu se mimo jiné řadí také složky Policie ČR a HZS ČR a také organizační složky v resortu justice, jako je Justiční akademie, Probační a mediační služba či Vězeňská služba. Důvodem je, že tyto složky mají svůj administrativní aparát, jehož efektivní fungování je minimálně stejně důležité jako efektivní fungování např. ústředních správních úřadů, obecních a krajských úřadů.“</w:t>
      </w:r>
    </w:p>
  </w:footnote>
  <w:footnote w:id="58">
    <w:p w:rsidR="0005034F" w:rsidRDefault="0005034F" w:rsidP="005C2131">
      <w:pPr>
        <w:pStyle w:val="Textpoznpodarou"/>
        <w:spacing w:after="0" w:line="240" w:lineRule="auto"/>
      </w:pPr>
      <w:r w:rsidRPr="008E1189">
        <w:rPr>
          <w:rStyle w:val="Znakapoznpodarou"/>
          <w:rFonts w:ascii="Times New Roman" w:hAnsi="Times New Roman"/>
          <w:sz w:val="18"/>
          <w:szCs w:val="18"/>
          <w:lang w:val="cs-CZ"/>
        </w:rPr>
        <w:footnoteRef/>
      </w:r>
      <w:r w:rsidRPr="00AE1A0E">
        <w:rPr>
          <w:rFonts w:ascii="Times New Roman" w:hAnsi="Times New Roman"/>
          <w:sz w:val="18"/>
          <w:szCs w:val="18"/>
          <w:lang w:val="cs-CZ"/>
        </w:rPr>
        <w:t xml:space="preserve"> </w:t>
      </w:r>
      <w:r w:rsidRPr="00842329">
        <w:rPr>
          <w:rFonts w:ascii="Times New Roman" w:hAnsi="Times New Roman"/>
          <w:sz w:val="20"/>
          <w:lang w:val="cs-CZ"/>
        </w:rPr>
        <w:t>V roce 2009 byl proveden nezávislý průzkum, ze kterého vyplývá, že celková doba strávená ročně administrativními povinnostmi činí 39 dní a většina podnikatelů uvádí, že jim administrativa vzrostla po vstupu ČR do EU.</w:t>
      </w:r>
    </w:p>
  </w:footnote>
  <w:footnote w:id="59">
    <w:p w:rsidR="0005034F" w:rsidRDefault="0005034F" w:rsidP="005C2131">
      <w:pPr>
        <w:spacing w:after="0" w:line="240" w:lineRule="auto"/>
        <w:jc w:val="both"/>
      </w:pPr>
      <w:r>
        <w:rPr>
          <w:rStyle w:val="Znakapoznpodarou"/>
        </w:rPr>
        <w:footnoteRef/>
      </w:r>
      <w:r w:rsidRPr="0087669A">
        <w:t xml:space="preserve"> </w:t>
      </w:r>
      <w:r w:rsidRPr="00842329">
        <w:rPr>
          <w:rFonts w:ascii="Times New Roman" w:hAnsi="Times New Roman" w:cs="Times New Roman"/>
          <w:sz w:val="20"/>
          <w:szCs w:val="20"/>
        </w:rPr>
        <w:t>Převzato z Analýzy finanční náročnosti a kvality výkonu státní správy do roku 2030 (</w:t>
      </w:r>
      <w:r>
        <w:rPr>
          <w:rFonts w:ascii="Times New Roman" w:hAnsi="Times New Roman" w:cs="Times New Roman"/>
          <w:sz w:val="20"/>
          <w:szCs w:val="20"/>
        </w:rPr>
        <w:t>d</w:t>
      </w:r>
      <w:r w:rsidRPr="00842329">
        <w:rPr>
          <w:rFonts w:ascii="Times New Roman" w:hAnsi="Times New Roman" w:cs="Times New Roman"/>
          <w:sz w:val="20"/>
          <w:szCs w:val="20"/>
        </w:rPr>
        <w:t>uben 2013) od J. Chvalkovské a kol.</w:t>
      </w:r>
    </w:p>
    <w:p w:rsidR="0005034F" w:rsidRDefault="0005034F" w:rsidP="00F2618C">
      <w:pPr>
        <w:jc w:val="both"/>
      </w:pPr>
    </w:p>
  </w:footnote>
  <w:footnote w:id="60">
    <w:p w:rsidR="0005034F" w:rsidRPr="005C2131" w:rsidRDefault="0005034F" w:rsidP="00715D3D">
      <w:pPr>
        <w:pStyle w:val="Textpoznpodarou"/>
        <w:rPr>
          <w:rFonts w:ascii="Times New Roman" w:hAnsi="Times New Roman"/>
          <w:sz w:val="20"/>
        </w:rPr>
      </w:pPr>
      <w:r w:rsidRPr="005C2131">
        <w:rPr>
          <w:rStyle w:val="Znakapoznpodarou"/>
          <w:rFonts w:ascii="Times New Roman" w:hAnsi="Times New Roman"/>
          <w:sz w:val="20"/>
        </w:rPr>
        <w:footnoteRef/>
      </w:r>
      <w:r w:rsidRPr="005C2131">
        <w:rPr>
          <w:rFonts w:ascii="Times New Roman" w:hAnsi="Times New Roman"/>
          <w:sz w:val="20"/>
        </w:rPr>
        <w:t xml:space="preserve"> Převzato z návrhu Strategického rámce rozvoje eGovernmentu 2014+</w:t>
      </w:r>
    </w:p>
    <w:p w:rsidR="0005034F" w:rsidRPr="00715D3D" w:rsidRDefault="0005034F">
      <w:pPr>
        <w:pStyle w:val="Textpoznpodarou"/>
        <w:rPr>
          <w:lang w:val="cs-CZ"/>
        </w:rPr>
      </w:pPr>
    </w:p>
  </w:footnote>
  <w:footnote w:id="61">
    <w:p w:rsidR="0005034F" w:rsidRPr="00E81C4C" w:rsidRDefault="0005034F" w:rsidP="00BC676D">
      <w:pPr>
        <w:pStyle w:val="Textpoznpodarou"/>
        <w:rPr>
          <w:lang w:val="cs-CZ"/>
        </w:rPr>
      </w:pPr>
      <w:r w:rsidRPr="005D6CA1">
        <w:rPr>
          <w:rStyle w:val="Znakapoznpodarou"/>
          <w:rFonts w:ascii="Times New Roman" w:hAnsi="Times New Roman"/>
        </w:rPr>
        <w:footnoteRef/>
      </w:r>
      <w:r w:rsidRPr="000F2B72">
        <w:rPr>
          <w:rFonts w:ascii="Times New Roman" w:hAnsi="Times New Roman"/>
          <w:lang w:val="cs-CZ"/>
        </w:rPr>
        <w:t xml:space="preserve"> </w:t>
      </w:r>
      <w:r w:rsidRPr="005D6CA1">
        <w:rPr>
          <w:rFonts w:ascii="Times New Roman" w:hAnsi="Times New Roman"/>
          <w:lang w:val="cs-CZ"/>
        </w:rPr>
        <w:t xml:space="preserve">Dobudování systému kybernetické bezpečnosti vychází z analýz bezpečnosti prostředí – Průzkum stavu zajištění kybernetické bezpečnosti ve státní a veřejné správě ČR, Problematika kybernetických hrozeb z hlediska bezpečnostních zájmů ČR a Strategie pro oblast kybernetické bezpečnosti či zákon o kybernetické bezpečnosti. </w:t>
      </w:r>
    </w:p>
  </w:footnote>
  <w:footnote w:id="62">
    <w:p w:rsidR="0005034F" w:rsidRPr="009E757B" w:rsidRDefault="0005034F" w:rsidP="009E757B">
      <w:pPr>
        <w:pStyle w:val="Textpoznpodarou"/>
        <w:spacing w:after="0" w:line="240" w:lineRule="auto"/>
        <w:jc w:val="both"/>
        <w:rPr>
          <w:rFonts w:ascii="Times New Roman" w:hAnsi="Times New Roman"/>
          <w:sz w:val="20"/>
          <w:lang w:val="de-DE"/>
        </w:rPr>
      </w:pPr>
      <w:r w:rsidRPr="009E757B">
        <w:rPr>
          <w:rStyle w:val="Znakapoznpodarou"/>
          <w:rFonts w:ascii="Times New Roman" w:hAnsi="Times New Roman"/>
          <w:sz w:val="20"/>
        </w:rPr>
        <w:footnoteRef/>
      </w:r>
      <w:r w:rsidRPr="009E757B">
        <w:rPr>
          <w:rFonts w:ascii="Times New Roman" w:hAnsi="Times New Roman"/>
          <w:sz w:val="20"/>
        </w:rPr>
        <w:t xml:space="preserve"> </w:t>
      </w:r>
      <w:r w:rsidRPr="009E757B">
        <w:rPr>
          <w:rFonts w:ascii="Times New Roman" w:eastAsia="Times New Roman" w:hAnsi="Times New Roman"/>
          <w:sz w:val="20"/>
          <w:lang w:val="cs-CZ"/>
        </w:rPr>
        <w:t>Zdroj:</w:t>
      </w:r>
      <w:r w:rsidRPr="009E757B">
        <w:rPr>
          <w:rFonts w:ascii="Times New Roman" w:eastAsia="Times New Roman" w:hAnsi="Times New Roman"/>
          <w:sz w:val="20"/>
        </w:rPr>
        <w:t xml:space="preserve"> People at risk of poverty and social exclusion (Eurostat, 2013). </w:t>
      </w:r>
      <w:r w:rsidRPr="009E757B">
        <w:rPr>
          <w:rFonts w:ascii="Times New Roman" w:eastAsia="Times New Roman" w:hAnsi="Times New Roman"/>
          <w:sz w:val="20"/>
          <w:lang w:val="de-DE"/>
        </w:rPr>
        <w:t xml:space="preserve">Online na: </w:t>
      </w:r>
      <w:hyperlink r:id="rId13" w:history="1">
        <w:r w:rsidRPr="009E757B">
          <w:rPr>
            <w:rStyle w:val="Hypertextovodkaz"/>
            <w:rFonts w:ascii="Times New Roman" w:eastAsia="Times New Roman" w:hAnsi="Times New Roman"/>
            <w:sz w:val="20"/>
            <w:lang w:val="de-DE"/>
          </w:rPr>
          <w:t>http://appsso.eurostat.ec.europa.eu/nui/show.do?dataset=ilc_peps01&amp;lang=en</w:t>
        </w:r>
      </w:hyperlink>
    </w:p>
  </w:footnote>
  <w:footnote w:id="63">
    <w:p w:rsidR="0005034F" w:rsidRPr="009E757B" w:rsidRDefault="0005034F"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sidRPr="009E757B">
        <w:rPr>
          <w:rFonts w:ascii="Times New Roman" w:hAnsi="Times New Roman"/>
          <w:sz w:val="20"/>
          <w:lang w:val="de-DE"/>
        </w:rPr>
        <w:t xml:space="preserve"> </w:t>
      </w:r>
      <w:r w:rsidRPr="009E757B">
        <w:rPr>
          <w:rFonts w:ascii="Times New Roman" w:hAnsi="Times New Roman"/>
          <w:sz w:val="20"/>
          <w:lang w:val="cs-CZ"/>
        </w:rPr>
        <w:t>V případě domácností jednotlivců nad 65 let činí riziko chudoby nebo sociálního vyloučení přes 24 % (v roce 2005 to bylo jen 13,7%). Prahová hodnota pro ohrožení příjmovou chudobou je 60% mediánu ekvivalizovaného příjmu – z dat vyplývá, že posunutím prahu na 70 % mediánu příjmů by se v ocitlo v ohrožení příjmovou chudobou dalších více než 200 tisíc nepracujících důchodců.</w:t>
      </w:r>
    </w:p>
  </w:footnote>
  <w:footnote w:id="64">
    <w:p w:rsidR="0005034F" w:rsidRPr="00E37E1C" w:rsidRDefault="0005034F" w:rsidP="009E757B">
      <w:pPr>
        <w:pStyle w:val="Textpoznpodarou"/>
        <w:spacing w:after="0" w:line="240" w:lineRule="auto"/>
        <w:jc w:val="both"/>
        <w:rPr>
          <w:rFonts w:ascii="Times New Roman" w:hAnsi="Times New Roman"/>
          <w:sz w:val="20"/>
          <w:lang w:val="cs-CZ"/>
        </w:rPr>
      </w:pPr>
      <w:r w:rsidRPr="00E37E1C">
        <w:rPr>
          <w:rStyle w:val="Znakapoznpodarou"/>
          <w:rFonts w:ascii="Times New Roman" w:hAnsi="Times New Roman"/>
          <w:sz w:val="20"/>
        </w:rPr>
        <w:footnoteRef/>
      </w:r>
      <w:r w:rsidRPr="00E37E1C">
        <w:rPr>
          <w:rFonts w:ascii="Times New Roman" w:hAnsi="Times New Roman"/>
          <w:sz w:val="20"/>
        </w:rPr>
        <w:t xml:space="preserve"> </w:t>
      </w:r>
      <w:r w:rsidRPr="00E37E1C">
        <w:rPr>
          <w:rFonts w:ascii="Times New Roman" w:hAnsi="Times New Roman"/>
          <w:sz w:val="20"/>
          <w:lang w:val="cs-CZ"/>
        </w:rPr>
        <w:t>Ministerstvo zdravotnictví, jako správní orgán věcně příslušný podle § 112 zákona č. 372/2011 Sb., o zdravotních službách a podmínkách jejich poskytování (zákon o zdravotních službách), uděluje statut centra vysoce specializované péče.</w:t>
      </w:r>
    </w:p>
  </w:footnote>
  <w:footnote w:id="65">
    <w:p w:rsidR="0005034F" w:rsidRPr="00E37E1C" w:rsidRDefault="0005034F" w:rsidP="009E757B">
      <w:pPr>
        <w:pStyle w:val="Textpoznpodarou"/>
        <w:spacing w:after="0" w:line="240" w:lineRule="auto"/>
        <w:jc w:val="both"/>
        <w:rPr>
          <w:rFonts w:ascii="Times New Roman" w:hAnsi="Times New Roman"/>
          <w:sz w:val="20"/>
          <w:lang w:val="cs-CZ"/>
        </w:rPr>
      </w:pPr>
      <w:r w:rsidRPr="00E37E1C">
        <w:rPr>
          <w:rStyle w:val="Znakapoznpodarou"/>
          <w:rFonts w:ascii="Times New Roman" w:hAnsi="Times New Roman"/>
          <w:sz w:val="20"/>
        </w:rPr>
        <w:footnoteRef/>
      </w:r>
      <w:r w:rsidRPr="00E37E1C">
        <w:rPr>
          <w:rFonts w:ascii="Times New Roman" w:hAnsi="Times New Roman"/>
          <w:sz w:val="20"/>
        </w:rPr>
        <w:t xml:space="preserve"> </w:t>
      </w:r>
      <w:r w:rsidRPr="00E37E1C">
        <w:rPr>
          <w:rFonts w:ascii="Times New Roman" w:eastAsia="Times New Roman" w:hAnsi="Times New Roman"/>
          <w:sz w:val="20"/>
        </w:rPr>
        <w:t>Zdroj: SILC 2008–2011.</w:t>
      </w:r>
    </w:p>
  </w:footnote>
  <w:footnote w:id="66">
    <w:p w:rsidR="0005034F" w:rsidRPr="00E37E1C" w:rsidRDefault="0005034F" w:rsidP="009E757B">
      <w:pPr>
        <w:pStyle w:val="Textpoznpodarou"/>
        <w:spacing w:after="0" w:line="240" w:lineRule="auto"/>
        <w:jc w:val="both"/>
        <w:rPr>
          <w:rFonts w:ascii="Times New Roman" w:hAnsi="Times New Roman"/>
          <w:sz w:val="20"/>
          <w:lang w:val="cs-CZ"/>
        </w:rPr>
      </w:pPr>
      <w:r w:rsidRPr="00E37E1C">
        <w:rPr>
          <w:rStyle w:val="Znakapoznpodarou"/>
          <w:rFonts w:ascii="Times New Roman" w:hAnsi="Times New Roman"/>
          <w:sz w:val="20"/>
        </w:rPr>
        <w:footnoteRef/>
      </w:r>
      <w:r w:rsidRPr="00E37E1C">
        <w:rPr>
          <w:rFonts w:ascii="Times New Roman" w:hAnsi="Times New Roman"/>
          <w:sz w:val="20"/>
          <w:lang w:val="cs-CZ"/>
        </w:rPr>
        <w:t>Zdroj: Studie Agentury pro sociální začleňování.</w:t>
      </w:r>
    </w:p>
  </w:footnote>
  <w:footnote w:id="67">
    <w:p w:rsidR="0005034F" w:rsidRPr="00E37E1C" w:rsidRDefault="0005034F" w:rsidP="009E757B">
      <w:pPr>
        <w:pStyle w:val="Textpoznpodarou"/>
        <w:spacing w:after="0" w:line="240" w:lineRule="auto"/>
        <w:jc w:val="both"/>
        <w:rPr>
          <w:rFonts w:ascii="Times New Roman" w:hAnsi="Times New Roman"/>
          <w:sz w:val="20"/>
          <w:lang w:val="cs-CZ"/>
        </w:rPr>
      </w:pPr>
      <w:r w:rsidRPr="00E37E1C">
        <w:rPr>
          <w:rStyle w:val="Znakapoznpodarou"/>
          <w:rFonts w:ascii="Times New Roman" w:hAnsi="Times New Roman"/>
          <w:sz w:val="20"/>
        </w:rPr>
        <w:footnoteRef/>
      </w:r>
      <w:r w:rsidRPr="00E37E1C">
        <w:rPr>
          <w:rFonts w:ascii="Times New Roman" w:hAnsi="Times New Roman"/>
          <w:sz w:val="20"/>
          <w:lang w:val="de-DE"/>
        </w:rPr>
        <w:t xml:space="preserve"> </w:t>
      </w:r>
      <w:r w:rsidRPr="00E37E1C">
        <w:rPr>
          <w:rFonts w:ascii="Times New Roman" w:hAnsi="Times New Roman"/>
          <w:sz w:val="20"/>
          <w:lang w:val="cs-CZ"/>
        </w:rPr>
        <w:t>V kapitole 1.3 je uvedena mapa sociálně vyloučených lokalit.</w:t>
      </w:r>
    </w:p>
  </w:footnote>
  <w:footnote w:id="68">
    <w:p w:rsidR="0005034F" w:rsidRPr="00096D52" w:rsidRDefault="0005034F" w:rsidP="000944C5">
      <w:pPr>
        <w:pStyle w:val="Textpoznpodarou"/>
        <w:rPr>
          <w:lang w:val="cs-CZ"/>
        </w:rPr>
      </w:pPr>
      <w:r w:rsidRPr="00E37E1C">
        <w:rPr>
          <w:rStyle w:val="Znakapoznpodarou"/>
          <w:rFonts w:ascii="Times New Roman" w:hAnsi="Times New Roman"/>
          <w:sz w:val="20"/>
        </w:rPr>
        <w:footnoteRef/>
      </w:r>
      <w:r w:rsidRPr="00E37E1C">
        <w:rPr>
          <w:rFonts w:ascii="Times New Roman" w:hAnsi="Times New Roman"/>
          <w:sz w:val="20"/>
        </w:rPr>
        <w:t xml:space="preserve"> Zdroj:  http://www.czso.cz/csu/2012edicniplan.nsf/krajkapitola/201011-12-r_2012-22</w:t>
      </w:r>
    </w:p>
  </w:footnote>
  <w:footnote w:id="69">
    <w:p w:rsidR="0005034F" w:rsidRPr="009E757B" w:rsidRDefault="0005034F"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sidRPr="009E757B">
        <w:rPr>
          <w:rFonts w:ascii="Times New Roman" w:hAnsi="Times New Roman"/>
          <w:sz w:val="20"/>
        </w:rPr>
        <w:t xml:space="preserve"> </w:t>
      </w:r>
      <w:r w:rsidRPr="009E757B">
        <w:rPr>
          <w:rFonts w:ascii="Times New Roman" w:hAnsi="Times New Roman"/>
          <w:sz w:val="20"/>
          <w:lang w:val="cs-CZ"/>
        </w:rPr>
        <w:t>Pilotně bylo realizováno šest projektů v oblasti revitalizace romských vyloučených sídlišť, které měly oporu v tzv. integrovaných plánech rozvoje měst.</w:t>
      </w:r>
    </w:p>
  </w:footnote>
  <w:footnote w:id="70">
    <w:p w:rsidR="0005034F" w:rsidRPr="009E757B" w:rsidRDefault="0005034F" w:rsidP="009E757B">
      <w:pPr>
        <w:pStyle w:val="Textpoznpodarou"/>
        <w:spacing w:after="0" w:line="240" w:lineRule="auto"/>
        <w:jc w:val="both"/>
        <w:rPr>
          <w:rFonts w:ascii="Times New Roman" w:hAnsi="Times New Roman"/>
          <w:sz w:val="20"/>
        </w:rPr>
      </w:pPr>
      <w:r w:rsidRPr="009E757B">
        <w:rPr>
          <w:rStyle w:val="Znakapoznpodarou"/>
          <w:rFonts w:ascii="Times New Roman" w:hAnsi="Times New Roman"/>
          <w:sz w:val="20"/>
          <w:lang w:val="cs-CZ"/>
        </w:rPr>
        <w:footnoteRef/>
      </w:r>
      <w:r w:rsidRPr="009E757B">
        <w:rPr>
          <w:rFonts w:ascii="Times New Roman" w:hAnsi="Times New Roman"/>
          <w:sz w:val="20"/>
          <w:lang w:val="cs-CZ"/>
        </w:rPr>
        <w:t xml:space="preserve"> Např. dle EURomy (European Network on Social Inclusion and Roma under the Structural Funds), evropské sítě zabývající se sociální inkluzí Romů se tento přístup osvědčil jako jedna z nejvhodnějších cest k integraci Romů, která mj. umožňuje formulovat jasné cíle, adekvátní formy implementace a zároveň specifické formy monitoringu a evaluace. Explicitní, nikoli exkluzivní přístup je rovněž akcentován iniciativou EU „For Diversity Against</w:t>
      </w:r>
      <w:r w:rsidRPr="009E757B">
        <w:rPr>
          <w:rFonts w:ascii="Times New Roman" w:hAnsi="Times New Roman"/>
          <w:sz w:val="20"/>
        </w:rPr>
        <w:t xml:space="preserve"> Dicrimination“ jako jeden z 10 základních principů Romské inkluze (tzv. The 10 Common Basic Principles on Roma Inclusion).  </w:t>
      </w:r>
    </w:p>
  </w:footnote>
  <w:footnote w:id="71">
    <w:p w:rsidR="0005034F" w:rsidRDefault="0005034F">
      <w:pPr>
        <w:pStyle w:val="Textpoznpodarou"/>
        <w:spacing w:line="240" w:lineRule="auto"/>
        <w:jc w:val="both"/>
        <w:rPr>
          <w:lang w:val="cs-CZ"/>
        </w:rPr>
      </w:pPr>
      <w:r>
        <w:rPr>
          <w:rStyle w:val="Znakapoznpodarou"/>
        </w:rPr>
        <w:footnoteRef/>
      </w:r>
      <w:r>
        <w:t xml:space="preserve"> </w:t>
      </w:r>
      <w:r w:rsidRPr="009E757B">
        <w:rPr>
          <w:rFonts w:ascii="Times New Roman" w:hAnsi="Times New Roman"/>
          <w:lang w:val="cs-CZ"/>
        </w:rPr>
        <w:t>Z připravované Koncepce sociálního bydlení ČR - Sociální bydlení je definováno jako funkční systém nástrojů sociální a bytové politiky, řešících problémy osob znevýhodněných v přístupu k bydlení. Jedná se o komplexní systém opatření upravených různými oblastmi práva. Mezi nástroje sociální a bytové politiky jsou zahrnuty: sociální služby (včetně rezidenčních), sociální práce, sociální dávky a investiční podpora sociálního bydlení. Bydlením se rozumí užívání obydlení, tj. prostoru k tomu způsobilého. Obydlím se rozumí prostor způsobilý k bydlení, tj. který umožňuje naplňování fyzických potřeb osoby a členů její domácnosti, poskytuje soukromí a umožňuje udržování společenských vztahů, a je obýván na základě některého z právních institutů umožňujících užívání věci.</w:t>
      </w:r>
    </w:p>
  </w:footnote>
  <w:footnote w:id="72">
    <w:p w:rsidR="0005034F" w:rsidRPr="009E757B" w:rsidRDefault="0005034F"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sidRPr="009E757B">
        <w:rPr>
          <w:rFonts w:ascii="Times New Roman" w:hAnsi="Times New Roman"/>
          <w:sz w:val="20"/>
          <w:lang w:val="cs-CZ"/>
        </w:rPr>
        <w:t xml:space="preserve">Zákon č. 106/2006 Sb., o sociálních službách ve znění pozdějších předpisů definuje sociální začleňování jako proces, který zajišťuje, že osoby sociálně vyloučené nebo sociálním vyloučením ohrožené dosáhnou příležitostí a možností, které jim napomáhají plně se zapojit do ekonomického, sociální i kulturního života společnosti a žít způsobem, který je ve společnosti považován za běžný. </w:t>
      </w:r>
    </w:p>
  </w:footnote>
  <w:footnote w:id="73">
    <w:p w:rsidR="0005034F" w:rsidRPr="009E757B" w:rsidRDefault="0005034F" w:rsidP="009E757B">
      <w:pPr>
        <w:pStyle w:val="Textpoznpodarou"/>
        <w:spacing w:line="240" w:lineRule="auto"/>
        <w:jc w:val="both"/>
        <w:rPr>
          <w:rFonts w:ascii="Times New Roman" w:hAnsi="Times New Roman"/>
          <w:lang w:val="cs-CZ"/>
        </w:rPr>
      </w:pPr>
      <w:r w:rsidRPr="009E757B">
        <w:rPr>
          <w:rStyle w:val="Znakapoznpodarou"/>
          <w:rFonts w:ascii="Times New Roman" w:hAnsi="Times New Roman"/>
        </w:rPr>
        <w:footnoteRef/>
      </w:r>
      <w:r w:rsidRPr="009E757B">
        <w:rPr>
          <w:rFonts w:ascii="Times New Roman" w:hAnsi="Times New Roman"/>
        </w:rPr>
        <w:t xml:space="preserve"> </w:t>
      </w:r>
      <w:r w:rsidRPr="009E757B">
        <w:rPr>
          <w:rFonts w:ascii="Times New Roman" w:hAnsi="Times New Roman"/>
          <w:lang w:val="cs-CZ"/>
        </w:rPr>
        <w:t>Data MŽP za rok 2012.</w:t>
      </w:r>
    </w:p>
  </w:footnote>
  <w:footnote w:id="74">
    <w:p w:rsidR="0005034F" w:rsidRPr="009E757B" w:rsidRDefault="0005034F" w:rsidP="009E757B">
      <w:pPr>
        <w:pStyle w:val="Textpoznpodarou"/>
        <w:spacing w:line="240" w:lineRule="auto"/>
        <w:jc w:val="both"/>
        <w:rPr>
          <w:rFonts w:ascii="Times New Roman" w:hAnsi="Times New Roman"/>
          <w:lang w:val="cs-CZ"/>
        </w:rPr>
      </w:pPr>
      <w:r w:rsidRPr="009E757B">
        <w:rPr>
          <w:rStyle w:val="Znakapoznpodarou"/>
          <w:rFonts w:ascii="Times New Roman" w:hAnsi="Times New Roman"/>
        </w:rPr>
        <w:footnoteRef/>
      </w:r>
      <w:r w:rsidRPr="009E757B">
        <w:rPr>
          <w:rFonts w:ascii="Times New Roman" w:hAnsi="Times New Roman"/>
        </w:rPr>
        <w:t xml:space="preserve"> </w:t>
      </w:r>
      <w:r w:rsidRPr="009E757B">
        <w:rPr>
          <w:rFonts w:ascii="Times New Roman" w:hAnsi="Times New Roman"/>
          <w:lang w:val="cs-CZ"/>
        </w:rPr>
        <w:t>Data MŽP za rok 2012.</w:t>
      </w:r>
    </w:p>
  </w:footnote>
  <w:footnote w:id="75">
    <w:p w:rsidR="0005034F" w:rsidRPr="009E757B" w:rsidRDefault="0005034F"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sidRPr="009E757B">
        <w:rPr>
          <w:rFonts w:ascii="Times New Roman" w:hAnsi="Times New Roman"/>
          <w:sz w:val="20"/>
        </w:rPr>
        <w:t xml:space="preserve"> </w:t>
      </w:r>
      <w:r w:rsidRPr="009E757B">
        <w:rPr>
          <w:rFonts w:ascii="Times New Roman" w:hAnsi="Times New Roman"/>
          <w:sz w:val="20"/>
          <w:lang w:val="cs-CZ"/>
        </w:rPr>
        <w:t>Viz potenciál úspor energie za jednotlivé části ekonomiky ČR v kap. 1.1 v části Makroekonomická situace ČR</w:t>
      </w:r>
    </w:p>
  </w:footnote>
  <w:footnote w:id="76">
    <w:p w:rsidR="0005034F" w:rsidRPr="009E757B" w:rsidRDefault="0005034F" w:rsidP="009E757B">
      <w:pPr>
        <w:pStyle w:val="Textpoznpodarou"/>
        <w:spacing w:after="0" w:line="240" w:lineRule="auto"/>
        <w:jc w:val="both"/>
        <w:rPr>
          <w:rFonts w:ascii="Times New Roman" w:eastAsia="Times New Roman" w:hAnsi="Times New Roman"/>
          <w:sz w:val="20"/>
          <w:lang w:val="cs-CZ"/>
        </w:rPr>
      </w:pPr>
      <w:r w:rsidRPr="009E757B">
        <w:rPr>
          <w:rFonts w:ascii="Times New Roman" w:hAnsi="Times New Roman"/>
          <w:sz w:val="20"/>
        </w:rPr>
        <w:footnoteRef/>
      </w:r>
      <w:r w:rsidRPr="009E757B">
        <w:rPr>
          <w:rFonts w:ascii="Times New Roman" w:hAnsi="Times New Roman"/>
          <w:sz w:val="20"/>
          <w:lang w:val="cs-CZ"/>
        </w:rPr>
        <w:t xml:space="preserve"> Oproti roku 2005.</w:t>
      </w:r>
    </w:p>
  </w:footnote>
  <w:footnote w:id="77">
    <w:p w:rsidR="0005034F" w:rsidRPr="009E757B" w:rsidRDefault="0005034F" w:rsidP="009E757B">
      <w:pPr>
        <w:spacing w:after="0" w:line="240" w:lineRule="auto"/>
        <w:jc w:val="both"/>
        <w:rPr>
          <w:rFonts w:ascii="Times New Roman" w:hAnsi="Times New Roman" w:cs="Times New Roman"/>
          <w:sz w:val="20"/>
          <w:szCs w:val="20"/>
        </w:rPr>
      </w:pPr>
      <w:r w:rsidRPr="009E757B">
        <w:rPr>
          <w:rStyle w:val="Znakapoznpodarou"/>
          <w:rFonts w:ascii="Times New Roman" w:hAnsi="Times New Roman" w:cs="Times New Roman"/>
          <w:sz w:val="20"/>
          <w:szCs w:val="20"/>
        </w:rPr>
        <w:footnoteRef/>
      </w:r>
      <w:r w:rsidRPr="009E757B">
        <w:rPr>
          <w:rFonts w:ascii="Times New Roman" w:hAnsi="Times New Roman" w:cs="Times New Roman"/>
          <w:sz w:val="20"/>
          <w:szCs w:val="20"/>
        </w:rPr>
        <w:t>Specifická doporučení Rady: 3. Zvyšovat zákonem stanovený věk odchodu do důchodu rychleji, než to stanoví stávající právní předpisy, vytvořit jasnou vazbu mezi zákonem stanoveným věkem odchodu do důchodu a nadějí dožití a přezkoumat mechanismus indexace důchodů. Zvyšování věku odchodu do důchodu doplnit o opatření podporující zaměstnatelnost starších pracovníků a omezit možnosti předčasného odchodu do důchodu. Zejména zrušit veřejnou dotaci pro režim předčasného odchodu do důchodu. Přijmout opatření, která by výrazně zlepšila nákladovou efektivnost výdajů na zdravotní péči, zejména na péči v nemocnicích.</w:t>
      </w:r>
    </w:p>
    <w:p w:rsidR="0005034F" w:rsidRPr="009E757B" w:rsidRDefault="0005034F" w:rsidP="009E757B">
      <w:pPr>
        <w:pStyle w:val="DAVA"/>
        <w:spacing w:before="0"/>
        <w:rPr>
          <w:rFonts w:ascii="Times New Roman" w:hAnsi="Times New Roman"/>
          <w:sz w:val="20"/>
          <w:szCs w:val="20"/>
        </w:rPr>
      </w:pPr>
      <w:r w:rsidRPr="009E757B">
        <w:rPr>
          <w:rFonts w:ascii="Times New Roman" w:hAnsi="Times New Roman"/>
          <w:sz w:val="20"/>
          <w:szCs w:val="20"/>
        </w:rPr>
        <w:t>4. Přijmout opatření k posílení efektivnosti a účinnosti veřejných služeb zaměstnanosti. Výrazně zvýšit dostupnost zařízení péče o děti podporující sociální začlenění se zaměřením na děti do tří let a zvýšit účast romských dětí, a to zejména přijetím a provedením zákona o soukromých zařízeních péče o děti a zvýšením kapacity veřejných zařízení péče o děti.</w:t>
      </w:r>
    </w:p>
    <w:p w:rsidR="0005034F" w:rsidRPr="009E757B" w:rsidRDefault="0005034F" w:rsidP="009E757B">
      <w:pPr>
        <w:pStyle w:val="DAVA"/>
        <w:spacing w:before="0"/>
        <w:rPr>
          <w:rFonts w:ascii="Times New Roman" w:hAnsi="Times New Roman"/>
          <w:sz w:val="20"/>
          <w:szCs w:val="20"/>
        </w:rPr>
      </w:pPr>
      <w:r w:rsidRPr="009E757B">
        <w:rPr>
          <w:rFonts w:ascii="Times New Roman" w:hAnsi="Times New Roman"/>
          <w:sz w:val="20"/>
          <w:szCs w:val="20"/>
        </w:rPr>
        <w:t>5. Zajistit provádění protikorupční strategie na období 2013–2014. Přijmout služební zákon, který by měl zajistit stabilní, výkonné a profesionální služby státní správy. Zlepšit správu prostředků z fondů EU s ohledem na programové období 2014–2020. Posílit kapacitu provádění veřejných zakázek na místní a regionální úrovni.</w:t>
      </w:r>
    </w:p>
    <w:p w:rsidR="0005034F" w:rsidRPr="009E757B" w:rsidRDefault="0005034F" w:rsidP="009E757B">
      <w:pPr>
        <w:pStyle w:val="DAVA"/>
        <w:spacing w:before="0"/>
        <w:rPr>
          <w:rFonts w:ascii="Times New Roman" w:hAnsi="Times New Roman"/>
          <w:sz w:val="20"/>
          <w:szCs w:val="20"/>
        </w:rPr>
      </w:pPr>
      <w:r w:rsidRPr="009E757B">
        <w:rPr>
          <w:rFonts w:ascii="Times New Roman" w:hAnsi="Times New Roman"/>
          <w:sz w:val="20"/>
          <w:szCs w:val="20"/>
        </w:rPr>
        <w:t>6. Vytvořit ucelený hodnotící rámec vzdělávání na základních školách a podniknout cílené kroky na podporu škol, jež vykazují slabší výsledky. Přijmout opatření ke zlepšení systému akreditace a financování vysokých škol. Zvýšit podíl finančních prostředků přidělovaných výzkumným institucím podle jejich výkonu.</w:t>
      </w:r>
    </w:p>
    <w:p w:rsidR="0005034F" w:rsidRPr="009E757B" w:rsidRDefault="0005034F" w:rsidP="009E757B">
      <w:pPr>
        <w:pStyle w:val="DAVA"/>
        <w:spacing w:before="0"/>
        <w:rPr>
          <w:rFonts w:ascii="Times New Roman" w:hAnsi="Times New Roman"/>
          <w:sz w:val="20"/>
          <w:szCs w:val="20"/>
        </w:rPr>
      </w:pPr>
      <w:r w:rsidRPr="009E757B">
        <w:rPr>
          <w:rFonts w:ascii="Times New Roman" w:hAnsi="Times New Roman"/>
          <w:sz w:val="20"/>
          <w:szCs w:val="20"/>
        </w:rPr>
        <w:t>7. S využitím probíhajícího přezkumu pokračovat v reformě regulovaných povolání snížením nebo zrušením vstupních bariér a vyhrazených činností, budou-li shledány neodůvodněnými. Přijmout další opatření ke zlepšení energetické náročnosti budov a průmyslových odvětví.</w:t>
      </w:r>
    </w:p>
    <w:p w:rsidR="0005034F" w:rsidRPr="009E757B" w:rsidRDefault="0005034F" w:rsidP="009E757B">
      <w:pPr>
        <w:pStyle w:val="Textpoznpodarou"/>
        <w:spacing w:after="0" w:line="240" w:lineRule="auto"/>
        <w:jc w:val="both"/>
        <w:rPr>
          <w:rFonts w:ascii="Times New Roman" w:hAnsi="Times New Roman"/>
          <w:sz w:val="20"/>
          <w:lang w:val="cs-CZ"/>
        </w:rPr>
      </w:pPr>
    </w:p>
  </w:footnote>
  <w:footnote w:id="78">
    <w:p w:rsidR="0005034F" w:rsidRPr="009E757B" w:rsidRDefault="0005034F" w:rsidP="009E757B">
      <w:pPr>
        <w:pStyle w:val="Textpoznpodarou"/>
        <w:spacing w:after="0" w:line="240" w:lineRule="auto"/>
        <w:jc w:val="both"/>
        <w:rPr>
          <w:rFonts w:ascii="Times New Roman" w:hAnsi="Times New Roman"/>
          <w:sz w:val="20"/>
        </w:rPr>
      </w:pPr>
      <w:r w:rsidRPr="009E757B">
        <w:rPr>
          <w:rStyle w:val="Znakapoznpodarou"/>
          <w:rFonts w:ascii="Times New Roman" w:hAnsi="Times New Roman"/>
          <w:sz w:val="20"/>
        </w:rPr>
        <w:footnoteRef/>
      </w:r>
      <w:r w:rsidRPr="009E757B">
        <w:rPr>
          <w:rFonts w:ascii="Times New Roman" w:hAnsi="Times New Roman"/>
          <w:sz w:val="20"/>
        </w:rPr>
        <w:t xml:space="preserve"> In accordance with Article18 of the CPR.</w:t>
      </w:r>
    </w:p>
  </w:footnote>
  <w:footnote w:id="79">
    <w:p w:rsidR="0005034F" w:rsidRPr="009E757B" w:rsidRDefault="0005034F" w:rsidP="009E757B">
      <w:pPr>
        <w:pStyle w:val="Textpoznpodarou"/>
        <w:spacing w:after="0" w:line="240" w:lineRule="auto"/>
        <w:jc w:val="both"/>
        <w:rPr>
          <w:rFonts w:ascii="Times New Roman" w:hAnsi="Times New Roman"/>
          <w:sz w:val="20"/>
        </w:rPr>
      </w:pPr>
      <w:r w:rsidRPr="009E757B">
        <w:rPr>
          <w:rStyle w:val="Znakapoznpodarou"/>
          <w:rFonts w:ascii="Times New Roman" w:hAnsi="Times New Roman"/>
          <w:sz w:val="20"/>
        </w:rPr>
        <w:footnoteRef/>
      </w:r>
      <w:r w:rsidRPr="009E757B">
        <w:rPr>
          <w:rFonts w:ascii="Times New Roman" w:hAnsi="Times New Roman"/>
          <w:sz w:val="20"/>
        </w:rPr>
        <w:t xml:space="preserve"> Including the performance reserve, after transfers between categories of regions and goals, where applicable.</w:t>
      </w:r>
    </w:p>
  </w:footnote>
  <w:footnote w:id="80">
    <w:p w:rsidR="0005034F" w:rsidRPr="009E757B" w:rsidRDefault="0005034F" w:rsidP="009E757B">
      <w:pPr>
        <w:pStyle w:val="Textpoznpodarou"/>
        <w:spacing w:after="0" w:line="240" w:lineRule="auto"/>
        <w:jc w:val="both"/>
        <w:rPr>
          <w:rFonts w:ascii="Times New Roman" w:hAnsi="Times New Roman"/>
          <w:sz w:val="20"/>
        </w:rPr>
      </w:pPr>
      <w:r w:rsidRPr="009E757B">
        <w:rPr>
          <w:rStyle w:val="Znakapoznpodarou"/>
          <w:rFonts w:ascii="Times New Roman" w:hAnsi="Times New Roman"/>
          <w:sz w:val="20"/>
        </w:rPr>
        <w:footnoteRef/>
      </w:r>
      <w:r w:rsidRPr="009E757B">
        <w:rPr>
          <w:rFonts w:ascii="Times New Roman" w:hAnsi="Times New Roman"/>
          <w:sz w:val="20"/>
        </w:rPr>
        <w:t xml:space="preserve"> Resources transferred from Pillar 1 of the Common Agricultural Policy to the EAFRD under Articles 7(2) and 14(1) of the Direct Payment Regulation (2013/….) and</w:t>
      </w:r>
    </w:p>
    <w:p w:rsidR="0005034F" w:rsidRPr="009E757B" w:rsidRDefault="0005034F" w:rsidP="009E757B">
      <w:pPr>
        <w:pStyle w:val="Textpoznpodarou"/>
        <w:spacing w:after="0" w:line="240" w:lineRule="auto"/>
        <w:jc w:val="both"/>
        <w:rPr>
          <w:rFonts w:ascii="Times New Roman" w:hAnsi="Times New Roman"/>
          <w:sz w:val="20"/>
        </w:rPr>
      </w:pPr>
      <w:r w:rsidRPr="009E757B">
        <w:rPr>
          <w:rFonts w:ascii="Times New Roman" w:hAnsi="Times New Roman"/>
          <w:sz w:val="20"/>
        </w:rPr>
        <w:t>Transfers to the EAFRD in application of Articles 10b, 136 and Art 136b of Council Regulation (EC) No 73/2009 in respect of calendar years 2013 and 2014 respectively.</w:t>
      </w:r>
    </w:p>
  </w:footnote>
  <w:footnote w:id="81">
    <w:p w:rsidR="0005034F" w:rsidRPr="009E757B" w:rsidRDefault="0005034F" w:rsidP="009E757B">
      <w:pPr>
        <w:pStyle w:val="Textpoznpodarou"/>
        <w:spacing w:after="0" w:line="240" w:lineRule="auto"/>
        <w:jc w:val="both"/>
        <w:rPr>
          <w:rFonts w:ascii="Times New Roman" w:hAnsi="Times New Roman"/>
          <w:sz w:val="20"/>
        </w:rPr>
      </w:pPr>
      <w:r w:rsidRPr="009E757B">
        <w:rPr>
          <w:rStyle w:val="Znakapoznpodarou"/>
          <w:rFonts w:ascii="Times New Roman" w:hAnsi="Times New Roman"/>
          <w:sz w:val="20"/>
        </w:rPr>
        <w:footnoteRef/>
      </w:r>
      <w:r w:rsidRPr="009E757B">
        <w:rPr>
          <w:rFonts w:ascii="Times New Roman" w:hAnsi="Times New Roman"/>
          <w:sz w:val="20"/>
        </w:rPr>
        <w:t xml:space="preserve"> Total Union support after transfers less the amounts excluded for the purposes of calculation the performance reserve. </w:t>
      </w:r>
    </w:p>
  </w:footnote>
  <w:footnote w:id="82">
    <w:p w:rsidR="0005034F" w:rsidRPr="009E757B" w:rsidRDefault="0005034F" w:rsidP="009E757B">
      <w:pPr>
        <w:pStyle w:val="Textpoznpodarou"/>
        <w:spacing w:after="0" w:line="240" w:lineRule="auto"/>
        <w:jc w:val="both"/>
        <w:rPr>
          <w:rFonts w:ascii="Times New Roman" w:hAnsi="Times New Roman"/>
          <w:sz w:val="20"/>
        </w:rPr>
      </w:pPr>
      <w:r w:rsidRPr="009E757B">
        <w:rPr>
          <w:rStyle w:val="Znakapoznpodarou"/>
          <w:rFonts w:ascii="Times New Roman" w:hAnsi="Times New Roman"/>
          <w:sz w:val="20"/>
        </w:rPr>
        <w:footnoteRef/>
      </w:r>
      <w:r w:rsidRPr="009E757B">
        <w:rPr>
          <w:rFonts w:ascii="Times New Roman" w:hAnsi="Times New Roman"/>
          <w:sz w:val="20"/>
        </w:rPr>
        <w:t xml:space="preserve">  The total for each ESI Fund, and for  each category of region, should form 6% of the amounts set out in column 6. </w:t>
      </w:r>
    </w:p>
  </w:footnote>
  <w:footnote w:id="83">
    <w:p w:rsidR="0005034F" w:rsidRPr="009E757B" w:rsidRDefault="0005034F" w:rsidP="009E757B">
      <w:pPr>
        <w:pStyle w:val="Textpoznpodarou"/>
        <w:spacing w:after="0" w:line="240" w:lineRule="auto"/>
        <w:jc w:val="both"/>
        <w:rPr>
          <w:rFonts w:ascii="Times New Roman" w:hAnsi="Times New Roman"/>
          <w:sz w:val="20"/>
        </w:rPr>
      </w:pPr>
      <w:r w:rsidRPr="009E757B">
        <w:rPr>
          <w:rStyle w:val="Znakapoznpodarou"/>
          <w:rFonts w:ascii="Times New Roman" w:hAnsi="Times New Roman"/>
          <w:sz w:val="20"/>
        </w:rPr>
        <w:footnoteRef/>
      </w:r>
      <w:r w:rsidRPr="009E757B">
        <w:rPr>
          <w:rFonts w:ascii="Times New Roman" w:hAnsi="Times New Roman"/>
          <w:sz w:val="20"/>
        </w:rPr>
        <w:t xml:space="preserve"> ESF allocation, including the matching support for the YEI.</w:t>
      </w:r>
    </w:p>
  </w:footnote>
  <w:footnote w:id="84">
    <w:p w:rsidR="0005034F" w:rsidRPr="009E757B" w:rsidRDefault="0005034F" w:rsidP="009E757B">
      <w:pPr>
        <w:pStyle w:val="Textpoznpodarou"/>
        <w:spacing w:after="0" w:line="240" w:lineRule="auto"/>
        <w:jc w:val="both"/>
        <w:rPr>
          <w:rFonts w:ascii="Times New Roman" w:hAnsi="Times New Roman"/>
          <w:sz w:val="20"/>
        </w:rPr>
      </w:pPr>
      <w:r w:rsidRPr="009E757B">
        <w:rPr>
          <w:rStyle w:val="Znakapoznpodarou"/>
          <w:rFonts w:ascii="Times New Roman" w:hAnsi="Times New Roman"/>
          <w:sz w:val="20"/>
        </w:rPr>
        <w:footnoteRef/>
      </w:r>
      <w:r w:rsidRPr="009E757B">
        <w:rPr>
          <w:rFonts w:ascii="Times New Roman" w:hAnsi="Times New Roman"/>
          <w:sz w:val="20"/>
        </w:rPr>
        <w:t xml:space="preserve"> </w:t>
      </w:r>
      <w:r w:rsidRPr="009E757B">
        <w:rPr>
          <w:rFonts w:ascii="Times New Roman" w:hAnsi="Times New Roman"/>
          <w:sz w:val="20"/>
          <w:lang w:val="et-EE"/>
        </w:rPr>
        <w:t xml:space="preserve">There is no breakdown by category of region for the financial allocation from the EAFRD, Cohesion Fund and the EMFF.  </w:t>
      </w:r>
    </w:p>
  </w:footnote>
  <w:footnote w:id="85">
    <w:p w:rsidR="0005034F" w:rsidRPr="009E757B" w:rsidRDefault="0005034F" w:rsidP="009E757B">
      <w:pPr>
        <w:pStyle w:val="Textpoznpodarou"/>
        <w:spacing w:after="0" w:line="240" w:lineRule="auto"/>
        <w:jc w:val="both"/>
        <w:rPr>
          <w:rFonts w:ascii="Times New Roman" w:hAnsi="Times New Roman"/>
          <w:sz w:val="20"/>
        </w:rPr>
      </w:pPr>
      <w:r w:rsidRPr="009E757B">
        <w:rPr>
          <w:rStyle w:val="Znakapoznpodarou"/>
          <w:rFonts w:ascii="Times New Roman" w:hAnsi="Times New Roman"/>
          <w:sz w:val="20"/>
        </w:rPr>
        <w:footnoteRef/>
      </w:r>
      <w:r w:rsidRPr="009E757B">
        <w:rPr>
          <w:rFonts w:ascii="Times New Roman" w:hAnsi="Times New Roman"/>
          <w:sz w:val="20"/>
        </w:rPr>
        <w:t>Guidance fiche – Performance framework review and reserve in 2014–2020 (version 3 – 19 July 2013)</w:t>
      </w:r>
    </w:p>
    <w:p w:rsidR="0005034F" w:rsidRPr="009E757B" w:rsidRDefault="0005034F" w:rsidP="009E757B">
      <w:pPr>
        <w:pStyle w:val="Textpoznpodarou"/>
        <w:spacing w:after="0" w:line="240" w:lineRule="auto"/>
        <w:jc w:val="both"/>
        <w:rPr>
          <w:rFonts w:ascii="Times New Roman" w:hAnsi="Times New Roman"/>
          <w:sz w:val="20"/>
        </w:rPr>
      </w:pPr>
      <w:r w:rsidRPr="009E757B">
        <w:rPr>
          <w:rFonts w:ascii="Times New Roman" w:hAnsi="Times New Roman"/>
          <w:sz w:val="20"/>
        </w:rPr>
        <w:t>Fiche 24A – Implementing act on the arrangements to ensure a consistent for determining milestones and targets in the performance framework for each priority and for assessing the attainment of the milestones and targets (version 1 – 22 October 2013)</w:t>
      </w:r>
    </w:p>
    <w:p w:rsidR="0005034F" w:rsidRPr="009E757B" w:rsidRDefault="0005034F" w:rsidP="009E757B">
      <w:pPr>
        <w:pStyle w:val="Textpoznpodarou"/>
        <w:spacing w:after="0" w:line="240" w:lineRule="auto"/>
        <w:jc w:val="both"/>
        <w:rPr>
          <w:rFonts w:ascii="Times New Roman" w:hAnsi="Times New Roman"/>
          <w:sz w:val="20"/>
        </w:rPr>
      </w:pPr>
      <w:r w:rsidRPr="009E757B">
        <w:rPr>
          <w:rFonts w:ascii="Times New Roman" w:hAnsi="Times New Roman"/>
          <w:sz w:val="20"/>
        </w:rPr>
        <w:t>Fiche 24B – Delegated act on the criteria for financial corrections linked to the performance framework (version 1 – 22 October 2013)</w:t>
      </w:r>
    </w:p>
  </w:footnote>
  <w:footnote w:id="86">
    <w:p w:rsidR="0005034F" w:rsidRDefault="0005034F">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sidRPr="009E757B">
        <w:rPr>
          <w:rFonts w:ascii="Times New Roman" w:hAnsi="Times New Roman"/>
          <w:sz w:val="20"/>
        </w:rPr>
        <w:t xml:space="preserve"> SRR byla </w:t>
      </w:r>
      <w:r w:rsidRPr="009E757B">
        <w:rPr>
          <w:rFonts w:ascii="Times New Roman" w:hAnsi="Times New Roman"/>
          <w:sz w:val="20"/>
          <w:lang w:val="cs-CZ"/>
        </w:rPr>
        <w:t>schválena vládou usnesením č. 344 z 15. května 2013. Tato Strategie (dále SRR) je základním koncepčním dokumentem v oblasti regionálního rozvoje. Dle zákona č. 248/2000 Sb., o podpoře regionálního rozvoje formuluje přístup státu k podpoře regionálního rozvoje, poskytuje potřebná východiska a stanovuje rozvojové cíle a zásady pro vypracování regionálních programů rozvoje a dalších opatření regionální politiky.</w:t>
      </w:r>
    </w:p>
  </w:footnote>
  <w:footnote w:id="87">
    <w:p w:rsidR="0005034F" w:rsidRDefault="0005034F">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rPr>
        <w:footnoteRef/>
      </w:r>
      <w:r w:rsidRPr="009E757B">
        <w:rPr>
          <w:rFonts w:ascii="Times New Roman" w:hAnsi="Times New Roman"/>
          <w:sz w:val="20"/>
        </w:rPr>
        <w:t xml:space="preserve"> </w:t>
      </w:r>
      <w:r w:rsidRPr="009E757B">
        <w:rPr>
          <w:rFonts w:ascii="Times New Roman" w:hAnsi="Times New Roman"/>
          <w:sz w:val="20"/>
          <w:lang w:val="cs-CZ"/>
        </w:rPr>
        <w:t xml:space="preserve">ISÚ je celkovou střednědobou strategií, která vychází ze záměrů dlouhodobého udržitelného rozvoje území a je součástí Komunitně vedeného místního rozvoje. Jde o ucelený rozvojový dokument, vztahující se na území působnosti MAS. Propojuje subjekty, záměry a zdroje. Má širší záběr než Integrovaný akční plán rozvoje území obsahující Programové rámce. </w:t>
      </w:r>
    </w:p>
  </w:footnote>
  <w:footnote w:id="88">
    <w:p w:rsidR="0005034F" w:rsidRDefault="0005034F">
      <w:pPr>
        <w:pStyle w:val="Textpoznpodarou"/>
        <w:spacing w:after="0" w:line="240" w:lineRule="auto"/>
        <w:jc w:val="both"/>
        <w:rPr>
          <w:rFonts w:ascii="Times New Roman" w:hAnsi="Times New Roman"/>
          <w:sz w:val="20"/>
        </w:rPr>
      </w:pPr>
      <w:r w:rsidRPr="009E757B">
        <w:rPr>
          <w:rStyle w:val="Znakapoznpodarou"/>
          <w:rFonts w:ascii="Times New Roman" w:hAnsi="Times New Roman"/>
          <w:sz w:val="20"/>
        </w:rPr>
        <w:footnoteRef/>
      </w:r>
      <w:r w:rsidRPr="009E757B">
        <w:rPr>
          <w:rFonts w:ascii="Times New Roman" w:hAnsi="Times New Roman"/>
          <w:sz w:val="20"/>
        </w:rPr>
        <w:t xml:space="preserve"> </w:t>
      </w:r>
      <w:r w:rsidRPr="009E757B">
        <w:rPr>
          <w:rFonts w:ascii="Times New Roman" w:hAnsi="Times New Roman"/>
          <w:sz w:val="20"/>
          <w:lang w:val="cs-CZ"/>
        </w:rPr>
        <w:t xml:space="preserve">IAPRÚ je implementačním nástrojem Integrované strategie rozvoje území (ISÚ), který integruje priority a požadavky komunity z předmětného území vůči dotačním programům a je tvořen jednotlivými Programovými rámci (které jsou obdobou dnešního Strategického plánu Leader v rámci Programu rozvoje venkova). IAPRÚ rozpracovává strategii rozvoje na kratší období, obsahuje odsouhlasené projekty, které naplňují cíle ISÚ a určuje zdroje na jejich realizaci (finanční, lidské, technické a další). </w:t>
      </w:r>
      <w:r w:rsidRPr="009E757B">
        <w:rPr>
          <w:rFonts w:ascii="Times New Roman" w:hAnsi="Times New Roman"/>
          <w:sz w:val="20"/>
        </w:rPr>
        <w:t>IAPRÚ je aktualizován nejméně jednou ročně na základě vyhodnocení průběhu a výsledků akcí a změn vnitřních či vnějších faktorů.</w:t>
      </w:r>
    </w:p>
    <w:p w:rsidR="0005034F" w:rsidRPr="009E757B" w:rsidRDefault="0005034F" w:rsidP="009E757B">
      <w:pPr>
        <w:pStyle w:val="Textpoznpodarou"/>
        <w:spacing w:after="0" w:line="240" w:lineRule="auto"/>
        <w:jc w:val="both"/>
        <w:rPr>
          <w:rFonts w:ascii="Times New Roman" w:hAnsi="Times New Roman"/>
          <w:sz w:val="20"/>
          <w:lang w:val="cs-CZ"/>
        </w:rPr>
      </w:pPr>
    </w:p>
  </w:footnote>
  <w:footnote w:id="89">
    <w:p w:rsidR="0005034F" w:rsidRPr="00A91333" w:rsidRDefault="0005034F" w:rsidP="009E757B">
      <w:pPr>
        <w:pStyle w:val="Textpoznpodarou"/>
        <w:spacing w:after="0" w:line="240" w:lineRule="auto"/>
        <w:jc w:val="both"/>
        <w:rPr>
          <w:rFonts w:ascii="Times New Roman" w:hAnsi="Times New Roman"/>
          <w:sz w:val="20"/>
          <w:lang w:val="cs-CZ"/>
        </w:rPr>
      </w:pPr>
      <w:r w:rsidRPr="00A91333">
        <w:rPr>
          <w:rStyle w:val="Znakapoznpodarou"/>
          <w:rFonts w:ascii="Times New Roman" w:hAnsi="Times New Roman"/>
          <w:sz w:val="20"/>
          <w:lang w:val="cs-CZ"/>
        </w:rPr>
        <w:footnoteRef/>
      </w:r>
      <w:r w:rsidRPr="00A91333">
        <w:rPr>
          <w:rFonts w:ascii="Times New Roman" w:hAnsi="Times New Roman"/>
          <w:sz w:val="20"/>
          <w:lang w:val="cs-CZ"/>
        </w:rPr>
        <w:t xml:space="preserve"> České Budějovice – sídlo samosprávného Jihočeského kraje, Jihlava – sídlo samosprávného kraje Vysočina, Karlovy Vary – sídlo samosprávného Karlovarského kraje, Liberec – sídlo samosprávného Libereckého kraje, Olomouc – sídlo samosprávného Olomouckého kraje, a Zlín – sídlo samosprávného Zlínského kraje) a statutární město Mladá Boleslav.</w:t>
      </w:r>
    </w:p>
  </w:footnote>
  <w:footnote w:id="90">
    <w:p w:rsidR="0005034F" w:rsidRPr="009E757B" w:rsidRDefault="0005034F"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lang w:val="cs-CZ"/>
        </w:rPr>
        <w:footnoteRef/>
      </w:r>
      <w:r w:rsidRPr="009E757B">
        <w:rPr>
          <w:rFonts w:ascii="Times New Roman" w:hAnsi="Times New Roman"/>
          <w:sz w:val="20"/>
          <w:lang w:val="cs-CZ"/>
        </w:rPr>
        <w:t xml:space="preserve"> COM (2010) 715: Sdělení Komise evropskému parlamentu, Radě, Evropskému hospodářskému a sociálnímu výboru a Výboru regionů – Strategie Evropské unie pro Podunají.</w:t>
      </w:r>
    </w:p>
  </w:footnote>
  <w:footnote w:id="91">
    <w:p w:rsidR="0005034F" w:rsidRPr="009E757B" w:rsidRDefault="0005034F"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lang w:val="cs-CZ"/>
        </w:rPr>
        <w:footnoteRef/>
      </w:r>
      <w:r w:rsidRPr="009E757B">
        <w:rPr>
          <w:rFonts w:ascii="Times New Roman" w:hAnsi="Times New Roman"/>
          <w:sz w:val="20"/>
          <w:lang w:val="cs-CZ"/>
        </w:rPr>
        <w:t>Vymezení dle schválené Strategie regionálního rozvoje ČR 2014–2020.</w:t>
      </w:r>
    </w:p>
  </w:footnote>
  <w:footnote w:id="92">
    <w:p w:rsidR="0005034F" w:rsidRPr="009E757B" w:rsidRDefault="0005034F"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lang w:val="cs-CZ"/>
        </w:rPr>
        <w:footnoteRef/>
      </w:r>
      <w:r w:rsidRPr="009E757B">
        <w:rPr>
          <w:rFonts w:ascii="Times New Roman" w:hAnsi="Times New Roman"/>
          <w:sz w:val="20"/>
          <w:lang w:val="cs-CZ"/>
        </w:rPr>
        <w:t xml:space="preserve"> Královéhradecký kraj – Zdroj: Průzkum potřeb v sociálně vyloučených lokalitách Královéhradeckého kraje, Etnologický ústav AV ČR, v.v.i., (2010), Liberecký kraj – Zdroj: Analýza sociálně vyloučených lokalit a dostupnosti sociálních služeb prevence v těchto lokalitách v Libereckém kraji, Socio Faktor s.r.o. (2013), Plzeňský kraj – Zdroj: Monitoring aktuální situace v soc. vyloučených lokalitách Plzeňského kraje, Člověk v tísni (2013), Moravskoslezský kraj – Zdroj: Průběžná zpráva – analýza sociálně vyloučených lokalitám, AUGUR Consulting s.r.o (2013), Ústecký kraj – Zdroj: Analýza financí a zdrojů kapacit služeb sociální prevence v Ústeckém kraji, Barbora Šolková, Petra Lelovičová (2012), Karlovarský kraj – Zdroj: Analýza sociálně vyloučených lokalit v Karlovarském kraji, Mgr. Tereza Dvořáková a kol., TD kontext (2013), Jihočeský kraj – Zdroj: Analýza sociálně vyloučených romských lokalit a komunit a absorpční kapacity subjektů působících v této oblasti, Ivan Gabal, GaC (2006), aktualizován na základě: Mapování aktuálního stavu sociálně vyloučených lokalit v Jihočeském kraji v roce 2010, Michaela Nováková, Krajský úřad Jihočeského kraje (2010), Středočeský kraj – Zdroj: Gabal (2006) aktualizován na základě: Mapování skupin obyvatel akutně ohrožených sociálním vyloučením ve vybraných čtyřech krajích v souvislosti s nedostupností bydlení, Martin Lux a kol. (2010), Olomoucký kraj – Zdroj: Gabal (2006) aktualizován na základě: Popis vyloučených lokalit zapojených do projektu: Podkladová analýza pro projekt Zajištění integrace příslušníků romských komunit v Olomouckém kraji II., Olomoucký kraj (2013), Zlínský kraj – Zdroj: Zpráva o stavu romské menšiny v kraji za rok 2012, (2013), Vysočina – Zdroj: Strategie integrace sociálně vyloučených lokalit v Kraji Vysočina na období 2012–2017, Kraj Vysočina (2011), Hlavní město Praha – Zdroj: Gabal (2006), Jihomoravský kraj – Zdroj: Gabal (2006), Pardubický kraj – Zdroj: Gabal (2006).</w:t>
      </w:r>
    </w:p>
  </w:footnote>
  <w:footnote w:id="93">
    <w:p w:rsidR="0005034F" w:rsidRPr="009E757B" w:rsidRDefault="0005034F"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lang w:val="cs-CZ"/>
        </w:rPr>
        <w:footnoteRef/>
      </w:r>
      <w:r w:rsidRPr="009E757B">
        <w:rPr>
          <w:rFonts w:ascii="Times New Roman" w:hAnsi="Times New Roman"/>
          <w:sz w:val="20"/>
          <w:lang w:val="cs-CZ"/>
        </w:rPr>
        <w:t>Vycházející ze schválené Strategie regionálního rozvoje ČR 2014 - 2020</w:t>
      </w:r>
    </w:p>
  </w:footnote>
  <w:footnote w:id="94">
    <w:p w:rsidR="0005034F" w:rsidRPr="009E757B" w:rsidRDefault="0005034F" w:rsidP="009E757B">
      <w:pPr>
        <w:pStyle w:val="Textpoznpodarou"/>
        <w:spacing w:after="0" w:line="240" w:lineRule="auto"/>
        <w:jc w:val="both"/>
        <w:rPr>
          <w:rFonts w:ascii="Times New Roman" w:hAnsi="Times New Roman"/>
          <w:sz w:val="20"/>
          <w:lang w:val="cs-CZ"/>
        </w:rPr>
      </w:pPr>
      <w:r w:rsidRPr="009E757B">
        <w:rPr>
          <w:rStyle w:val="Znakapoznpodarou"/>
          <w:rFonts w:ascii="Times New Roman" w:hAnsi="Times New Roman"/>
          <w:sz w:val="20"/>
          <w:lang w:val="cs-CZ"/>
        </w:rPr>
        <w:footnoteRef/>
      </w:r>
      <w:r w:rsidRPr="009E757B">
        <w:rPr>
          <w:rFonts w:ascii="Times New Roman" w:hAnsi="Times New Roman"/>
          <w:sz w:val="20"/>
          <w:lang w:val="cs-CZ"/>
        </w:rPr>
        <w:t>Vymezení dle schválené Strategie regionálního rozvoje ČR 2014 –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34F" w:rsidRDefault="0005034F" w:rsidP="000C4F8A">
    <w:pPr>
      <w:pStyle w:val="Zhlav"/>
      <w:jc w:val="right"/>
    </w:pPr>
    <w:r>
      <w:t>III.</w:t>
    </w:r>
  </w:p>
  <w:p w:rsidR="0005034F" w:rsidRDefault="0005034F">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B3C45"/>
    <w:multiLevelType w:val="hybridMultilevel"/>
    <w:tmpl w:val="A6605B10"/>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Times New Roman"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Times New Roman"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Times New Roman" w:hint="default"/>
      </w:rPr>
    </w:lvl>
    <w:lvl w:ilvl="8" w:tplc="04090005">
      <w:start w:val="1"/>
      <w:numFmt w:val="bullet"/>
      <w:lvlText w:val=""/>
      <w:lvlJc w:val="left"/>
      <w:pPr>
        <w:ind w:left="6262" w:hanging="360"/>
      </w:pPr>
      <w:rPr>
        <w:rFonts w:ascii="Wingdings" w:hAnsi="Wingdings" w:hint="default"/>
      </w:rPr>
    </w:lvl>
  </w:abstractNum>
  <w:abstractNum w:abstractNumId="1">
    <w:nsid w:val="01F713E0"/>
    <w:multiLevelType w:val="hybridMultilevel"/>
    <w:tmpl w:val="438A76F2"/>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02DC5701"/>
    <w:multiLevelType w:val="hybridMultilevel"/>
    <w:tmpl w:val="78001DF0"/>
    <w:lvl w:ilvl="0" w:tplc="717E7AEE">
      <w:start w:val="3"/>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Times New Roman"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Times New Roman" w:hint="default"/>
      </w:rPr>
    </w:lvl>
    <w:lvl w:ilvl="8" w:tplc="04050005">
      <w:start w:val="1"/>
      <w:numFmt w:val="bullet"/>
      <w:lvlText w:val=""/>
      <w:lvlJc w:val="left"/>
      <w:pPr>
        <w:ind w:left="6480" w:hanging="360"/>
      </w:pPr>
      <w:rPr>
        <w:rFonts w:ascii="Wingdings" w:hAnsi="Wingdings" w:hint="default"/>
      </w:rPr>
    </w:lvl>
  </w:abstractNum>
  <w:abstractNum w:abstractNumId="3">
    <w:nsid w:val="039468B0"/>
    <w:multiLevelType w:val="hybridMultilevel"/>
    <w:tmpl w:val="D1B8232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5D57231"/>
    <w:multiLevelType w:val="hybridMultilevel"/>
    <w:tmpl w:val="4218026A"/>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Times New Roman"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Times New Roman"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Times New Roman" w:hint="default"/>
      </w:rPr>
    </w:lvl>
    <w:lvl w:ilvl="8" w:tplc="04090005">
      <w:start w:val="1"/>
      <w:numFmt w:val="bullet"/>
      <w:lvlText w:val=""/>
      <w:lvlJc w:val="left"/>
      <w:pPr>
        <w:ind w:left="6262" w:hanging="360"/>
      </w:pPr>
      <w:rPr>
        <w:rFonts w:ascii="Wingdings" w:hAnsi="Wingdings" w:hint="default"/>
      </w:rPr>
    </w:lvl>
  </w:abstractNum>
  <w:abstractNum w:abstractNumId="5">
    <w:nsid w:val="05E13006"/>
    <w:multiLevelType w:val="hybridMultilevel"/>
    <w:tmpl w:val="33AC945A"/>
    <w:lvl w:ilvl="0" w:tplc="0809000F">
      <w:start w:val="1"/>
      <w:numFmt w:val="decimal"/>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6">
    <w:nsid w:val="05FF3BDC"/>
    <w:multiLevelType w:val="hybridMultilevel"/>
    <w:tmpl w:val="730882EC"/>
    <w:lvl w:ilvl="0" w:tplc="C0E0DD2E">
      <w:start w:val="1"/>
      <w:numFmt w:val="lowerRoman"/>
      <w:lvlText w:val="(%1)"/>
      <w:lvlJc w:val="left"/>
      <w:pPr>
        <w:ind w:left="7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0B74054B"/>
    <w:multiLevelType w:val="hybridMultilevel"/>
    <w:tmpl w:val="82A8D6A6"/>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Times New Roman"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Times New Roman"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Times New Roman" w:hint="default"/>
      </w:rPr>
    </w:lvl>
    <w:lvl w:ilvl="8" w:tplc="04090005">
      <w:start w:val="1"/>
      <w:numFmt w:val="bullet"/>
      <w:lvlText w:val=""/>
      <w:lvlJc w:val="left"/>
      <w:pPr>
        <w:ind w:left="6262" w:hanging="360"/>
      </w:pPr>
      <w:rPr>
        <w:rFonts w:ascii="Wingdings" w:hAnsi="Wingdings" w:hint="default"/>
      </w:rPr>
    </w:lvl>
  </w:abstractNum>
  <w:abstractNum w:abstractNumId="8">
    <w:nsid w:val="0DC20440"/>
    <w:multiLevelType w:val="hybridMultilevel"/>
    <w:tmpl w:val="51B021BA"/>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08B4E46"/>
    <w:multiLevelType w:val="multilevel"/>
    <w:tmpl w:val="BDC0234C"/>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0">
    <w:nsid w:val="10F821CD"/>
    <w:multiLevelType w:val="hybridMultilevel"/>
    <w:tmpl w:val="3EBE4A38"/>
    <w:lvl w:ilvl="0" w:tplc="ADAE6AA6">
      <w:start w:val="1"/>
      <w:numFmt w:val="bullet"/>
      <w:lvlText w:val=""/>
      <w:lvlJc w:val="left"/>
      <w:pPr>
        <w:ind w:left="720" w:hanging="360"/>
      </w:pPr>
      <w:rPr>
        <w:rFonts w:ascii="Symbol" w:hAnsi="Symbol" w:hint="default"/>
        <w:sz w:val="18"/>
        <w:szCs w:val="1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170161C"/>
    <w:multiLevelType w:val="multilevel"/>
    <w:tmpl w:val="E79A7B84"/>
    <w:lvl w:ilvl="0">
      <w:start w:val="1"/>
      <w:numFmt w:val="decimal"/>
      <w:lvlText w:val="%1."/>
      <w:lvlJc w:val="left"/>
      <w:pPr>
        <w:ind w:left="630" w:hanging="630"/>
      </w:pPr>
    </w:lvl>
    <w:lvl w:ilvl="1">
      <w:start w:val="5"/>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2">
    <w:nsid w:val="12074CB0"/>
    <w:multiLevelType w:val="hybridMultilevel"/>
    <w:tmpl w:val="12523762"/>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3">
    <w:nsid w:val="13A270A2"/>
    <w:multiLevelType w:val="hybridMultilevel"/>
    <w:tmpl w:val="8FB202D4"/>
    <w:lvl w:ilvl="0" w:tplc="B45E303A">
      <w:start w:val="1"/>
      <w:numFmt w:val="bullet"/>
      <w:lvlText w:val=""/>
      <w:lvlJc w:val="left"/>
      <w:pPr>
        <w:ind w:left="720" w:hanging="360"/>
      </w:pPr>
      <w:rPr>
        <w:rFonts w:ascii="Symbol" w:hAnsi="Symbol" w:hint="default"/>
        <w:color w:val="auto"/>
        <w:sz w:val="22"/>
        <w:szCs w:val="1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14C20665"/>
    <w:multiLevelType w:val="hybridMultilevel"/>
    <w:tmpl w:val="1D84A5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15854460"/>
    <w:multiLevelType w:val="hybridMultilevel"/>
    <w:tmpl w:val="C87CCD12"/>
    <w:lvl w:ilvl="0" w:tplc="0405000B">
      <w:start w:val="1"/>
      <w:numFmt w:val="bullet"/>
      <w:lvlText w:val=""/>
      <w:lvlJc w:val="left"/>
      <w:pPr>
        <w:ind w:left="502" w:hanging="360"/>
      </w:pPr>
      <w:rPr>
        <w:rFonts w:ascii="Wingdings" w:hAnsi="Wingdings" w:hint="default"/>
      </w:rPr>
    </w:lvl>
    <w:lvl w:ilvl="1" w:tplc="04050003">
      <w:start w:val="1"/>
      <w:numFmt w:val="bullet"/>
      <w:lvlText w:val="o"/>
      <w:lvlJc w:val="left"/>
      <w:pPr>
        <w:ind w:left="1582" w:hanging="360"/>
      </w:pPr>
      <w:rPr>
        <w:rFonts w:ascii="Courier New" w:hAnsi="Courier New" w:cs="Courier New" w:hint="default"/>
      </w:rPr>
    </w:lvl>
    <w:lvl w:ilvl="2" w:tplc="04050005">
      <w:start w:val="1"/>
      <w:numFmt w:val="bullet"/>
      <w:lvlText w:val=""/>
      <w:lvlJc w:val="left"/>
      <w:pPr>
        <w:ind w:left="2302" w:hanging="360"/>
      </w:pPr>
      <w:rPr>
        <w:rFonts w:ascii="Wingdings" w:hAnsi="Wingdings" w:hint="default"/>
      </w:rPr>
    </w:lvl>
    <w:lvl w:ilvl="3" w:tplc="04050001">
      <w:start w:val="1"/>
      <w:numFmt w:val="bullet"/>
      <w:lvlText w:val=""/>
      <w:lvlJc w:val="left"/>
      <w:pPr>
        <w:ind w:left="3022" w:hanging="360"/>
      </w:pPr>
      <w:rPr>
        <w:rFonts w:ascii="Symbol" w:hAnsi="Symbol" w:hint="default"/>
      </w:rPr>
    </w:lvl>
    <w:lvl w:ilvl="4" w:tplc="04050003">
      <w:start w:val="1"/>
      <w:numFmt w:val="bullet"/>
      <w:lvlText w:val="o"/>
      <w:lvlJc w:val="left"/>
      <w:pPr>
        <w:ind w:left="3742" w:hanging="360"/>
      </w:pPr>
      <w:rPr>
        <w:rFonts w:ascii="Courier New" w:hAnsi="Courier New" w:cs="Courier New" w:hint="default"/>
      </w:rPr>
    </w:lvl>
    <w:lvl w:ilvl="5" w:tplc="04050005">
      <w:start w:val="1"/>
      <w:numFmt w:val="bullet"/>
      <w:lvlText w:val=""/>
      <w:lvlJc w:val="left"/>
      <w:pPr>
        <w:ind w:left="4462" w:hanging="360"/>
      </w:pPr>
      <w:rPr>
        <w:rFonts w:ascii="Wingdings" w:hAnsi="Wingdings" w:hint="default"/>
      </w:rPr>
    </w:lvl>
    <w:lvl w:ilvl="6" w:tplc="04050001">
      <w:start w:val="1"/>
      <w:numFmt w:val="bullet"/>
      <w:lvlText w:val=""/>
      <w:lvlJc w:val="left"/>
      <w:pPr>
        <w:ind w:left="5182" w:hanging="360"/>
      </w:pPr>
      <w:rPr>
        <w:rFonts w:ascii="Symbol" w:hAnsi="Symbol" w:hint="default"/>
      </w:rPr>
    </w:lvl>
    <w:lvl w:ilvl="7" w:tplc="04050003">
      <w:start w:val="1"/>
      <w:numFmt w:val="bullet"/>
      <w:lvlText w:val="o"/>
      <w:lvlJc w:val="left"/>
      <w:pPr>
        <w:ind w:left="5902" w:hanging="360"/>
      </w:pPr>
      <w:rPr>
        <w:rFonts w:ascii="Courier New" w:hAnsi="Courier New" w:cs="Courier New" w:hint="default"/>
      </w:rPr>
    </w:lvl>
    <w:lvl w:ilvl="8" w:tplc="04050005">
      <w:start w:val="1"/>
      <w:numFmt w:val="bullet"/>
      <w:lvlText w:val=""/>
      <w:lvlJc w:val="left"/>
      <w:pPr>
        <w:ind w:left="6622" w:hanging="360"/>
      </w:pPr>
      <w:rPr>
        <w:rFonts w:ascii="Wingdings" w:hAnsi="Wingdings" w:hint="default"/>
      </w:rPr>
    </w:lvl>
  </w:abstractNum>
  <w:abstractNum w:abstractNumId="16">
    <w:nsid w:val="16F32029"/>
    <w:multiLevelType w:val="hybridMultilevel"/>
    <w:tmpl w:val="E1DEACE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172D5A31"/>
    <w:multiLevelType w:val="hybridMultilevel"/>
    <w:tmpl w:val="A148E12C"/>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Times New Roman"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Times New Roman"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Times New Roman" w:hint="default"/>
      </w:rPr>
    </w:lvl>
    <w:lvl w:ilvl="8" w:tplc="04090005">
      <w:start w:val="1"/>
      <w:numFmt w:val="bullet"/>
      <w:lvlText w:val=""/>
      <w:lvlJc w:val="left"/>
      <w:pPr>
        <w:ind w:left="6262" w:hanging="360"/>
      </w:pPr>
      <w:rPr>
        <w:rFonts w:ascii="Wingdings" w:hAnsi="Wingdings" w:hint="default"/>
      </w:rPr>
    </w:lvl>
  </w:abstractNum>
  <w:abstractNum w:abstractNumId="18">
    <w:nsid w:val="17357F4F"/>
    <w:multiLevelType w:val="hybridMultilevel"/>
    <w:tmpl w:val="8D1A982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17694017"/>
    <w:multiLevelType w:val="hybridMultilevel"/>
    <w:tmpl w:val="FDA6622E"/>
    <w:lvl w:ilvl="0" w:tplc="04050001">
      <w:start w:val="1"/>
      <w:numFmt w:val="bullet"/>
      <w:lvlText w:val=""/>
      <w:lvlJc w:val="left"/>
      <w:pPr>
        <w:ind w:left="720" w:hanging="360"/>
      </w:pPr>
      <w:rPr>
        <w:rFonts w:ascii="Symbol" w:hAnsi="Symbol" w:hint="default"/>
      </w:rPr>
    </w:lvl>
    <w:lvl w:ilvl="1" w:tplc="E918CE28">
      <w:numFmt w:val="bullet"/>
      <w:lvlText w:val="•"/>
      <w:lvlJc w:val="left"/>
      <w:pPr>
        <w:ind w:left="1710" w:hanging="630"/>
      </w:pPr>
      <w:rPr>
        <w:rFonts w:ascii="Times New Roman" w:eastAsia="Times New Roman" w:hAnsi="Times New Roman" w:cs="Times New Roman"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183A0B7A"/>
    <w:multiLevelType w:val="hybridMultilevel"/>
    <w:tmpl w:val="CDA614C2"/>
    <w:lvl w:ilvl="0" w:tplc="0409000B">
      <w:start w:val="1"/>
      <w:numFmt w:val="bullet"/>
      <w:lvlText w:val=""/>
      <w:lvlJc w:val="left"/>
      <w:pPr>
        <w:ind w:left="502"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1">
    <w:nsid w:val="19F504AB"/>
    <w:multiLevelType w:val="hybridMultilevel"/>
    <w:tmpl w:val="753014EA"/>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Times New Roman"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Times New Roman"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Times New Roman" w:hint="default"/>
      </w:rPr>
    </w:lvl>
    <w:lvl w:ilvl="8" w:tplc="04090005">
      <w:start w:val="1"/>
      <w:numFmt w:val="bullet"/>
      <w:lvlText w:val=""/>
      <w:lvlJc w:val="left"/>
      <w:pPr>
        <w:ind w:left="6262" w:hanging="360"/>
      </w:pPr>
      <w:rPr>
        <w:rFonts w:ascii="Wingdings" w:hAnsi="Wingdings" w:hint="default"/>
      </w:rPr>
    </w:lvl>
  </w:abstractNum>
  <w:abstractNum w:abstractNumId="22">
    <w:nsid w:val="1B0F3776"/>
    <w:multiLevelType w:val="hybridMultilevel"/>
    <w:tmpl w:val="D9B47F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23">
    <w:nsid w:val="1B7C2852"/>
    <w:multiLevelType w:val="hybridMultilevel"/>
    <w:tmpl w:val="15FA7A40"/>
    <w:lvl w:ilvl="0" w:tplc="0409000B">
      <w:start w:val="1"/>
      <w:numFmt w:val="bullet"/>
      <w:lvlText w:val=""/>
      <w:lvlJc w:val="left"/>
      <w:pPr>
        <w:ind w:left="502" w:hanging="360"/>
      </w:pPr>
      <w:rPr>
        <w:rFonts w:ascii="Wingdings" w:hAnsi="Wingdings" w:hint="default"/>
        <w:color w:val="auto"/>
      </w:rPr>
    </w:lvl>
    <w:lvl w:ilvl="1" w:tplc="04050003">
      <w:start w:val="1"/>
      <w:numFmt w:val="bullet"/>
      <w:lvlText w:val="o"/>
      <w:lvlJc w:val="left"/>
      <w:pPr>
        <w:ind w:left="1222" w:hanging="360"/>
      </w:pPr>
      <w:rPr>
        <w:rFonts w:ascii="Courier New" w:hAnsi="Courier New" w:cs="Courier New" w:hint="default"/>
      </w:rPr>
    </w:lvl>
    <w:lvl w:ilvl="2" w:tplc="04050005">
      <w:start w:val="1"/>
      <w:numFmt w:val="bullet"/>
      <w:lvlText w:val=""/>
      <w:lvlJc w:val="left"/>
      <w:pPr>
        <w:ind w:left="1942" w:hanging="360"/>
      </w:pPr>
      <w:rPr>
        <w:rFonts w:ascii="Wingdings" w:hAnsi="Wingdings" w:hint="default"/>
      </w:rPr>
    </w:lvl>
    <w:lvl w:ilvl="3" w:tplc="04050001">
      <w:start w:val="1"/>
      <w:numFmt w:val="bullet"/>
      <w:lvlText w:val=""/>
      <w:lvlJc w:val="left"/>
      <w:pPr>
        <w:ind w:left="2662" w:hanging="360"/>
      </w:pPr>
      <w:rPr>
        <w:rFonts w:ascii="Symbol" w:hAnsi="Symbol" w:hint="default"/>
      </w:rPr>
    </w:lvl>
    <w:lvl w:ilvl="4" w:tplc="04050003">
      <w:start w:val="1"/>
      <w:numFmt w:val="bullet"/>
      <w:lvlText w:val="o"/>
      <w:lvlJc w:val="left"/>
      <w:pPr>
        <w:ind w:left="3382" w:hanging="360"/>
      </w:pPr>
      <w:rPr>
        <w:rFonts w:ascii="Courier New" w:hAnsi="Courier New" w:cs="Courier New" w:hint="default"/>
      </w:rPr>
    </w:lvl>
    <w:lvl w:ilvl="5" w:tplc="04050005">
      <w:start w:val="1"/>
      <w:numFmt w:val="bullet"/>
      <w:lvlText w:val=""/>
      <w:lvlJc w:val="left"/>
      <w:pPr>
        <w:ind w:left="4102" w:hanging="360"/>
      </w:pPr>
      <w:rPr>
        <w:rFonts w:ascii="Wingdings" w:hAnsi="Wingdings" w:hint="default"/>
      </w:rPr>
    </w:lvl>
    <w:lvl w:ilvl="6" w:tplc="04050001">
      <w:start w:val="1"/>
      <w:numFmt w:val="bullet"/>
      <w:lvlText w:val=""/>
      <w:lvlJc w:val="left"/>
      <w:pPr>
        <w:ind w:left="4822" w:hanging="360"/>
      </w:pPr>
      <w:rPr>
        <w:rFonts w:ascii="Symbol" w:hAnsi="Symbol" w:hint="default"/>
      </w:rPr>
    </w:lvl>
    <w:lvl w:ilvl="7" w:tplc="04050003">
      <w:start w:val="1"/>
      <w:numFmt w:val="bullet"/>
      <w:lvlText w:val="o"/>
      <w:lvlJc w:val="left"/>
      <w:pPr>
        <w:ind w:left="5542" w:hanging="360"/>
      </w:pPr>
      <w:rPr>
        <w:rFonts w:ascii="Courier New" w:hAnsi="Courier New" w:cs="Courier New" w:hint="default"/>
      </w:rPr>
    </w:lvl>
    <w:lvl w:ilvl="8" w:tplc="04050005">
      <w:start w:val="1"/>
      <w:numFmt w:val="bullet"/>
      <w:lvlText w:val=""/>
      <w:lvlJc w:val="left"/>
      <w:pPr>
        <w:ind w:left="6262" w:hanging="360"/>
      </w:pPr>
      <w:rPr>
        <w:rFonts w:ascii="Wingdings" w:hAnsi="Wingdings" w:hint="default"/>
      </w:rPr>
    </w:lvl>
  </w:abstractNum>
  <w:abstractNum w:abstractNumId="24">
    <w:nsid w:val="1D0D30CB"/>
    <w:multiLevelType w:val="hybridMultilevel"/>
    <w:tmpl w:val="294CA82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5">
    <w:nsid w:val="1E2060A9"/>
    <w:multiLevelType w:val="hybridMultilevel"/>
    <w:tmpl w:val="0A141E08"/>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1EE57D2D"/>
    <w:multiLevelType w:val="hybridMultilevel"/>
    <w:tmpl w:val="DE62D572"/>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7">
    <w:nsid w:val="1F2A4C5B"/>
    <w:multiLevelType w:val="hybridMultilevel"/>
    <w:tmpl w:val="09D46A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1FCA3214"/>
    <w:multiLevelType w:val="hybridMultilevel"/>
    <w:tmpl w:val="98A0CC26"/>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1FF70FC2"/>
    <w:multiLevelType w:val="hybridMultilevel"/>
    <w:tmpl w:val="88DAB54C"/>
    <w:lvl w:ilvl="0" w:tplc="0405000B">
      <w:start w:val="1"/>
      <w:numFmt w:val="bullet"/>
      <w:lvlText w:val=""/>
      <w:lvlJc w:val="left"/>
      <w:pPr>
        <w:ind w:left="360" w:hanging="360"/>
      </w:pPr>
      <w:rPr>
        <w:rFonts w:ascii="Wingdings" w:hAnsi="Wingdings"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30">
    <w:nsid w:val="204A7C7C"/>
    <w:multiLevelType w:val="hybridMultilevel"/>
    <w:tmpl w:val="E5360FF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22305645"/>
    <w:multiLevelType w:val="hybridMultilevel"/>
    <w:tmpl w:val="A1E8C10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25A85D85"/>
    <w:multiLevelType w:val="hybridMultilevel"/>
    <w:tmpl w:val="23445222"/>
    <w:lvl w:ilvl="0" w:tplc="04050003">
      <w:start w:val="1"/>
      <w:numFmt w:val="bullet"/>
      <w:lvlText w:val="o"/>
      <w:lvlJc w:val="left"/>
      <w:pPr>
        <w:ind w:left="720" w:hanging="360"/>
      </w:pPr>
      <w:rPr>
        <w:rFonts w:ascii="Courier New" w:hAnsi="Courier New" w:cs="Courier New"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263A3D57"/>
    <w:multiLevelType w:val="hybridMultilevel"/>
    <w:tmpl w:val="F3E42826"/>
    <w:lvl w:ilvl="0" w:tplc="0409000B">
      <w:start w:val="1"/>
      <w:numFmt w:val="bullet"/>
      <w:lvlText w:val=""/>
      <w:lvlJc w:val="left"/>
      <w:pPr>
        <w:ind w:left="502" w:hanging="360"/>
      </w:pPr>
      <w:rPr>
        <w:rFonts w:ascii="Wingdings" w:hAnsi="Wingdings" w:hint="default"/>
      </w:rPr>
    </w:lvl>
    <w:lvl w:ilvl="1" w:tplc="16007DC8">
      <w:start w:val="1"/>
      <w:numFmt w:val="bullet"/>
      <w:lvlText w:val="o"/>
      <w:lvlJc w:val="left"/>
      <w:pPr>
        <w:ind w:left="1222" w:hanging="360"/>
      </w:pPr>
      <w:rPr>
        <w:rFonts w:ascii="Courier New" w:hAnsi="Courier New" w:cs="Courier New" w:hint="default"/>
      </w:rPr>
    </w:lvl>
    <w:lvl w:ilvl="2" w:tplc="44C6F6FA">
      <w:start w:val="1"/>
      <w:numFmt w:val="bullet"/>
      <w:lvlText w:val=""/>
      <w:lvlJc w:val="left"/>
      <w:pPr>
        <w:ind w:left="1942" w:hanging="360"/>
      </w:pPr>
      <w:rPr>
        <w:rFonts w:ascii="Wingdings" w:hAnsi="Wingdings" w:hint="default"/>
      </w:rPr>
    </w:lvl>
    <w:lvl w:ilvl="3" w:tplc="5EBE3CCA">
      <w:start w:val="1"/>
      <w:numFmt w:val="bullet"/>
      <w:lvlText w:val=""/>
      <w:lvlJc w:val="left"/>
      <w:pPr>
        <w:ind w:left="2662" w:hanging="360"/>
      </w:pPr>
      <w:rPr>
        <w:rFonts w:ascii="Symbol" w:hAnsi="Symbol" w:hint="default"/>
      </w:rPr>
    </w:lvl>
    <w:lvl w:ilvl="4" w:tplc="A3BE4A48">
      <w:start w:val="1"/>
      <w:numFmt w:val="bullet"/>
      <w:lvlText w:val="o"/>
      <w:lvlJc w:val="left"/>
      <w:pPr>
        <w:ind w:left="3382" w:hanging="360"/>
      </w:pPr>
      <w:rPr>
        <w:rFonts w:ascii="Courier New" w:hAnsi="Courier New" w:cs="Courier New" w:hint="default"/>
      </w:rPr>
    </w:lvl>
    <w:lvl w:ilvl="5" w:tplc="186C612E">
      <w:start w:val="1"/>
      <w:numFmt w:val="bullet"/>
      <w:lvlText w:val=""/>
      <w:lvlJc w:val="left"/>
      <w:pPr>
        <w:ind w:left="4102" w:hanging="360"/>
      </w:pPr>
      <w:rPr>
        <w:rFonts w:ascii="Wingdings" w:hAnsi="Wingdings" w:hint="default"/>
      </w:rPr>
    </w:lvl>
    <w:lvl w:ilvl="6" w:tplc="AEF6C4E6">
      <w:start w:val="1"/>
      <w:numFmt w:val="bullet"/>
      <w:lvlText w:val=""/>
      <w:lvlJc w:val="left"/>
      <w:pPr>
        <w:ind w:left="4822" w:hanging="360"/>
      </w:pPr>
      <w:rPr>
        <w:rFonts w:ascii="Symbol" w:hAnsi="Symbol" w:hint="default"/>
      </w:rPr>
    </w:lvl>
    <w:lvl w:ilvl="7" w:tplc="53742332">
      <w:start w:val="1"/>
      <w:numFmt w:val="bullet"/>
      <w:lvlText w:val="o"/>
      <w:lvlJc w:val="left"/>
      <w:pPr>
        <w:ind w:left="5542" w:hanging="360"/>
      </w:pPr>
      <w:rPr>
        <w:rFonts w:ascii="Courier New" w:hAnsi="Courier New" w:cs="Courier New" w:hint="default"/>
      </w:rPr>
    </w:lvl>
    <w:lvl w:ilvl="8" w:tplc="894ED5DA">
      <w:start w:val="1"/>
      <w:numFmt w:val="bullet"/>
      <w:lvlText w:val=""/>
      <w:lvlJc w:val="left"/>
      <w:pPr>
        <w:ind w:left="6262" w:hanging="360"/>
      </w:pPr>
      <w:rPr>
        <w:rFonts w:ascii="Wingdings" w:hAnsi="Wingdings" w:hint="default"/>
      </w:rPr>
    </w:lvl>
  </w:abstractNum>
  <w:abstractNum w:abstractNumId="34">
    <w:nsid w:val="271B7477"/>
    <w:multiLevelType w:val="hybridMultilevel"/>
    <w:tmpl w:val="B596D8F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28B0307F"/>
    <w:multiLevelType w:val="hybridMultilevel"/>
    <w:tmpl w:val="81DAF208"/>
    <w:lvl w:ilvl="0" w:tplc="0809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2A372997"/>
    <w:multiLevelType w:val="hybridMultilevel"/>
    <w:tmpl w:val="703AE680"/>
    <w:lvl w:ilvl="0" w:tplc="04050001">
      <w:start w:val="1"/>
      <w:numFmt w:val="bullet"/>
      <w:lvlText w:val=""/>
      <w:lvlJc w:val="left"/>
      <w:pPr>
        <w:ind w:left="774" w:hanging="360"/>
      </w:pPr>
      <w:rPr>
        <w:rFonts w:ascii="Symbol" w:hAnsi="Symbol" w:cs="Symbol" w:hint="default"/>
      </w:rPr>
    </w:lvl>
    <w:lvl w:ilvl="1" w:tplc="04050003" w:tentative="1">
      <w:start w:val="1"/>
      <w:numFmt w:val="bullet"/>
      <w:lvlText w:val="o"/>
      <w:lvlJc w:val="left"/>
      <w:pPr>
        <w:ind w:left="1494" w:hanging="360"/>
      </w:pPr>
      <w:rPr>
        <w:rFonts w:ascii="Courier New" w:hAnsi="Courier New" w:cs="Courier New" w:hint="default"/>
      </w:rPr>
    </w:lvl>
    <w:lvl w:ilvl="2" w:tplc="04050005" w:tentative="1">
      <w:start w:val="1"/>
      <w:numFmt w:val="bullet"/>
      <w:lvlText w:val=""/>
      <w:lvlJc w:val="left"/>
      <w:pPr>
        <w:ind w:left="2214" w:hanging="360"/>
      </w:pPr>
      <w:rPr>
        <w:rFonts w:ascii="Wingdings" w:hAnsi="Wingdings" w:cs="Wingdings" w:hint="default"/>
      </w:rPr>
    </w:lvl>
    <w:lvl w:ilvl="3" w:tplc="04050001" w:tentative="1">
      <w:start w:val="1"/>
      <w:numFmt w:val="bullet"/>
      <w:lvlText w:val=""/>
      <w:lvlJc w:val="left"/>
      <w:pPr>
        <w:ind w:left="2934" w:hanging="360"/>
      </w:pPr>
      <w:rPr>
        <w:rFonts w:ascii="Symbol" w:hAnsi="Symbol" w:cs="Symbol" w:hint="default"/>
      </w:rPr>
    </w:lvl>
    <w:lvl w:ilvl="4" w:tplc="04050003" w:tentative="1">
      <w:start w:val="1"/>
      <w:numFmt w:val="bullet"/>
      <w:lvlText w:val="o"/>
      <w:lvlJc w:val="left"/>
      <w:pPr>
        <w:ind w:left="3654" w:hanging="360"/>
      </w:pPr>
      <w:rPr>
        <w:rFonts w:ascii="Courier New" w:hAnsi="Courier New" w:cs="Courier New" w:hint="default"/>
      </w:rPr>
    </w:lvl>
    <w:lvl w:ilvl="5" w:tplc="04050005" w:tentative="1">
      <w:start w:val="1"/>
      <w:numFmt w:val="bullet"/>
      <w:lvlText w:val=""/>
      <w:lvlJc w:val="left"/>
      <w:pPr>
        <w:ind w:left="4374" w:hanging="360"/>
      </w:pPr>
      <w:rPr>
        <w:rFonts w:ascii="Wingdings" w:hAnsi="Wingdings" w:cs="Wingdings" w:hint="default"/>
      </w:rPr>
    </w:lvl>
    <w:lvl w:ilvl="6" w:tplc="04050001" w:tentative="1">
      <w:start w:val="1"/>
      <w:numFmt w:val="bullet"/>
      <w:lvlText w:val=""/>
      <w:lvlJc w:val="left"/>
      <w:pPr>
        <w:ind w:left="5094" w:hanging="360"/>
      </w:pPr>
      <w:rPr>
        <w:rFonts w:ascii="Symbol" w:hAnsi="Symbol" w:cs="Symbol" w:hint="default"/>
      </w:rPr>
    </w:lvl>
    <w:lvl w:ilvl="7" w:tplc="04050003" w:tentative="1">
      <w:start w:val="1"/>
      <w:numFmt w:val="bullet"/>
      <w:lvlText w:val="o"/>
      <w:lvlJc w:val="left"/>
      <w:pPr>
        <w:ind w:left="5814" w:hanging="360"/>
      </w:pPr>
      <w:rPr>
        <w:rFonts w:ascii="Courier New" w:hAnsi="Courier New" w:cs="Courier New" w:hint="default"/>
      </w:rPr>
    </w:lvl>
    <w:lvl w:ilvl="8" w:tplc="04050005" w:tentative="1">
      <w:start w:val="1"/>
      <w:numFmt w:val="bullet"/>
      <w:lvlText w:val=""/>
      <w:lvlJc w:val="left"/>
      <w:pPr>
        <w:ind w:left="6534" w:hanging="360"/>
      </w:pPr>
      <w:rPr>
        <w:rFonts w:ascii="Wingdings" w:hAnsi="Wingdings" w:cs="Wingdings" w:hint="default"/>
      </w:rPr>
    </w:lvl>
  </w:abstractNum>
  <w:abstractNum w:abstractNumId="37">
    <w:nsid w:val="2A430364"/>
    <w:multiLevelType w:val="hybridMultilevel"/>
    <w:tmpl w:val="12523762"/>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8">
    <w:nsid w:val="2CF156B1"/>
    <w:multiLevelType w:val="hybridMultilevel"/>
    <w:tmpl w:val="081EE5E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9">
    <w:nsid w:val="2D850E69"/>
    <w:multiLevelType w:val="hybridMultilevel"/>
    <w:tmpl w:val="18D03564"/>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2DF42F30"/>
    <w:multiLevelType w:val="hybridMultilevel"/>
    <w:tmpl w:val="F13657B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1">
    <w:nsid w:val="2E274FC4"/>
    <w:multiLevelType w:val="hybridMultilevel"/>
    <w:tmpl w:val="B8D428FA"/>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nsid w:val="2FAB7700"/>
    <w:multiLevelType w:val="hybridMultilevel"/>
    <w:tmpl w:val="1F7AF402"/>
    <w:lvl w:ilvl="0" w:tplc="A73E8AF4">
      <w:numFmt w:val="bullet"/>
      <w:lvlText w:val="-"/>
      <w:lvlJc w:val="left"/>
      <w:pPr>
        <w:tabs>
          <w:tab w:val="num" w:pos="1069"/>
        </w:tabs>
        <w:ind w:left="1069" w:hanging="360"/>
      </w:pPr>
      <w:rPr>
        <w:rFonts w:ascii="Times New Roman" w:eastAsia="Times New Roman" w:hAnsi="Times New Roman" w:cs="Times New Roman" w:hint="default"/>
      </w:rPr>
    </w:lvl>
    <w:lvl w:ilvl="1" w:tplc="04050005">
      <w:start w:val="1"/>
      <w:numFmt w:val="bullet"/>
      <w:lvlText w:val=""/>
      <w:lvlJc w:val="left"/>
      <w:pPr>
        <w:tabs>
          <w:tab w:val="num" w:pos="1444"/>
        </w:tabs>
        <w:ind w:left="1444" w:hanging="360"/>
      </w:pPr>
      <w:rPr>
        <w:rFonts w:ascii="Wingdings" w:hAnsi="Wingdings" w:hint="default"/>
      </w:rPr>
    </w:lvl>
    <w:lvl w:ilvl="2" w:tplc="04050005" w:tentative="1">
      <w:start w:val="1"/>
      <w:numFmt w:val="bullet"/>
      <w:lvlText w:val=""/>
      <w:lvlJc w:val="left"/>
      <w:pPr>
        <w:tabs>
          <w:tab w:val="num" w:pos="2164"/>
        </w:tabs>
        <w:ind w:left="2164" w:hanging="360"/>
      </w:pPr>
      <w:rPr>
        <w:rFonts w:ascii="Wingdings" w:hAnsi="Wingdings" w:hint="default"/>
      </w:rPr>
    </w:lvl>
    <w:lvl w:ilvl="3" w:tplc="04050001" w:tentative="1">
      <w:start w:val="1"/>
      <w:numFmt w:val="bullet"/>
      <w:lvlText w:val=""/>
      <w:lvlJc w:val="left"/>
      <w:pPr>
        <w:tabs>
          <w:tab w:val="num" w:pos="2884"/>
        </w:tabs>
        <w:ind w:left="2884" w:hanging="360"/>
      </w:pPr>
      <w:rPr>
        <w:rFonts w:ascii="Symbol" w:hAnsi="Symbol" w:hint="default"/>
      </w:rPr>
    </w:lvl>
    <w:lvl w:ilvl="4" w:tplc="04050003" w:tentative="1">
      <w:start w:val="1"/>
      <w:numFmt w:val="bullet"/>
      <w:lvlText w:val="o"/>
      <w:lvlJc w:val="left"/>
      <w:pPr>
        <w:tabs>
          <w:tab w:val="num" w:pos="3604"/>
        </w:tabs>
        <w:ind w:left="3604" w:hanging="360"/>
      </w:pPr>
      <w:rPr>
        <w:rFonts w:ascii="Courier New" w:hAnsi="Courier New" w:cs="Courier New" w:hint="default"/>
      </w:rPr>
    </w:lvl>
    <w:lvl w:ilvl="5" w:tplc="04050005" w:tentative="1">
      <w:start w:val="1"/>
      <w:numFmt w:val="bullet"/>
      <w:lvlText w:val=""/>
      <w:lvlJc w:val="left"/>
      <w:pPr>
        <w:tabs>
          <w:tab w:val="num" w:pos="4324"/>
        </w:tabs>
        <w:ind w:left="4324" w:hanging="360"/>
      </w:pPr>
      <w:rPr>
        <w:rFonts w:ascii="Wingdings" w:hAnsi="Wingdings" w:hint="default"/>
      </w:rPr>
    </w:lvl>
    <w:lvl w:ilvl="6" w:tplc="04050001" w:tentative="1">
      <w:start w:val="1"/>
      <w:numFmt w:val="bullet"/>
      <w:lvlText w:val=""/>
      <w:lvlJc w:val="left"/>
      <w:pPr>
        <w:tabs>
          <w:tab w:val="num" w:pos="5044"/>
        </w:tabs>
        <w:ind w:left="5044" w:hanging="360"/>
      </w:pPr>
      <w:rPr>
        <w:rFonts w:ascii="Symbol" w:hAnsi="Symbol" w:hint="default"/>
      </w:rPr>
    </w:lvl>
    <w:lvl w:ilvl="7" w:tplc="04050003" w:tentative="1">
      <w:start w:val="1"/>
      <w:numFmt w:val="bullet"/>
      <w:lvlText w:val="o"/>
      <w:lvlJc w:val="left"/>
      <w:pPr>
        <w:tabs>
          <w:tab w:val="num" w:pos="5764"/>
        </w:tabs>
        <w:ind w:left="5764" w:hanging="360"/>
      </w:pPr>
      <w:rPr>
        <w:rFonts w:ascii="Courier New" w:hAnsi="Courier New" w:cs="Courier New" w:hint="default"/>
      </w:rPr>
    </w:lvl>
    <w:lvl w:ilvl="8" w:tplc="04050005" w:tentative="1">
      <w:start w:val="1"/>
      <w:numFmt w:val="bullet"/>
      <w:lvlText w:val=""/>
      <w:lvlJc w:val="left"/>
      <w:pPr>
        <w:tabs>
          <w:tab w:val="num" w:pos="6484"/>
        </w:tabs>
        <w:ind w:left="6484" w:hanging="360"/>
      </w:pPr>
      <w:rPr>
        <w:rFonts w:ascii="Wingdings" w:hAnsi="Wingdings" w:hint="default"/>
      </w:rPr>
    </w:lvl>
  </w:abstractNum>
  <w:abstractNum w:abstractNumId="43">
    <w:nsid w:val="2FC97AC5"/>
    <w:multiLevelType w:val="hybridMultilevel"/>
    <w:tmpl w:val="4C28EDA6"/>
    <w:lvl w:ilvl="0" w:tplc="0405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4">
    <w:nsid w:val="30DD3B7E"/>
    <w:multiLevelType w:val="hybridMultilevel"/>
    <w:tmpl w:val="29FABEC4"/>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Times New Roman"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Times New Roman"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Times New Roman" w:hint="default"/>
      </w:rPr>
    </w:lvl>
    <w:lvl w:ilvl="8" w:tplc="04090005">
      <w:start w:val="1"/>
      <w:numFmt w:val="bullet"/>
      <w:lvlText w:val=""/>
      <w:lvlJc w:val="left"/>
      <w:pPr>
        <w:ind w:left="6262" w:hanging="360"/>
      </w:pPr>
      <w:rPr>
        <w:rFonts w:ascii="Wingdings" w:hAnsi="Wingdings" w:hint="default"/>
      </w:rPr>
    </w:lvl>
  </w:abstractNum>
  <w:abstractNum w:abstractNumId="45">
    <w:nsid w:val="3103725C"/>
    <w:multiLevelType w:val="hybridMultilevel"/>
    <w:tmpl w:val="101A34E6"/>
    <w:lvl w:ilvl="0" w:tplc="840E7F80">
      <w:start w:val="1"/>
      <w:numFmt w:val="bullet"/>
      <w:lvlText w:val="-"/>
      <w:lvlJc w:val="left"/>
      <w:pPr>
        <w:ind w:left="36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319312D0"/>
    <w:multiLevelType w:val="hybridMultilevel"/>
    <w:tmpl w:val="8D58D17C"/>
    <w:lvl w:ilvl="0" w:tplc="840E7F80">
      <w:start w:val="1"/>
      <w:numFmt w:val="bullet"/>
      <w:lvlText w:val="-"/>
      <w:lvlJc w:val="left"/>
      <w:pPr>
        <w:ind w:left="176" w:hanging="360"/>
      </w:pPr>
      <w:rPr>
        <w:rFonts w:ascii="Times New Roman" w:eastAsia="Calibri" w:hAnsi="Times New Roman" w:cs="Times New Roman" w:hint="default"/>
      </w:rPr>
    </w:lvl>
    <w:lvl w:ilvl="1" w:tplc="04050003" w:tentative="1">
      <w:start w:val="1"/>
      <w:numFmt w:val="bullet"/>
      <w:lvlText w:val="o"/>
      <w:lvlJc w:val="left"/>
      <w:pPr>
        <w:ind w:left="1256" w:hanging="360"/>
      </w:pPr>
      <w:rPr>
        <w:rFonts w:ascii="Courier New" w:hAnsi="Courier New" w:cs="Courier New" w:hint="default"/>
      </w:rPr>
    </w:lvl>
    <w:lvl w:ilvl="2" w:tplc="04050005" w:tentative="1">
      <w:start w:val="1"/>
      <w:numFmt w:val="bullet"/>
      <w:lvlText w:val=""/>
      <w:lvlJc w:val="left"/>
      <w:pPr>
        <w:ind w:left="1976" w:hanging="360"/>
      </w:pPr>
      <w:rPr>
        <w:rFonts w:ascii="Wingdings" w:hAnsi="Wingdings" w:hint="default"/>
      </w:rPr>
    </w:lvl>
    <w:lvl w:ilvl="3" w:tplc="04050001" w:tentative="1">
      <w:start w:val="1"/>
      <w:numFmt w:val="bullet"/>
      <w:lvlText w:val=""/>
      <w:lvlJc w:val="left"/>
      <w:pPr>
        <w:ind w:left="2696" w:hanging="360"/>
      </w:pPr>
      <w:rPr>
        <w:rFonts w:ascii="Symbol" w:hAnsi="Symbol" w:hint="default"/>
      </w:rPr>
    </w:lvl>
    <w:lvl w:ilvl="4" w:tplc="04050003" w:tentative="1">
      <w:start w:val="1"/>
      <w:numFmt w:val="bullet"/>
      <w:lvlText w:val="o"/>
      <w:lvlJc w:val="left"/>
      <w:pPr>
        <w:ind w:left="3416" w:hanging="360"/>
      </w:pPr>
      <w:rPr>
        <w:rFonts w:ascii="Courier New" w:hAnsi="Courier New" w:cs="Courier New" w:hint="default"/>
      </w:rPr>
    </w:lvl>
    <w:lvl w:ilvl="5" w:tplc="04050005" w:tentative="1">
      <w:start w:val="1"/>
      <w:numFmt w:val="bullet"/>
      <w:lvlText w:val=""/>
      <w:lvlJc w:val="left"/>
      <w:pPr>
        <w:ind w:left="4136" w:hanging="360"/>
      </w:pPr>
      <w:rPr>
        <w:rFonts w:ascii="Wingdings" w:hAnsi="Wingdings" w:hint="default"/>
      </w:rPr>
    </w:lvl>
    <w:lvl w:ilvl="6" w:tplc="04050001" w:tentative="1">
      <w:start w:val="1"/>
      <w:numFmt w:val="bullet"/>
      <w:lvlText w:val=""/>
      <w:lvlJc w:val="left"/>
      <w:pPr>
        <w:ind w:left="4856" w:hanging="360"/>
      </w:pPr>
      <w:rPr>
        <w:rFonts w:ascii="Symbol" w:hAnsi="Symbol" w:hint="default"/>
      </w:rPr>
    </w:lvl>
    <w:lvl w:ilvl="7" w:tplc="04050003" w:tentative="1">
      <w:start w:val="1"/>
      <w:numFmt w:val="bullet"/>
      <w:lvlText w:val="o"/>
      <w:lvlJc w:val="left"/>
      <w:pPr>
        <w:ind w:left="5576" w:hanging="360"/>
      </w:pPr>
      <w:rPr>
        <w:rFonts w:ascii="Courier New" w:hAnsi="Courier New" w:cs="Courier New" w:hint="default"/>
      </w:rPr>
    </w:lvl>
    <w:lvl w:ilvl="8" w:tplc="04050005" w:tentative="1">
      <w:start w:val="1"/>
      <w:numFmt w:val="bullet"/>
      <w:lvlText w:val=""/>
      <w:lvlJc w:val="left"/>
      <w:pPr>
        <w:ind w:left="6296" w:hanging="360"/>
      </w:pPr>
      <w:rPr>
        <w:rFonts w:ascii="Wingdings" w:hAnsi="Wingdings" w:hint="default"/>
      </w:rPr>
    </w:lvl>
  </w:abstractNum>
  <w:abstractNum w:abstractNumId="47">
    <w:nsid w:val="31D91E27"/>
    <w:multiLevelType w:val="hybridMultilevel"/>
    <w:tmpl w:val="F298729A"/>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Times New Roman"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Times New Roman"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Times New Roman" w:hint="default"/>
      </w:rPr>
    </w:lvl>
    <w:lvl w:ilvl="8" w:tplc="04090005">
      <w:start w:val="1"/>
      <w:numFmt w:val="bullet"/>
      <w:lvlText w:val=""/>
      <w:lvlJc w:val="left"/>
      <w:pPr>
        <w:ind w:left="6262" w:hanging="360"/>
      </w:pPr>
      <w:rPr>
        <w:rFonts w:ascii="Wingdings" w:hAnsi="Wingdings" w:hint="default"/>
      </w:rPr>
    </w:lvl>
  </w:abstractNum>
  <w:abstractNum w:abstractNumId="48">
    <w:nsid w:val="324D66BE"/>
    <w:multiLevelType w:val="hybridMultilevel"/>
    <w:tmpl w:val="AD341D94"/>
    <w:lvl w:ilvl="0" w:tplc="B45E303A">
      <w:start w:val="1"/>
      <w:numFmt w:val="bullet"/>
      <w:lvlText w:val=""/>
      <w:lvlJc w:val="left"/>
      <w:pPr>
        <w:ind w:left="363" w:hanging="360"/>
      </w:pPr>
      <w:rPr>
        <w:rFonts w:ascii="Symbol" w:hAnsi="Symbol" w:hint="default"/>
        <w:color w:val="auto"/>
        <w:sz w:val="22"/>
        <w:szCs w:val="14"/>
      </w:rPr>
    </w:lvl>
    <w:lvl w:ilvl="1" w:tplc="04050003">
      <w:start w:val="1"/>
      <w:numFmt w:val="bullet"/>
      <w:lvlText w:val="o"/>
      <w:lvlJc w:val="left"/>
      <w:pPr>
        <w:ind w:left="1083" w:hanging="360"/>
      </w:pPr>
      <w:rPr>
        <w:rFonts w:ascii="Courier New" w:hAnsi="Courier New" w:cs="Courier New" w:hint="default"/>
      </w:rPr>
    </w:lvl>
    <w:lvl w:ilvl="2" w:tplc="04050005" w:tentative="1">
      <w:start w:val="1"/>
      <w:numFmt w:val="bullet"/>
      <w:lvlText w:val=""/>
      <w:lvlJc w:val="left"/>
      <w:pPr>
        <w:ind w:left="1803" w:hanging="360"/>
      </w:pPr>
      <w:rPr>
        <w:rFonts w:ascii="Wingdings" w:hAnsi="Wingdings" w:hint="default"/>
      </w:rPr>
    </w:lvl>
    <w:lvl w:ilvl="3" w:tplc="04050001" w:tentative="1">
      <w:start w:val="1"/>
      <w:numFmt w:val="bullet"/>
      <w:lvlText w:val=""/>
      <w:lvlJc w:val="left"/>
      <w:pPr>
        <w:ind w:left="2523" w:hanging="360"/>
      </w:pPr>
      <w:rPr>
        <w:rFonts w:ascii="Symbol" w:hAnsi="Symbol" w:hint="default"/>
      </w:rPr>
    </w:lvl>
    <w:lvl w:ilvl="4" w:tplc="04050003" w:tentative="1">
      <w:start w:val="1"/>
      <w:numFmt w:val="bullet"/>
      <w:lvlText w:val="o"/>
      <w:lvlJc w:val="left"/>
      <w:pPr>
        <w:ind w:left="3243" w:hanging="360"/>
      </w:pPr>
      <w:rPr>
        <w:rFonts w:ascii="Courier New" w:hAnsi="Courier New" w:cs="Courier New" w:hint="default"/>
      </w:rPr>
    </w:lvl>
    <w:lvl w:ilvl="5" w:tplc="04050005" w:tentative="1">
      <w:start w:val="1"/>
      <w:numFmt w:val="bullet"/>
      <w:lvlText w:val=""/>
      <w:lvlJc w:val="left"/>
      <w:pPr>
        <w:ind w:left="3963" w:hanging="360"/>
      </w:pPr>
      <w:rPr>
        <w:rFonts w:ascii="Wingdings" w:hAnsi="Wingdings" w:hint="default"/>
      </w:rPr>
    </w:lvl>
    <w:lvl w:ilvl="6" w:tplc="04050001" w:tentative="1">
      <w:start w:val="1"/>
      <w:numFmt w:val="bullet"/>
      <w:lvlText w:val=""/>
      <w:lvlJc w:val="left"/>
      <w:pPr>
        <w:ind w:left="4683" w:hanging="360"/>
      </w:pPr>
      <w:rPr>
        <w:rFonts w:ascii="Symbol" w:hAnsi="Symbol" w:hint="default"/>
      </w:rPr>
    </w:lvl>
    <w:lvl w:ilvl="7" w:tplc="04050003" w:tentative="1">
      <w:start w:val="1"/>
      <w:numFmt w:val="bullet"/>
      <w:lvlText w:val="o"/>
      <w:lvlJc w:val="left"/>
      <w:pPr>
        <w:ind w:left="5403" w:hanging="360"/>
      </w:pPr>
      <w:rPr>
        <w:rFonts w:ascii="Courier New" w:hAnsi="Courier New" w:cs="Courier New" w:hint="default"/>
      </w:rPr>
    </w:lvl>
    <w:lvl w:ilvl="8" w:tplc="04050005" w:tentative="1">
      <w:start w:val="1"/>
      <w:numFmt w:val="bullet"/>
      <w:lvlText w:val=""/>
      <w:lvlJc w:val="left"/>
      <w:pPr>
        <w:ind w:left="6123" w:hanging="360"/>
      </w:pPr>
      <w:rPr>
        <w:rFonts w:ascii="Wingdings" w:hAnsi="Wingdings" w:hint="default"/>
      </w:rPr>
    </w:lvl>
  </w:abstractNum>
  <w:abstractNum w:abstractNumId="49">
    <w:nsid w:val="33271521"/>
    <w:multiLevelType w:val="hybridMultilevel"/>
    <w:tmpl w:val="43D6E830"/>
    <w:lvl w:ilvl="0" w:tplc="295029C4">
      <w:start w:val="1"/>
      <w:numFmt w:val="bullet"/>
      <w:lvlText w:val=""/>
      <w:lvlJc w:val="left"/>
      <w:pPr>
        <w:ind w:left="720" w:hanging="360"/>
      </w:pPr>
      <w:rPr>
        <w:rFonts w:ascii="Symbol" w:hAnsi="Symbol" w:hint="default"/>
        <w:sz w:val="18"/>
        <w:szCs w:val="1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nsid w:val="33BA1122"/>
    <w:multiLevelType w:val="hybridMultilevel"/>
    <w:tmpl w:val="12905BCC"/>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51">
    <w:nsid w:val="36854910"/>
    <w:multiLevelType w:val="hybridMultilevel"/>
    <w:tmpl w:val="F858E994"/>
    <w:lvl w:ilvl="0" w:tplc="BEE87502">
      <w:start w:val="1"/>
      <w:numFmt w:val="upperRoman"/>
      <w:lvlText w:val="%1."/>
      <w:lvlJc w:val="left"/>
      <w:pPr>
        <w:ind w:left="1080" w:hanging="72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6DE2BC7"/>
    <w:multiLevelType w:val="hybridMultilevel"/>
    <w:tmpl w:val="0486E560"/>
    <w:lvl w:ilvl="0" w:tplc="C0E0DD2E">
      <w:start w:val="1"/>
      <w:numFmt w:val="lowerRoman"/>
      <w:lvlText w:val="(%1)"/>
      <w:lvlJc w:val="left"/>
      <w:pPr>
        <w:ind w:left="7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nsid w:val="386A6912"/>
    <w:multiLevelType w:val="hybridMultilevel"/>
    <w:tmpl w:val="6AE2BD36"/>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Times New Roman"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Times New Roman"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Times New Roman" w:hint="default"/>
      </w:rPr>
    </w:lvl>
    <w:lvl w:ilvl="8" w:tplc="04090005">
      <w:start w:val="1"/>
      <w:numFmt w:val="bullet"/>
      <w:lvlText w:val=""/>
      <w:lvlJc w:val="left"/>
      <w:pPr>
        <w:ind w:left="6262" w:hanging="360"/>
      </w:pPr>
      <w:rPr>
        <w:rFonts w:ascii="Wingdings" w:hAnsi="Wingdings" w:hint="default"/>
      </w:rPr>
    </w:lvl>
  </w:abstractNum>
  <w:abstractNum w:abstractNumId="54">
    <w:nsid w:val="392D3D64"/>
    <w:multiLevelType w:val="hybridMultilevel"/>
    <w:tmpl w:val="C74085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nsid w:val="39871F95"/>
    <w:multiLevelType w:val="hybridMultilevel"/>
    <w:tmpl w:val="424CAFF2"/>
    <w:lvl w:ilvl="0" w:tplc="04050011">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6">
    <w:nsid w:val="399F53B6"/>
    <w:multiLevelType w:val="hybridMultilevel"/>
    <w:tmpl w:val="5FD02F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nsid w:val="3A022A3C"/>
    <w:multiLevelType w:val="hybridMultilevel"/>
    <w:tmpl w:val="8DDE141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nsid w:val="3A7148B5"/>
    <w:multiLevelType w:val="hybridMultilevel"/>
    <w:tmpl w:val="0C489FF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nsid w:val="3B2243AF"/>
    <w:multiLevelType w:val="hybridMultilevel"/>
    <w:tmpl w:val="BAB2D63C"/>
    <w:lvl w:ilvl="0" w:tplc="0F384486">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0">
    <w:nsid w:val="3BDD4551"/>
    <w:multiLevelType w:val="hybridMultilevel"/>
    <w:tmpl w:val="CA525CDC"/>
    <w:lvl w:ilvl="0" w:tplc="1228DD84">
      <w:start w:val="1"/>
      <w:numFmt w:val="bullet"/>
      <w:lvlText w:val=""/>
      <w:lvlJc w:val="left"/>
      <w:pPr>
        <w:ind w:left="720" w:hanging="360"/>
      </w:pPr>
      <w:rPr>
        <w:rFonts w:ascii="Symbol" w:hAnsi="Symbol" w:hint="default"/>
        <w:sz w:val="18"/>
        <w:szCs w:val="18"/>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nsid w:val="3BFE45AB"/>
    <w:multiLevelType w:val="hybridMultilevel"/>
    <w:tmpl w:val="FE8A9728"/>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Times New Roman"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Times New Roman"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Times New Roman" w:hint="default"/>
      </w:rPr>
    </w:lvl>
    <w:lvl w:ilvl="8" w:tplc="04090005">
      <w:start w:val="1"/>
      <w:numFmt w:val="bullet"/>
      <w:lvlText w:val=""/>
      <w:lvlJc w:val="left"/>
      <w:pPr>
        <w:ind w:left="6262" w:hanging="360"/>
      </w:pPr>
      <w:rPr>
        <w:rFonts w:ascii="Wingdings" w:hAnsi="Wingdings" w:hint="default"/>
      </w:rPr>
    </w:lvl>
  </w:abstractNum>
  <w:abstractNum w:abstractNumId="62">
    <w:nsid w:val="3CC05EB2"/>
    <w:multiLevelType w:val="hybridMultilevel"/>
    <w:tmpl w:val="44200B9C"/>
    <w:lvl w:ilvl="0" w:tplc="0409000B">
      <w:start w:val="1"/>
      <w:numFmt w:val="bullet"/>
      <w:lvlText w:val=""/>
      <w:lvlJc w:val="left"/>
      <w:pPr>
        <w:ind w:left="502" w:hanging="360"/>
      </w:pPr>
      <w:rPr>
        <w:rFonts w:ascii="Wingdings" w:hAnsi="Wingdings" w:hint="default"/>
        <w:color w:val="auto"/>
      </w:rPr>
    </w:lvl>
    <w:lvl w:ilvl="1" w:tplc="04050003">
      <w:start w:val="1"/>
      <w:numFmt w:val="bullet"/>
      <w:lvlText w:val="o"/>
      <w:lvlJc w:val="left"/>
      <w:pPr>
        <w:ind w:left="1222" w:hanging="360"/>
      </w:pPr>
      <w:rPr>
        <w:rFonts w:ascii="Courier New" w:hAnsi="Courier New" w:cs="Courier New" w:hint="default"/>
      </w:rPr>
    </w:lvl>
    <w:lvl w:ilvl="2" w:tplc="04050005">
      <w:start w:val="1"/>
      <w:numFmt w:val="bullet"/>
      <w:lvlText w:val=""/>
      <w:lvlJc w:val="left"/>
      <w:pPr>
        <w:ind w:left="1942" w:hanging="360"/>
      </w:pPr>
      <w:rPr>
        <w:rFonts w:ascii="Wingdings" w:hAnsi="Wingdings" w:hint="default"/>
      </w:rPr>
    </w:lvl>
    <w:lvl w:ilvl="3" w:tplc="04050001">
      <w:start w:val="1"/>
      <w:numFmt w:val="bullet"/>
      <w:lvlText w:val=""/>
      <w:lvlJc w:val="left"/>
      <w:pPr>
        <w:ind w:left="2662" w:hanging="360"/>
      </w:pPr>
      <w:rPr>
        <w:rFonts w:ascii="Symbol" w:hAnsi="Symbol" w:hint="default"/>
      </w:rPr>
    </w:lvl>
    <w:lvl w:ilvl="4" w:tplc="04050003">
      <w:start w:val="1"/>
      <w:numFmt w:val="bullet"/>
      <w:lvlText w:val="o"/>
      <w:lvlJc w:val="left"/>
      <w:pPr>
        <w:ind w:left="3382" w:hanging="360"/>
      </w:pPr>
      <w:rPr>
        <w:rFonts w:ascii="Courier New" w:hAnsi="Courier New" w:cs="Courier New" w:hint="default"/>
      </w:rPr>
    </w:lvl>
    <w:lvl w:ilvl="5" w:tplc="04050005">
      <w:start w:val="1"/>
      <w:numFmt w:val="bullet"/>
      <w:lvlText w:val=""/>
      <w:lvlJc w:val="left"/>
      <w:pPr>
        <w:ind w:left="4102" w:hanging="360"/>
      </w:pPr>
      <w:rPr>
        <w:rFonts w:ascii="Wingdings" w:hAnsi="Wingdings" w:hint="default"/>
      </w:rPr>
    </w:lvl>
    <w:lvl w:ilvl="6" w:tplc="04050001">
      <w:start w:val="1"/>
      <w:numFmt w:val="bullet"/>
      <w:lvlText w:val=""/>
      <w:lvlJc w:val="left"/>
      <w:pPr>
        <w:ind w:left="4822" w:hanging="360"/>
      </w:pPr>
      <w:rPr>
        <w:rFonts w:ascii="Symbol" w:hAnsi="Symbol" w:hint="default"/>
      </w:rPr>
    </w:lvl>
    <w:lvl w:ilvl="7" w:tplc="04050003">
      <w:start w:val="1"/>
      <w:numFmt w:val="bullet"/>
      <w:lvlText w:val="o"/>
      <w:lvlJc w:val="left"/>
      <w:pPr>
        <w:ind w:left="5542" w:hanging="360"/>
      </w:pPr>
      <w:rPr>
        <w:rFonts w:ascii="Courier New" w:hAnsi="Courier New" w:cs="Courier New" w:hint="default"/>
      </w:rPr>
    </w:lvl>
    <w:lvl w:ilvl="8" w:tplc="04050005">
      <w:start w:val="1"/>
      <w:numFmt w:val="bullet"/>
      <w:lvlText w:val=""/>
      <w:lvlJc w:val="left"/>
      <w:pPr>
        <w:ind w:left="6262" w:hanging="360"/>
      </w:pPr>
      <w:rPr>
        <w:rFonts w:ascii="Wingdings" w:hAnsi="Wingdings" w:hint="default"/>
      </w:rPr>
    </w:lvl>
  </w:abstractNum>
  <w:abstractNum w:abstractNumId="63">
    <w:nsid w:val="3D331EFF"/>
    <w:multiLevelType w:val="hybridMultilevel"/>
    <w:tmpl w:val="B5C021A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4">
    <w:nsid w:val="3E8658BA"/>
    <w:multiLevelType w:val="hybridMultilevel"/>
    <w:tmpl w:val="4C6E85A4"/>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Times New Roman"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Times New Roman"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Times New Roman" w:hint="default"/>
      </w:rPr>
    </w:lvl>
    <w:lvl w:ilvl="8" w:tplc="04090005">
      <w:start w:val="1"/>
      <w:numFmt w:val="bullet"/>
      <w:lvlText w:val=""/>
      <w:lvlJc w:val="left"/>
      <w:pPr>
        <w:ind w:left="6262" w:hanging="360"/>
      </w:pPr>
      <w:rPr>
        <w:rFonts w:ascii="Wingdings" w:hAnsi="Wingdings" w:hint="default"/>
      </w:rPr>
    </w:lvl>
  </w:abstractNum>
  <w:abstractNum w:abstractNumId="65">
    <w:nsid w:val="3EAA40CA"/>
    <w:multiLevelType w:val="hybridMultilevel"/>
    <w:tmpl w:val="1F0EC61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nsid w:val="40A71429"/>
    <w:multiLevelType w:val="hybridMultilevel"/>
    <w:tmpl w:val="9A9E224A"/>
    <w:lvl w:ilvl="0" w:tplc="1D824398">
      <w:numFmt w:val="bullet"/>
      <w:lvlText w:val="-"/>
      <w:lvlJc w:val="left"/>
      <w:pPr>
        <w:ind w:left="720" w:hanging="360"/>
      </w:pPr>
      <w:rPr>
        <w:rFonts w:ascii="Times New Roman" w:eastAsia="Calibr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nsid w:val="418D7E04"/>
    <w:multiLevelType w:val="hybridMultilevel"/>
    <w:tmpl w:val="80A24A6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8">
    <w:nsid w:val="41AC2287"/>
    <w:multiLevelType w:val="hybridMultilevel"/>
    <w:tmpl w:val="989E922C"/>
    <w:lvl w:ilvl="0" w:tplc="A6103F66">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nsid w:val="424C2447"/>
    <w:multiLevelType w:val="hybridMultilevel"/>
    <w:tmpl w:val="12523762"/>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0">
    <w:nsid w:val="428954AF"/>
    <w:multiLevelType w:val="hybridMultilevel"/>
    <w:tmpl w:val="24901C8A"/>
    <w:lvl w:ilvl="0" w:tplc="0405000F">
      <w:start w:val="1"/>
      <w:numFmt w:val="bullet"/>
      <w:lvlText w:val=""/>
      <w:lvlJc w:val="left"/>
      <w:pPr>
        <w:tabs>
          <w:tab w:val="num" w:pos="1428"/>
        </w:tabs>
        <w:ind w:left="1428" w:hanging="360"/>
      </w:pPr>
      <w:rPr>
        <w:rFonts w:ascii="Wingdings" w:hAnsi="Wingdings" w:hint="default"/>
      </w:rPr>
    </w:lvl>
    <w:lvl w:ilvl="1" w:tplc="04050019">
      <w:start w:val="1"/>
      <w:numFmt w:val="bullet"/>
      <w:lvlText w:val="o"/>
      <w:lvlJc w:val="left"/>
      <w:pPr>
        <w:tabs>
          <w:tab w:val="num" w:pos="2496"/>
        </w:tabs>
        <w:ind w:left="2496" w:hanging="360"/>
      </w:pPr>
      <w:rPr>
        <w:rFonts w:ascii="Courier New" w:hAnsi="Courier New" w:cs="Courier New" w:hint="default"/>
      </w:rPr>
    </w:lvl>
    <w:lvl w:ilvl="2" w:tplc="0405001B" w:tentative="1">
      <w:start w:val="1"/>
      <w:numFmt w:val="bullet"/>
      <w:lvlText w:val=""/>
      <w:lvlJc w:val="left"/>
      <w:pPr>
        <w:tabs>
          <w:tab w:val="num" w:pos="3216"/>
        </w:tabs>
        <w:ind w:left="3216" w:hanging="360"/>
      </w:pPr>
      <w:rPr>
        <w:rFonts w:ascii="Wingdings" w:hAnsi="Wingdings" w:hint="default"/>
      </w:rPr>
    </w:lvl>
    <w:lvl w:ilvl="3" w:tplc="0405000F" w:tentative="1">
      <w:start w:val="1"/>
      <w:numFmt w:val="bullet"/>
      <w:lvlText w:val=""/>
      <w:lvlJc w:val="left"/>
      <w:pPr>
        <w:tabs>
          <w:tab w:val="num" w:pos="3936"/>
        </w:tabs>
        <w:ind w:left="3936" w:hanging="360"/>
      </w:pPr>
      <w:rPr>
        <w:rFonts w:ascii="Symbol" w:hAnsi="Symbol" w:hint="default"/>
      </w:rPr>
    </w:lvl>
    <w:lvl w:ilvl="4" w:tplc="04050019" w:tentative="1">
      <w:start w:val="1"/>
      <w:numFmt w:val="bullet"/>
      <w:lvlText w:val="o"/>
      <w:lvlJc w:val="left"/>
      <w:pPr>
        <w:tabs>
          <w:tab w:val="num" w:pos="4656"/>
        </w:tabs>
        <w:ind w:left="4656" w:hanging="360"/>
      </w:pPr>
      <w:rPr>
        <w:rFonts w:ascii="Courier New" w:hAnsi="Courier New" w:cs="Courier New" w:hint="default"/>
      </w:rPr>
    </w:lvl>
    <w:lvl w:ilvl="5" w:tplc="0405001B" w:tentative="1">
      <w:start w:val="1"/>
      <w:numFmt w:val="bullet"/>
      <w:lvlText w:val=""/>
      <w:lvlJc w:val="left"/>
      <w:pPr>
        <w:tabs>
          <w:tab w:val="num" w:pos="5376"/>
        </w:tabs>
        <w:ind w:left="5376" w:hanging="360"/>
      </w:pPr>
      <w:rPr>
        <w:rFonts w:ascii="Wingdings" w:hAnsi="Wingdings" w:hint="default"/>
      </w:rPr>
    </w:lvl>
    <w:lvl w:ilvl="6" w:tplc="0405000F" w:tentative="1">
      <w:start w:val="1"/>
      <w:numFmt w:val="bullet"/>
      <w:lvlText w:val=""/>
      <w:lvlJc w:val="left"/>
      <w:pPr>
        <w:tabs>
          <w:tab w:val="num" w:pos="6096"/>
        </w:tabs>
        <w:ind w:left="6096" w:hanging="360"/>
      </w:pPr>
      <w:rPr>
        <w:rFonts w:ascii="Symbol" w:hAnsi="Symbol" w:hint="default"/>
      </w:rPr>
    </w:lvl>
    <w:lvl w:ilvl="7" w:tplc="04050019" w:tentative="1">
      <w:start w:val="1"/>
      <w:numFmt w:val="bullet"/>
      <w:lvlText w:val="o"/>
      <w:lvlJc w:val="left"/>
      <w:pPr>
        <w:tabs>
          <w:tab w:val="num" w:pos="6816"/>
        </w:tabs>
        <w:ind w:left="6816" w:hanging="360"/>
      </w:pPr>
      <w:rPr>
        <w:rFonts w:ascii="Courier New" w:hAnsi="Courier New" w:cs="Courier New" w:hint="default"/>
      </w:rPr>
    </w:lvl>
    <w:lvl w:ilvl="8" w:tplc="0405001B" w:tentative="1">
      <w:start w:val="1"/>
      <w:numFmt w:val="bullet"/>
      <w:lvlText w:val=""/>
      <w:lvlJc w:val="left"/>
      <w:pPr>
        <w:tabs>
          <w:tab w:val="num" w:pos="7536"/>
        </w:tabs>
        <w:ind w:left="7536" w:hanging="360"/>
      </w:pPr>
      <w:rPr>
        <w:rFonts w:ascii="Wingdings" w:hAnsi="Wingdings" w:hint="default"/>
      </w:rPr>
    </w:lvl>
  </w:abstractNum>
  <w:abstractNum w:abstractNumId="71">
    <w:nsid w:val="4539704E"/>
    <w:multiLevelType w:val="hybridMultilevel"/>
    <w:tmpl w:val="7780CDF0"/>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2">
    <w:nsid w:val="4A4C001A"/>
    <w:multiLevelType w:val="hybridMultilevel"/>
    <w:tmpl w:val="1682F5D8"/>
    <w:lvl w:ilvl="0" w:tplc="04050001">
      <w:numFmt w:val="bullet"/>
      <w:lvlText w:val="-"/>
      <w:lvlJc w:val="left"/>
      <w:pPr>
        <w:tabs>
          <w:tab w:val="num" w:pos="1065"/>
        </w:tabs>
        <w:ind w:left="1065"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3">
    <w:nsid w:val="4B1C25E6"/>
    <w:multiLevelType w:val="hybridMultilevel"/>
    <w:tmpl w:val="1E0E826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nsid w:val="4CD662E7"/>
    <w:multiLevelType w:val="hybridMultilevel"/>
    <w:tmpl w:val="F51CCB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nsid w:val="4D877DCE"/>
    <w:multiLevelType w:val="hybridMultilevel"/>
    <w:tmpl w:val="152C8BD4"/>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6">
    <w:nsid w:val="4DBF6A95"/>
    <w:multiLevelType w:val="hybridMultilevel"/>
    <w:tmpl w:val="2C066188"/>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7">
    <w:nsid w:val="4E555B71"/>
    <w:multiLevelType w:val="hybridMultilevel"/>
    <w:tmpl w:val="8AD69D7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nsid w:val="4F813BC1"/>
    <w:multiLevelType w:val="hybridMultilevel"/>
    <w:tmpl w:val="3ACACE0A"/>
    <w:lvl w:ilvl="0" w:tplc="04050017">
      <w:start w:val="1"/>
      <w:numFmt w:val="bullet"/>
      <w:lvlText w:val=""/>
      <w:lvlJc w:val="left"/>
      <w:pPr>
        <w:ind w:left="720" w:hanging="360"/>
      </w:pPr>
      <w:rPr>
        <w:rFonts w:ascii="Symbol" w:hAnsi="Symbol" w:hint="default"/>
      </w:rPr>
    </w:lvl>
    <w:lvl w:ilvl="1" w:tplc="04050019" w:tentative="1">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79">
    <w:nsid w:val="507B39D0"/>
    <w:multiLevelType w:val="hybridMultilevel"/>
    <w:tmpl w:val="21F8A272"/>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Times New Roman"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Times New Roman"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Times New Roman" w:hint="default"/>
      </w:rPr>
    </w:lvl>
    <w:lvl w:ilvl="8" w:tplc="04090005">
      <w:start w:val="1"/>
      <w:numFmt w:val="bullet"/>
      <w:lvlText w:val=""/>
      <w:lvlJc w:val="left"/>
      <w:pPr>
        <w:ind w:left="6262" w:hanging="360"/>
      </w:pPr>
      <w:rPr>
        <w:rFonts w:ascii="Wingdings" w:hAnsi="Wingdings" w:hint="default"/>
      </w:rPr>
    </w:lvl>
  </w:abstractNum>
  <w:abstractNum w:abstractNumId="80">
    <w:nsid w:val="50A335CD"/>
    <w:multiLevelType w:val="hybridMultilevel"/>
    <w:tmpl w:val="4A3EA2E8"/>
    <w:lvl w:ilvl="0" w:tplc="061A5384">
      <w:start w:val="1"/>
      <w:numFmt w:val="bullet"/>
      <w:lvlText w:val=""/>
      <w:lvlJc w:val="left"/>
      <w:pPr>
        <w:ind w:left="720" w:hanging="360"/>
      </w:pPr>
      <w:rPr>
        <w:rFonts w:ascii="Wingdings" w:hAnsi="Wingdings"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nsid w:val="51957614"/>
    <w:multiLevelType w:val="hybridMultilevel"/>
    <w:tmpl w:val="0748C90A"/>
    <w:lvl w:ilvl="0" w:tplc="0405000B">
      <w:start w:val="1"/>
      <w:numFmt w:val="bullet"/>
      <w:lvlText w:val=""/>
      <w:lvlJc w:val="left"/>
      <w:pPr>
        <w:ind w:left="1080" w:hanging="360"/>
      </w:pPr>
      <w:rPr>
        <w:rFonts w:ascii="Wingdings" w:hAnsi="Wingdings"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82">
    <w:nsid w:val="52FC50E0"/>
    <w:multiLevelType w:val="hybridMultilevel"/>
    <w:tmpl w:val="14D476F2"/>
    <w:lvl w:ilvl="0" w:tplc="0405000B">
      <w:start w:val="1"/>
      <w:numFmt w:val="bullet"/>
      <w:lvlText w:val=""/>
      <w:lvlJc w:val="left"/>
      <w:pPr>
        <w:ind w:left="1434" w:hanging="360"/>
      </w:pPr>
      <w:rPr>
        <w:rFonts w:ascii="Symbol" w:hAnsi="Symbol" w:hint="default"/>
        <w:color w:val="auto"/>
        <w:sz w:val="18"/>
        <w:szCs w:val="18"/>
      </w:rPr>
    </w:lvl>
    <w:lvl w:ilvl="1" w:tplc="A23E9C40">
      <w:numFmt w:val="bullet"/>
      <w:lvlText w:val="•"/>
      <w:lvlJc w:val="left"/>
      <w:pPr>
        <w:ind w:left="2154" w:hanging="360"/>
      </w:pPr>
      <w:rPr>
        <w:rFonts w:ascii="Times New Roman" w:eastAsia="Calibri" w:hAnsi="Times New Roman" w:cs="Times New Roman" w:hint="default"/>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83">
    <w:nsid w:val="53AF3AE7"/>
    <w:multiLevelType w:val="hybridMultilevel"/>
    <w:tmpl w:val="CEAC10FC"/>
    <w:lvl w:ilvl="0" w:tplc="0405000B">
      <w:start w:val="1"/>
      <w:numFmt w:val="bullet"/>
      <w:lvlText w:val=""/>
      <w:lvlJc w:val="left"/>
      <w:pPr>
        <w:ind w:left="1080" w:hanging="360"/>
      </w:pPr>
      <w:rPr>
        <w:rFonts w:ascii="Wingdings" w:hAnsi="Wingdings"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84">
    <w:nsid w:val="5500217B"/>
    <w:multiLevelType w:val="hybridMultilevel"/>
    <w:tmpl w:val="2DB62D78"/>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Times New Roman"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Times New Roman"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Times New Roman" w:hint="default"/>
      </w:rPr>
    </w:lvl>
    <w:lvl w:ilvl="8" w:tplc="04090005">
      <w:start w:val="1"/>
      <w:numFmt w:val="bullet"/>
      <w:lvlText w:val=""/>
      <w:lvlJc w:val="left"/>
      <w:pPr>
        <w:ind w:left="6262" w:hanging="360"/>
      </w:pPr>
      <w:rPr>
        <w:rFonts w:ascii="Wingdings" w:hAnsi="Wingdings" w:hint="default"/>
      </w:rPr>
    </w:lvl>
  </w:abstractNum>
  <w:abstractNum w:abstractNumId="85">
    <w:nsid w:val="55FE49A5"/>
    <w:multiLevelType w:val="hybridMultilevel"/>
    <w:tmpl w:val="F2E85936"/>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Times New Roman"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Times New Roman"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Times New Roman" w:hint="default"/>
      </w:rPr>
    </w:lvl>
    <w:lvl w:ilvl="8" w:tplc="04090005">
      <w:start w:val="1"/>
      <w:numFmt w:val="bullet"/>
      <w:lvlText w:val=""/>
      <w:lvlJc w:val="left"/>
      <w:pPr>
        <w:ind w:left="6262" w:hanging="360"/>
      </w:pPr>
      <w:rPr>
        <w:rFonts w:ascii="Wingdings" w:hAnsi="Wingdings" w:hint="default"/>
      </w:rPr>
    </w:lvl>
  </w:abstractNum>
  <w:abstractNum w:abstractNumId="86">
    <w:nsid w:val="58A322B9"/>
    <w:multiLevelType w:val="hybridMultilevel"/>
    <w:tmpl w:val="747E844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7">
    <w:nsid w:val="59764923"/>
    <w:multiLevelType w:val="hybridMultilevel"/>
    <w:tmpl w:val="DB0CE072"/>
    <w:lvl w:ilvl="0" w:tplc="0405000F">
      <w:start w:val="1"/>
      <w:numFmt w:val="decimal"/>
      <w:lvlText w:val="%1."/>
      <w:lvlJc w:val="left"/>
      <w:pPr>
        <w:ind w:left="720" w:hanging="360"/>
      </w:pPr>
    </w:lvl>
    <w:lvl w:ilvl="1" w:tplc="12A45BC2">
      <w:start w:val="1"/>
      <w:numFmt w:val="lowerRoman"/>
      <w:lvlText w:val="(%2)"/>
      <w:lvlJc w:val="left"/>
      <w:pPr>
        <w:ind w:left="1800" w:hanging="72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8">
    <w:nsid w:val="599316C1"/>
    <w:multiLevelType w:val="hybridMultilevel"/>
    <w:tmpl w:val="278A5698"/>
    <w:lvl w:ilvl="0" w:tplc="0809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9">
    <w:nsid w:val="5BD30526"/>
    <w:multiLevelType w:val="hybridMultilevel"/>
    <w:tmpl w:val="5FFE0C20"/>
    <w:lvl w:ilvl="0" w:tplc="0405000B">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90">
    <w:nsid w:val="5C1B384F"/>
    <w:multiLevelType w:val="hybridMultilevel"/>
    <w:tmpl w:val="E7147F8A"/>
    <w:lvl w:ilvl="0" w:tplc="B45E303A">
      <w:start w:val="1"/>
      <w:numFmt w:val="bullet"/>
      <w:lvlText w:val=""/>
      <w:lvlJc w:val="left"/>
      <w:pPr>
        <w:ind w:left="720" w:hanging="360"/>
      </w:pPr>
      <w:rPr>
        <w:rFonts w:ascii="Symbol" w:hAnsi="Symbol" w:hint="default"/>
        <w:color w:val="auto"/>
        <w:sz w:val="22"/>
        <w:szCs w:val="1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nsid w:val="5C2844FB"/>
    <w:multiLevelType w:val="hybridMultilevel"/>
    <w:tmpl w:val="1BF291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nsid w:val="5CF329FC"/>
    <w:multiLevelType w:val="hybridMultilevel"/>
    <w:tmpl w:val="97F07A8C"/>
    <w:lvl w:ilvl="0" w:tplc="3A702C76">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3">
    <w:nsid w:val="5E470C01"/>
    <w:multiLevelType w:val="hybridMultilevel"/>
    <w:tmpl w:val="804EC24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nsid w:val="5E5B0BD7"/>
    <w:multiLevelType w:val="hybridMultilevel"/>
    <w:tmpl w:val="CE6C96CA"/>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5">
    <w:nsid w:val="5F7731E6"/>
    <w:multiLevelType w:val="hybridMultilevel"/>
    <w:tmpl w:val="25D6F0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nsid w:val="604A334C"/>
    <w:multiLevelType w:val="hybridMultilevel"/>
    <w:tmpl w:val="DFC2B8D8"/>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E2D6C65E">
      <w:numFmt w:val="bullet"/>
      <w:lvlText w:val="-"/>
      <w:lvlJc w:val="left"/>
      <w:pPr>
        <w:ind w:left="2160" w:hanging="360"/>
      </w:pPr>
      <w:rPr>
        <w:rFonts w:ascii="Times New Roman" w:eastAsia="Times New Roman" w:hAnsi="Times New Roman" w:cs="Times New Roman"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nsid w:val="60DF186A"/>
    <w:multiLevelType w:val="hybridMultilevel"/>
    <w:tmpl w:val="ABE02E2E"/>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98">
    <w:nsid w:val="613E5DC7"/>
    <w:multiLevelType w:val="hybridMultilevel"/>
    <w:tmpl w:val="D88E68D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9">
    <w:nsid w:val="61B4015E"/>
    <w:multiLevelType w:val="hybridMultilevel"/>
    <w:tmpl w:val="785E4C6C"/>
    <w:lvl w:ilvl="0" w:tplc="C0E0DD2E">
      <w:start w:val="1"/>
      <w:numFmt w:val="lowerRoman"/>
      <w:lvlText w:val="(%1)"/>
      <w:lvlJc w:val="left"/>
      <w:pPr>
        <w:ind w:left="7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0">
    <w:nsid w:val="624F415E"/>
    <w:multiLevelType w:val="hybridMultilevel"/>
    <w:tmpl w:val="19C4EA2A"/>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1">
    <w:nsid w:val="625E7402"/>
    <w:multiLevelType w:val="hybridMultilevel"/>
    <w:tmpl w:val="67942C0A"/>
    <w:lvl w:ilvl="0" w:tplc="0409000B">
      <w:start w:val="1"/>
      <w:numFmt w:val="bullet"/>
      <w:lvlText w:val=""/>
      <w:lvlJc w:val="left"/>
      <w:pPr>
        <w:ind w:left="502"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2">
    <w:nsid w:val="63D1098A"/>
    <w:multiLevelType w:val="hybridMultilevel"/>
    <w:tmpl w:val="2D5C66B0"/>
    <w:lvl w:ilvl="0" w:tplc="0409000B">
      <w:start w:val="1"/>
      <w:numFmt w:val="bullet"/>
      <w:lvlText w:val=""/>
      <w:lvlJc w:val="left"/>
      <w:pPr>
        <w:ind w:left="502" w:hanging="360"/>
      </w:pPr>
      <w:rPr>
        <w:rFonts w:ascii="Wingdings" w:hAnsi="Wingdings" w:hint="default"/>
      </w:rPr>
    </w:lvl>
    <w:lvl w:ilvl="1" w:tplc="16007DC8">
      <w:start w:val="1"/>
      <w:numFmt w:val="bullet"/>
      <w:lvlText w:val="o"/>
      <w:lvlJc w:val="left"/>
      <w:pPr>
        <w:ind w:left="1222" w:hanging="360"/>
      </w:pPr>
      <w:rPr>
        <w:rFonts w:ascii="Courier New" w:hAnsi="Courier New" w:cs="Courier New" w:hint="default"/>
      </w:rPr>
    </w:lvl>
    <w:lvl w:ilvl="2" w:tplc="44C6F6FA">
      <w:start w:val="1"/>
      <w:numFmt w:val="bullet"/>
      <w:lvlText w:val=""/>
      <w:lvlJc w:val="left"/>
      <w:pPr>
        <w:ind w:left="1942" w:hanging="360"/>
      </w:pPr>
      <w:rPr>
        <w:rFonts w:ascii="Wingdings" w:hAnsi="Wingdings" w:hint="default"/>
      </w:rPr>
    </w:lvl>
    <w:lvl w:ilvl="3" w:tplc="5EBE3CCA">
      <w:start w:val="1"/>
      <w:numFmt w:val="bullet"/>
      <w:lvlText w:val=""/>
      <w:lvlJc w:val="left"/>
      <w:pPr>
        <w:ind w:left="2662" w:hanging="360"/>
      </w:pPr>
      <w:rPr>
        <w:rFonts w:ascii="Symbol" w:hAnsi="Symbol" w:hint="default"/>
      </w:rPr>
    </w:lvl>
    <w:lvl w:ilvl="4" w:tplc="A3BE4A48">
      <w:start w:val="1"/>
      <w:numFmt w:val="bullet"/>
      <w:lvlText w:val="o"/>
      <w:lvlJc w:val="left"/>
      <w:pPr>
        <w:ind w:left="3382" w:hanging="360"/>
      </w:pPr>
      <w:rPr>
        <w:rFonts w:ascii="Courier New" w:hAnsi="Courier New" w:cs="Courier New" w:hint="default"/>
      </w:rPr>
    </w:lvl>
    <w:lvl w:ilvl="5" w:tplc="186C612E">
      <w:start w:val="1"/>
      <w:numFmt w:val="bullet"/>
      <w:lvlText w:val=""/>
      <w:lvlJc w:val="left"/>
      <w:pPr>
        <w:ind w:left="4102" w:hanging="360"/>
      </w:pPr>
      <w:rPr>
        <w:rFonts w:ascii="Wingdings" w:hAnsi="Wingdings" w:hint="default"/>
      </w:rPr>
    </w:lvl>
    <w:lvl w:ilvl="6" w:tplc="AEF6C4E6">
      <w:start w:val="1"/>
      <w:numFmt w:val="bullet"/>
      <w:lvlText w:val=""/>
      <w:lvlJc w:val="left"/>
      <w:pPr>
        <w:ind w:left="4822" w:hanging="360"/>
      </w:pPr>
      <w:rPr>
        <w:rFonts w:ascii="Symbol" w:hAnsi="Symbol" w:hint="default"/>
      </w:rPr>
    </w:lvl>
    <w:lvl w:ilvl="7" w:tplc="53742332">
      <w:start w:val="1"/>
      <w:numFmt w:val="bullet"/>
      <w:lvlText w:val="o"/>
      <w:lvlJc w:val="left"/>
      <w:pPr>
        <w:ind w:left="5542" w:hanging="360"/>
      </w:pPr>
      <w:rPr>
        <w:rFonts w:ascii="Courier New" w:hAnsi="Courier New" w:cs="Courier New" w:hint="default"/>
      </w:rPr>
    </w:lvl>
    <w:lvl w:ilvl="8" w:tplc="894ED5DA">
      <w:start w:val="1"/>
      <w:numFmt w:val="bullet"/>
      <w:lvlText w:val=""/>
      <w:lvlJc w:val="left"/>
      <w:pPr>
        <w:ind w:left="6262" w:hanging="360"/>
      </w:pPr>
      <w:rPr>
        <w:rFonts w:ascii="Wingdings" w:hAnsi="Wingdings" w:hint="default"/>
      </w:rPr>
    </w:lvl>
  </w:abstractNum>
  <w:abstractNum w:abstractNumId="103">
    <w:nsid w:val="655D7113"/>
    <w:multiLevelType w:val="hybridMultilevel"/>
    <w:tmpl w:val="556ECE08"/>
    <w:lvl w:ilvl="0" w:tplc="0409000B">
      <w:start w:val="1"/>
      <w:numFmt w:val="bullet"/>
      <w:lvlText w:val=""/>
      <w:lvlJc w:val="left"/>
      <w:pPr>
        <w:ind w:left="502" w:hanging="360"/>
      </w:pPr>
      <w:rPr>
        <w:rFonts w:ascii="Wingdings" w:hAnsi="Wingdings" w:hint="default"/>
      </w:rPr>
    </w:lvl>
    <w:lvl w:ilvl="1" w:tplc="16007DC8">
      <w:start w:val="1"/>
      <w:numFmt w:val="bullet"/>
      <w:lvlText w:val="o"/>
      <w:lvlJc w:val="left"/>
      <w:pPr>
        <w:ind w:left="1222" w:hanging="360"/>
      </w:pPr>
      <w:rPr>
        <w:rFonts w:ascii="Courier New" w:hAnsi="Courier New" w:cs="Courier New" w:hint="default"/>
      </w:rPr>
    </w:lvl>
    <w:lvl w:ilvl="2" w:tplc="44C6F6FA">
      <w:start w:val="1"/>
      <w:numFmt w:val="bullet"/>
      <w:lvlText w:val=""/>
      <w:lvlJc w:val="left"/>
      <w:pPr>
        <w:ind w:left="1942" w:hanging="360"/>
      </w:pPr>
      <w:rPr>
        <w:rFonts w:ascii="Wingdings" w:hAnsi="Wingdings" w:hint="default"/>
      </w:rPr>
    </w:lvl>
    <w:lvl w:ilvl="3" w:tplc="5EBE3CCA">
      <w:start w:val="1"/>
      <w:numFmt w:val="bullet"/>
      <w:lvlText w:val=""/>
      <w:lvlJc w:val="left"/>
      <w:pPr>
        <w:ind w:left="2662" w:hanging="360"/>
      </w:pPr>
      <w:rPr>
        <w:rFonts w:ascii="Symbol" w:hAnsi="Symbol" w:hint="default"/>
      </w:rPr>
    </w:lvl>
    <w:lvl w:ilvl="4" w:tplc="A3BE4A48">
      <w:start w:val="1"/>
      <w:numFmt w:val="bullet"/>
      <w:lvlText w:val="o"/>
      <w:lvlJc w:val="left"/>
      <w:pPr>
        <w:ind w:left="3382" w:hanging="360"/>
      </w:pPr>
      <w:rPr>
        <w:rFonts w:ascii="Courier New" w:hAnsi="Courier New" w:cs="Courier New" w:hint="default"/>
      </w:rPr>
    </w:lvl>
    <w:lvl w:ilvl="5" w:tplc="186C612E">
      <w:start w:val="1"/>
      <w:numFmt w:val="bullet"/>
      <w:lvlText w:val=""/>
      <w:lvlJc w:val="left"/>
      <w:pPr>
        <w:ind w:left="4102" w:hanging="360"/>
      </w:pPr>
      <w:rPr>
        <w:rFonts w:ascii="Wingdings" w:hAnsi="Wingdings" w:hint="default"/>
      </w:rPr>
    </w:lvl>
    <w:lvl w:ilvl="6" w:tplc="AEF6C4E6">
      <w:start w:val="1"/>
      <w:numFmt w:val="bullet"/>
      <w:lvlText w:val=""/>
      <w:lvlJc w:val="left"/>
      <w:pPr>
        <w:ind w:left="4822" w:hanging="360"/>
      </w:pPr>
      <w:rPr>
        <w:rFonts w:ascii="Symbol" w:hAnsi="Symbol" w:hint="default"/>
      </w:rPr>
    </w:lvl>
    <w:lvl w:ilvl="7" w:tplc="53742332">
      <w:start w:val="1"/>
      <w:numFmt w:val="bullet"/>
      <w:lvlText w:val="o"/>
      <w:lvlJc w:val="left"/>
      <w:pPr>
        <w:ind w:left="5542" w:hanging="360"/>
      </w:pPr>
      <w:rPr>
        <w:rFonts w:ascii="Courier New" w:hAnsi="Courier New" w:cs="Courier New" w:hint="default"/>
      </w:rPr>
    </w:lvl>
    <w:lvl w:ilvl="8" w:tplc="894ED5DA">
      <w:start w:val="1"/>
      <w:numFmt w:val="bullet"/>
      <w:lvlText w:val=""/>
      <w:lvlJc w:val="left"/>
      <w:pPr>
        <w:ind w:left="6262" w:hanging="360"/>
      </w:pPr>
      <w:rPr>
        <w:rFonts w:ascii="Wingdings" w:hAnsi="Wingdings" w:hint="default"/>
      </w:rPr>
    </w:lvl>
  </w:abstractNum>
  <w:abstractNum w:abstractNumId="104">
    <w:nsid w:val="66813B91"/>
    <w:multiLevelType w:val="hybridMultilevel"/>
    <w:tmpl w:val="CF2EB9FE"/>
    <w:lvl w:ilvl="0" w:tplc="FFFFFFFF">
      <w:start w:val="1"/>
      <w:numFmt w:val="bullet"/>
      <w:lvlText w:val=""/>
      <w:lvlJc w:val="left"/>
      <w:pPr>
        <w:ind w:left="4188" w:hanging="360"/>
      </w:pPr>
      <w:rPr>
        <w:rFonts w:ascii="Symbol" w:hAnsi="Symbol" w:cs="Symbol" w:hint="default"/>
      </w:rPr>
    </w:lvl>
    <w:lvl w:ilvl="1" w:tplc="FFFFFFFF">
      <w:start w:val="1"/>
      <w:numFmt w:val="bullet"/>
      <w:lvlText w:val="o"/>
      <w:lvlJc w:val="left"/>
      <w:pPr>
        <w:ind w:left="4908" w:hanging="360"/>
      </w:pPr>
      <w:rPr>
        <w:rFonts w:ascii="Courier New" w:hAnsi="Courier New" w:cs="Courier New" w:hint="default"/>
      </w:rPr>
    </w:lvl>
    <w:lvl w:ilvl="2" w:tplc="FFFFFFFF">
      <w:start w:val="1"/>
      <w:numFmt w:val="bullet"/>
      <w:lvlText w:val=""/>
      <w:lvlJc w:val="left"/>
      <w:pPr>
        <w:ind w:left="5628" w:hanging="360"/>
      </w:pPr>
      <w:rPr>
        <w:rFonts w:ascii="Wingdings" w:hAnsi="Wingdings" w:cs="Wingdings" w:hint="default"/>
      </w:rPr>
    </w:lvl>
    <w:lvl w:ilvl="3" w:tplc="FFFFFFFF">
      <w:start w:val="1"/>
      <w:numFmt w:val="bullet"/>
      <w:lvlText w:val=""/>
      <w:lvlJc w:val="left"/>
      <w:pPr>
        <w:ind w:left="6348" w:hanging="360"/>
      </w:pPr>
      <w:rPr>
        <w:rFonts w:ascii="Symbol" w:hAnsi="Symbol" w:cs="Symbol" w:hint="default"/>
      </w:rPr>
    </w:lvl>
    <w:lvl w:ilvl="4" w:tplc="FFFFFFFF">
      <w:start w:val="1"/>
      <w:numFmt w:val="bullet"/>
      <w:lvlText w:val="o"/>
      <w:lvlJc w:val="left"/>
      <w:pPr>
        <w:ind w:left="7068" w:hanging="360"/>
      </w:pPr>
      <w:rPr>
        <w:rFonts w:ascii="Courier New" w:hAnsi="Courier New" w:cs="Courier New" w:hint="default"/>
      </w:rPr>
    </w:lvl>
    <w:lvl w:ilvl="5" w:tplc="FFFFFFFF">
      <w:start w:val="1"/>
      <w:numFmt w:val="bullet"/>
      <w:lvlText w:val=""/>
      <w:lvlJc w:val="left"/>
      <w:pPr>
        <w:ind w:left="7788" w:hanging="360"/>
      </w:pPr>
      <w:rPr>
        <w:rFonts w:ascii="Wingdings" w:hAnsi="Wingdings" w:cs="Wingdings" w:hint="default"/>
      </w:rPr>
    </w:lvl>
    <w:lvl w:ilvl="6" w:tplc="FFFFFFFF">
      <w:start w:val="1"/>
      <w:numFmt w:val="bullet"/>
      <w:lvlText w:val=""/>
      <w:lvlJc w:val="left"/>
      <w:pPr>
        <w:ind w:left="8508" w:hanging="360"/>
      </w:pPr>
      <w:rPr>
        <w:rFonts w:ascii="Symbol" w:hAnsi="Symbol" w:cs="Symbol" w:hint="default"/>
      </w:rPr>
    </w:lvl>
    <w:lvl w:ilvl="7" w:tplc="FFFFFFFF">
      <w:start w:val="1"/>
      <w:numFmt w:val="bullet"/>
      <w:lvlText w:val="o"/>
      <w:lvlJc w:val="left"/>
      <w:pPr>
        <w:ind w:left="9228" w:hanging="360"/>
      </w:pPr>
      <w:rPr>
        <w:rFonts w:ascii="Courier New" w:hAnsi="Courier New" w:cs="Courier New" w:hint="default"/>
      </w:rPr>
    </w:lvl>
    <w:lvl w:ilvl="8" w:tplc="FFFFFFFF">
      <w:start w:val="1"/>
      <w:numFmt w:val="bullet"/>
      <w:lvlText w:val=""/>
      <w:lvlJc w:val="left"/>
      <w:pPr>
        <w:ind w:left="9948" w:hanging="360"/>
      </w:pPr>
      <w:rPr>
        <w:rFonts w:ascii="Wingdings" w:hAnsi="Wingdings" w:cs="Wingdings" w:hint="default"/>
      </w:rPr>
    </w:lvl>
  </w:abstractNum>
  <w:abstractNum w:abstractNumId="105">
    <w:nsid w:val="670B57E5"/>
    <w:multiLevelType w:val="hybridMultilevel"/>
    <w:tmpl w:val="45CE7818"/>
    <w:lvl w:ilvl="0" w:tplc="04050003">
      <w:numFmt w:val="bullet"/>
      <w:lvlText w:val="-"/>
      <w:lvlJc w:val="left"/>
      <w:pPr>
        <w:ind w:left="720" w:hanging="360"/>
      </w:pPr>
      <w:rPr>
        <w:rFonts w:ascii="Arial" w:eastAsia="Times New Roman" w:hAnsi="Arial" w:cs="Arial" w:hint="default"/>
      </w:rPr>
    </w:lvl>
    <w:lvl w:ilvl="1" w:tplc="04050003">
      <w:start w:val="1"/>
      <w:numFmt w:val="lowerLetter"/>
      <w:lvlText w:val="%2."/>
      <w:lvlJc w:val="left"/>
      <w:pPr>
        <w:ind w:left="1440" w:hanging="360"/>
      </w:pPr>
    </w:lvl>
    <w:lvl w:ilvl="2" w:tplc="04050005">
      <w:start w:val="1"/>
      <w:numFmt w:val="lowerRoman"/>
      <w:lvlText w:val="%3."/>
      <w:lvlJc w:val="right"/>
      <w:pPr>
        <w:ind w:left="2160" w:hanging="180"/>
      </w:pPr>
    </w:lvl>
    <w:lvl w:ilvl="3" w:tplc="04050001">
      <w:start w:val="1"/>
      <w:numFmt w:val="decimal"/>
      <w:lvlText w:val="%4."/>
      <w:lvlJc w:val="left"/>
      <w:pPr>
        <w:ind w:left="2880" w:hanging="360"/>
      </w:pPr>
    </w:lvl>
    <w:lvl w:ilvl="4" w:tplc="04050003">
      <w:start w:val="1"/>
      <w:numFmt w:val="lowerLetter"/>
      <w:lvlText w:val="%5."/>
      <w:lvlJc w:val="left"/>
      <w:pPr>
        <w:ind w:left="3600" w:hanging="360"/>
      </w:pPr>
    </w:lvl>
    <w:lvl w:ilvl="5" w:tplc="04050005">
      <w:start w:val="1"/>
      <w:numFmt w:val="lowerRoman"/>
      <w:lvlText w:val="%6."/>
      <w:lvlJc w:val="right"/>
      <w:pPr>
        <w:ind w:left="4320" w:hanging="180"/>
      </w:pPr>
    </w:lvl>
    <w:lvl w:ilvl="6" w:tplc="04050001">
      <w:start w:val="1"/>
      <w:numFmt w:val="decimal"/>
      <w:lvlText w:val="%7."/>
      <w:lvlJc w:val="left"/>
      <w:pPr>
        <w:ind w:left="5040" w:hanging="360"/>
      </w:pPr>
    </w:lvl>
    <w:lvl w:ilvl="7" w:tplc="04050003">
      <w:start w:val="1"/>
      <w:numFmt w:val="lowerLetter"/>
      <w:lvlText w:val="%8."/>
      <w:lvlJc w:val="left"/>
      <w:pPr>
        <w:ind w:left="5760" w:hanging="360"/>
      </w:pPr>
    </w:lvl>
    <w:lvl w:ilvl="8" w:tplc="04050005">
      <w:start w:val="1"/>
      <w:numFmt w:val="lowerRoman"/>
      <w:lvlText w:val="%9."/>
      <w:lvlJc w:val="right"/>
      <w:pPr>
        <w:ind w:left="6480" w:hanging="180"/>
      </w:pPr>
    </w:lvl>
  </w:abstractNum>
  <w:abstractNum w:abstractNumId="106">
    <w:nsid w:val="67127CD2"/>
    <w:multiLevelType w:val="hybridMultilevel"/>
    <w:tmpl w:val="021C6F1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7">
    <w:nsid w:val="679D3533"/>
    <w:multiLevelType w:val="hybridMultilevel"/>
    <w:tmpl w:val="43FC8918"/>
    <w:lvl w:ilvl="0" w:tplc="C0E0DD2E">
      <w:start w:val="1"/>
      <w:numFmt w:val="lowerRoman"/>
      <w:lvlText w:val="(%1)"/>
      <w:lvlJc w:val="left"/>
      <w:pPr>
        <w:ind w:left="7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8">
    <w:nsid w:val="695A7AF8"/>
    <w:multiLevelType w:val="hybridMultilevel"/>
    <w:tmpl w:val="AF0AC27C"/>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9">
    <w:nsid w:val="6AF80105"/>
    <w:multiLevelType w:val="hybridMultilevel"/>
    <w:tmpl w:val="DA7C645E"/>
    <w:lvl w:ilvl="0" w:tplc="1B46C434">
      <w:start w:val="3"/>
      <w:numFmt w:val="bullet"/>
      <w:lvlText w:val="-"/>
      <w:lvlJc w:val="left"/>
      <w:pPr>
        <w:tabs>
          <w:tab w:val="num" w:pos="1068"/>
        </w:tabs>
        <w:ind w:left="1068" w:hanging="360"/>
      </w:pPr>
      <w:rPr>
        <w:rFonts w:ascii="Times New Roman" w:eastAsia="Times New Roman" w:hAnsi="Times New Roman" w:cs="Times New Roman" w:hint="default"/>
      </w:rPr>
    </w:lvl>
    <w:lvl w:ilvl="1" w:tplc="04050019">
      <w:start w:val="1"/>
      <w:numFmt w:val="bullet"/>
      <w:lvlText w:val="o"/>
      <w:lvlJc w:val="left"/>
      <w:pPr>
        <w:tabs>
          <w:tab w:val="num" w:pos="1788"/>
        </w:tabs>
        <w:ind w:left="1788" w:hanging="360"/>
      </w:pPr>
      <w:rPr>
        <w:rFonts w:ascii="Courier New" w:hAnsi="Courier New" w:cs="Courier New" w:hint="default"/>
      </w:rPr>
    </w:lvl>
    <w:lvl w:ilvl="2" w:tplc="0405001B" w:tentative="1">
      <w:start w:val="1"/>
      <w:numFmt w:val="bullet"/>
      <w:lvlText w:val=""/>
      <w:lvlJc w:val="left"/>
      <w:pPr>
        <w:tabs>
          <w:tab w:val="num" w:pos="2508"/>
        </w:tabs>
        <w:ind w:left="2508" w:hanging="360"/>
      </w:pPr>
      <w:rPr>
        <w:rFonts w:ascii="Wingdings" w:hAnsi="Wingdings" w:hint="default"/>
      </w:rPr>
    </w:lvl>
    <w:lvl w:ilvl="3" w:tplc="0405000F" w:tentative="1">
      <w:start w:val="1"/>
      <w:numFmt w:val="bullet"/>
      <w:lvlText w:val=""/>
      <w:lvlJc w:val="left"/>
      <w:pPr>
        <w:tabs>
          <w:tab w:val="num" w:pos="3228"/>
        </w:tabs>
        <w:ind w:left="3228" w:hanging="360"/>
      </w:pPr>
      <w:rPr>
        <w:rFonts w:ascii="Symbol" w:hAnsi="Symbol" w:hint="default"/>
      </w:rPr>
    </w:lvl>
    <w:lvl w:ilvl="4" w:tplc="04050019" w:tentative="1">
      <w:start w:val="1"/>
      <w:numFmt w:val="bullet"/>
      <w:lvlText w:val="o"/>
      <w:lvlJc w:val="left"/>
      <w:pPr>
        <w:tabs>
          <w:tab w:val="num" w:pos="3948"/>
        </w:tabs>
        <w:ind w:left="3948" w:hanging="360"/>
      </w:pPr>
      <w:rPr>
        <w:rFonts w:ascii="Courier New" w:hAnsi="Courier New" w:cs="Courier New" w:hint="default"/>
      </w:rPr>
    </w:lvl>
    <w:lvl w:ilvl="5" w:tplc="0405001B" w:tentative="1">
      <w:start w:val="1"/>
      <w:numFmt w:val="bullet"/>
      <w:lvlText w:val=""/>
      <w:lvlJc w:val="left"/>
      <w:pPr>
        <w:tabs>
          <w:tab w:val="num" w:pos="4668"/>
        </w:tabs>
        <w:ind w:left="4668" w:hanging="360"/>
      </w:pPr>
      <w:rPr>
        <w:rFonts w:ascii="Wingdings" w:hAnsi="Wingdings" w:hint="default"/>
      </w:rPr>
    </w:lvl>
    <w:lvl w:ilvl="6" w:tplc="0405000F" w:tentative="1">
      <w:start w:val="1"/>
      <w:numFmt w:val="bullet"/>
      <w:lvlText w:val=""/>
      <w:lvlJc w:val="left"/>
      <w:pPr>
        <w:tabs>
          <w:tab w:val="num" w:pos="5388"/>
        </w:tabs>
        <w:ind w:left="5388" w:hanging="360"/>
      </w:pPr>
      <w:rPr>
        <w:rFonts w:ascii="Symbol" w:hAnsi="Symbol" w:hint="default"/>
      </w:rPr>
    </w:lvl>
    <w:lvl w:ilvl="7" w:tplc="04050019" w:tentative="1">
      <w:start w:val="1"/>
      <w:numFmt w:val="bullet"/>
      <w:lvlText w:val="o"/>
      <w:lvlJc w:val="left"/>
      <w:pPr>
        <w:tabs>
          <w:tab w:val="num" w:pos="6108"/>
        </w:tabs>
        <w:ind w:left="6108" w:hanging="360"/>
      </w:pPr>
      <w:rPr>
        <w:rFonts w:ascii="Courier New" w:hAnsi="Courier New" w:cs="Courier New" w:hint="default"/>
      </w:rPr>
    </w:lvl>
    <w:lvl w:ilvl="8" w:tplc="0405001B" w:tentative="1">
      <w:start w:val="1"/>
      <w:numFmt w:val="bullet"/>
      <w:lvlText w:val=""/>
      <w:lvlJc w:val="left"/>
      <w:pPr>
        <w:tabs>
          <w:tab w:val="num" w:pos="6828"/>
        </w:tabs>
        <w:ind w:left="6828" w:hanging="360"/>
      </w:pPr>
      <w:rPr>
        <w:rFonts w:ascii="Wingdings" w:hAnsi="Wingdings" w:hint="default"/>
      </w:rPr>
    </w:lvl>
  </w:abstractNum>
  <w:abstractNum w:abstractNumId="110">
    <w:nsid w:val="6B3759A2"/>
    <w:multiLevelType w:val="hybridMultilevel"/>
    <w:tmpl w:val="C44AD0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1">
    <w:nsid w:val="6BB956EE"/>
    <w:multiLevelType w:val="hybridMultilevel"/>
    <w:tmpl w:val="758849F4"/>
    <w:lvl w:ilvl="0" w:tplc="C0E0DD2E">
      <w:start w:val="1"/>
      <w:numFmt w:val="lowerRoman"/>
      <w:lvlText w:val="(%1)"/>
      <w:lvlJc w:val="left"/>
      <w:pPr>
        <w:ind w:left="780" w:hanging="720"/>
      </w:pPr>
      <w:rPr>
        <w:rFonts w:hint="default"/>
      </w:rPr>
    </w:lvl>
    <w:lvl w:ilvl="1" w:tplc="04050019" w:tentative="1">
      <w:start w:val="1"/>
      <w:numFmt w:val="lowerLetter"/>
      <w:lvlText w:val="%2."/>
      <w:lvlJc w:val="left"/>
      <w:pPr>
        <w:ind w:left="1140" w:hanging="360"/>
      </w:pPr>
    </w:lvl>
    <w:lvl w:ilvl="2" w:tplc="0405001B" w:tentative="1">
      <w:start w:val="1"/>
      <w:numFmt w:val="lowerRoman"/>
      <w:lvlText w:val="%3."/>
      <w:lvlJc w:val="right"/>
      <w:pPr>
        <w:ind w:left="1860" w:hanging="180"/>
      </w:pPr>
    </w:lvl>
    <w:lvl w:ilvl="3" w:tplc="0405000F" w:tentative="1">
      <w:start w:val="1"/>
      <w:numFmt w:val="decimal"/>
      <w:lvlText w:val="%4."/>
      <w:lvlJc w:val="left"/>
      <w:pPr>
        <w:ind w:left="2580" w:hanging="360"/>
      </w:pPr>
    </w:lvl>
    <w:lvl w:ilvl="4" w:tplc="04050019" w:tentative="1">
      <w:start w:val="1"/>
      <w:numFmt w:val="lowerLetter"/>
      <w:lvlText w:val="%5."/>
      <w:lvlJc w:val="left"/>
      <w:pPr>
        <w:ind w:left="3300" w:hanging="360"/>
      </w:pPr>
    </w:lvl>
    <w:lvl w:ilvl="5" w:tplc="0405001B" w:tentative="1">
      <w:start w:val="1"/>
      <w:numFmt w:val="lowerRoman"/>
      <w:lvlText w:val="%6."/>
      <w:lvlJc w:val="right"/>
      <w:pPr>
        <w:ind w:left="4020" w:hanging="180"/>
      </w:pPr>
    </w:lvl>
    <w:lvl w:ilvl="6" w:tplc="0405000F" w:tentative="1">
      <w:start w:val="1"/>
      <w:numFmt w:val="decimal"/>
      <w:lvlText w:val="%7."/>
      <w:lvlJc w:val="left"/>
      <w:pPr>
        <w:ind w:left="4740" w:hanging="360"/>
      </w:pPr>
    </w:lvl>
    <w:lvl w:ilvl="7" w:tplc="04050019" w:tentative="1">
      <w:start w:val="1"/>
      <w:numFmt w:val="lowerLetter"/>
      <w:lvlText w:val="%8."/>
      <w:lvlJc w:val="left"/>
      <w:pPr>
        <w:ind w:left="5460" w:hanging="360"/>
      </w:pPr>
    </w:lvl>
    <w:lvl w:ilvl="8" w:tplc="0405001B" w:tentative="1">
      <w:start w:val="1"/>
      <w:numFmt w:val="lowerRoman"/>
      <w:lvlText w:val="%9."/>
      <w:lvlJc w:val="right"/>
      <w:pPr>
        <w:ind w:left="6180" w:hanging="180"/>
      </w:pPr>
    </w:lvl>
  </w:abstractNum>
  <w:abstractNum w:abstractNumId="112">
    <w:nsid w:val="6DE71124"/>
    <w:multiLevelType w:val="hybridMultilevel"/>
    <w:tmpl w:val="AD5071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3">
    <w:nsid w:val="6E3A7CC2"/>
    <w:multiLevelType w:val="multilevel"/>
    <w:tmpl w:val="F04E89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4">
    <w:nsid w:val="70570948"/>
    <w:multiLevelType w:val="hybridMultilevel"/>
    <w:tmpl w:val="82C09C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5">
    <w:nsid w:val="70DE3E0E"/>
    <w:multiLevelType w:val="hybridMultilevel"/>
    <w:tmpl w:val="E3A84AFC"/>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Times New Roman"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Times New Roman"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Times New Roman" w:hint="default"/>
      </w:rPr>
    </w:lvl>
    <w:lvl w:ilvl="8" w:tplc="04090005">
      <w:start w:val="1"/>
      <w:numFmt w:val="bullet"/>
      <w:lvlText w:val=""/>
      <w:lvlJc w:val="left"/>
      <w:pPr>
        <w:ind w:left="6262" w:hanging="360"/>
      </w:pPr>
      <w:rPr>
        <w:rFonts w:ascii="Wingdings" w:hAnsi="Wingdings" w:hint="default"/>
      </w:rPr>
    </w:lvl>
  </w:abstractNum>
  <w:abstractNum w:abstractNumId="116">
    <w:nsid w:val="71B87F0E"/>
    <w:multiLevelType w:val="hybridMultilevel"/>
    <w:tmpl w:val="FF505492"/>
    <w:lvl w:ilvl="0" w:tplc="0409000B">
      <w:start w:val="1"/>
      <w:numFmt w:val="bullet"/>
      <w:lvlText w:val=""/>
      <w:lvlJc w:val="left"/>
      <w:pPr>
        <w:ind w:left="502"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7">
    <w:nsid w:val="722075DD"/>
    <w:multiLevelType w:val="hybridMultilevel"/>
    <w:tmpl w:val="6E648AE8"/>
    <w:lvl w:ilvl="0" w:tplc="781A1204">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18">
    <w:nsid w:val="72E225AB"/>
    <w:multiLevelType w:val="hybridMultilevel"/>
    <w:tmpl w:val="9C4A4C54"/>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Times New Roman"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Times New Roman"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Times New Roman" w:hint="default"/>
      </w:rPr>
    </w:lvl>
    <w:lvl w:ilvl="8" w:tplc="04090005">
      <w:start w:val="1"/>
      <w:numFmt w:val="bullet"/>
      <w:lvlText w:val=""/>
      <w:lvlJc w:val="left"/>
      <w:pPr>
        <w:ind w:left="6262" w:hanging="360"/>
      </w:pPr>
      <w:rPr>
        <w:rFonts w:ascii="Wingdings" w:hAnsi="Wingdings" w:hint="default"/>
      </w:rPr>
    </w:lvl>
  </w:abstractNum>
  <w:abstractNum w:abstractNumId="119">
    <w:nsid w:val="72E8013E"/>
    <w:multiLevelType w:val="hybridMultilevel"/>
    <w:tmpl w:val="AE14B0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0">
    <w:nsid w:val="745A623B"/>
    <w:multiLevelType w:val="hybridMultilevel"/>
    <w:tmpl w:val="7C5AF75A"/>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21">
    <w:nsid w:val="748F5243"/>
    <w:multiLevelType w:val="hybridMultilevel"/>
    <w:tmpl w:val="FE720D22"/>
    <w:lvl w:ilvl="0" w:tplc="04050001">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2">
    <w:nsid w:val="75871D5A"/>
    <w:multiLevelType w:val="hybridMultilevel"/>
    <w:tmpl w:val="D74C3C8A"/>
    <w:lvl w:ilvl="0" w:tplc="04050011">
      <w:start w:val="2"/>
      <w:numFmt w:val="bullet"/>
      <w:lvlText w:val="-"/>
      <w:lvlJc w:val="left"/>
      <w:pPr>
        <w:ind w:left="360" w:hanging="360"/>
      </w:pPr>
      <w:rPr>
        <w:rFonts w:ascii="Calibri" w:eastAsia="Times New Roman" w:hAnsi="Calibri" w:hint="default"/>
      </w:rPr>
    </w:lvl>
    <w:lvl w:ilvl="1" w:tplc="04050019">
      <w:start w:val="1"/>
      <w:numFmt w:val="bullet"/>
      <w:lvlText w:val="o"/>
      <w:lvlJc w:val="left"/>
      <w:pPr>
        <w:ind w:left="1080" w:hanging="360"/>
      </w:pPr>
      <w:rPr>
        <w:rFonts w:ascii="Courier New" w:hAnsi="Courier New" w:hint="default"/>
      </w:rPr>
    </w:lvl>
    <w:lvl w:ilvl="2" w:tplc="0405001B">
      <w:start w:val="1"/>
      <w:numFmt w:val="bullet"/>
      <w:lvlText w:val=""/>
      <w:lvlJc w:val="left"/>
      <w:pPr>
        <w:ind w:left="1800" w:hanging="360"/>
      </w:pPr>
      <w:rPr>
        <w:rFonts w:ascii="Wingdings" w:hAnsi="Wingdings" w:hint="default"/>
      </w:rPr>
    </w:lvl>
    <w:lvl w:ilvl="3" w:tplc="0405000F">
      <w:start w:val="1"/>
      <w:numFmt w:val="bullet"/>
      <w:lvlText w:val=""/>
      <w:lvlJc w:val="left"/>
      <w:pPr>
        <w:ind w:left="2520" w:hanging="360"/>
      </w:pPr>
      <w:rPr>
        <w:rFonts w:ascii="Symbol" w:hAnsi="Symbol" w:hint="default"/>
      </w:rPr>
    </w:lvl>
    <w:lvl w:ilvl="4" w:tplc="04050019">
      <w:start w:val="1"/>
      <w:numFmt w:val="bullet"/>
      <w:lvlText w:val="o"/>
      <w:lvlJc w:val="left"/>
      <w:pPr>
        <w:ind w:left="3240" w:hanging="360"/>
      </w:pPr>
      <w:rPr>
        <w:rFonts w:ascii="Courier New" w:hAnsi="Courier New" w:hint="default"/>
      </w:rPr>
    </w:lvl>
    <w:lvl w:ilvl="5" w:tplc="0405001B">
      <w:start w:val="1"/>
      <w:numFmt w:val="bullet"/>
      <w:lvlText w:val=""/>
      <w:lvlJc w:val="left"/>
      <w:pPr>
        <w:ind w:left="3960" w:hanging="360"/>
      </w:pPr>
      <w:rPr>
        <w:rFonts w:ascii="Wingdings" w:hAnsi="Wingdings" w:hint="default"/>
      </w:rPr>
    </w:lvl>
    <w:lvl w:ilvl="6" w:tplc="0405000F">
      <w:start w:val="1"/>
      <w:numFmt w:val="bullet"/>
      <w:lvlText w:val=""/>
      <w:lvlJc w:val="left"/>
      <w:pPr>
        <w:ind w:left="4680" w:hanging="360"/>
      </w:pPr>
      <w:rPr>
        <w:rFonts w:ascii="Symbol" w:hAnsi="Symbol" w:hint="default"/>
      </w:rPr>
    </w:lvl>
    <w:lvl w:ilvl="7" w:tplc="04050019">
      <w:start w:val="1"/>
      <w:numFmt w:val="bullet"/>
      <w:lvlText w:val="o"/>
      <w:lvlJc w:val="left"/>
      <w:pPr>
        <w:ind w:left="5400" w:hanging="360"/>
      </w:pPr>
      <w:rPr>
        <w:rFonts w:ascii="Courier New" w:hAnsi="Courier New" w:hint="default"/>
      </w:rPr>
    </w:lvl>
    <w:lvl w:ilvl="8" w:tplc="0405001B">
      <w:start w:val="1"/>
      <w:numFmt w:val="bullet"/>
      <w:lvlText w:val=""/>
      <w:lvlJc w:val="left"/>
      <w:pPr>
        <w:ind w:left="6120" w:hanging="360"/>
      </w:pPr>
      <w:rPr>
        <w:rFonts w:ascii="Wingdings" w:hAnsi="Wingdings" w:hint="default"/>
      </w:rPr>
    </w:lvl>
  </w:abstractNum>
  <w:abstractNum w:abstractNumId="123">
    <w:nsid w:val="7696210E"/>
    <w:multiLevelType w:val="hybridMultilevel"/>
    <w:tmpl w:val="78C49364"/>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Times New Roman"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Times New Roman"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Times New Roman" w:hint="default"/>
      </w:rPr>
    </w:lvl>
    <w:lvl w:ilvl="8" w:tplc="04090005">
      <w:start w:val="1"/>
      <w:numFmt w:val="bullet"/>
      <w:lvlText w:val=""/>
      <w:lvlJc w:val="left"/>
      <w:pPr>
        <w:ind w:left="6262" w:hanging="360"/>
      </w:pPr>
      <w:rPr>
        <w:rFonts w:ascii="Wingdings" w:hAnsi="Wingdings" w:hint="default"/>
      </w:rPr>
    </w:lvl>
  </w:abstractNum>
  <w:abstractNum w:abstractNumId="124">
    <w:nsid w:val="771D5D92"/>
    <w:multiLevelType w:val="hybridMultilevel"/>
    <w:tmpl w:val="FB7A36F4"/>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25">
    <w:nsid w:val="779D1BF7"/>
    <w:multiLevelType w:val="hybridMultilevel"/>
    <w:tmpl w:val="D26AE88C"/>
    <w:lvl w:ilvl="0" w:tplc="840E7F80">
      <w:start w:val="1"/>
      <w:numFmt w:val="bullet"/>
      <w:lvlText w:val="-"/>
      <w:lvlJc w:val="left"/>
      <w:pPr>
        <w:ind w:left="360" w:hanging="360"/>
      </w:pPr>
      <w:rPr>
        <w:rFonts w:ascii="Times New Roman" w:eastAsia="Calibri"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6">
    <w:nsid w:val="78C32F14"/>
    <w:multiLevelType w:val="hybridMultilevel"/>
    <w:tmpl w:val="A1CEF3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7">
    <w:nsid w:val="7B67772B"/>
    <w:multiLevelType w:val="hybridMultilevel"/>
    <w:tmpl w:val="FD10E88E"/>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Times New Roman"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Times New Roman"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Times New Roman" w:hint="default"/>
      </w:rPr>
    </w:lvl>
    <w:lvl w:ilvl="8" w:tplc="04090005">
      <w:start w:val="1"/>
      <w:numFmt w:val="bullet"/>
      <w:lvlText w:val=""/>
      <w:lvlJc w:val="left"/>
      <w:pPr>
        <w:ind w:left="6262" w:hanging="360"/>
      </w:pPr>
      <w:rPr>
        <w:rFonts w:ascii="Wingdings" w:hAnsi="Wingdings" w:hint="default"/>
      </w:rPr>
    </w:lvl>
  </w:abstractNum>
  <w:abstractNum w:abstractNumId="128">
    <w:nsid w:val="7D197A6A"/>
    <w:multiLevelType w:val="hybridMultilevel"/>
    <w:tmpl w:val="286C18E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9">
    <w:nsid w:val="7E2A6FEA"/>
    <w:multiLevelType w:val="multilevel"/>
    <w:tmpl w:val="7246585A"/>
    <w:lvl w:ilvl="0">
      <w:start w:val="1"/>
      <w:numFmt w:val="decimal"/>
      <w:lvlText w:val="%1)"/>
      <w:lvlJc w:val="left"/>
      <w:pPr>
        <w:tabs>
          <w:tab w:val="num" w:pos="720"/>
        </w:tabs>
        <w:ind w:left="720" w:hanging="360"/>
      </w:pPr>
      <w:rPr>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nsid w:val="7E490DAF"/>
    <w:multiLevelType w:val="hybridMultilevel"/>
    <w:tmpl w:val="300473A0"/>
    <w:lvl w:ilvl="0" w:tplc="0409000B">
      <w:start w:val="1"/>
      <w:numFmt w:val="bullet"/>
      <w:lvlText w:val=""/>
      <w:lvlJc w:val="left"/>
      <w:pPr>
        <w:ind w:left="502"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31">
    <w:nsid w:val="7E6B19C3"/>
    <w:multiLevelType w:val="multilevel"/>
    <w:tmpl w:val="211A30A6"/>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32">
    <w:nsid w:val="7E9268D1"/>
    <w:multiLevelType w:val="hybridMultilevel"/>
    <w:tmpl w:val="E396A30C"/>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Times New Roman"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Times New Roman"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Times New Roman" w:hint="default"/>
      </w:rPr>
    </w:lvl>
    <w:lvl w:ilvl="8" w:tplc="04090005">
      <w:start w:val="1"/>
      <w:numFmt w:val="bullet"/>
      <w:lvlText w:val=""/>
      <w:lvlJc w:val="left"/>
      <w:pPr>
        <w:ind w:left="6262" w:hanging="360"/>
      </w:pPr>
      <w:rPr>
        <w:rFonts w:ascii="Wingdings" w:hAnsi="Wingdings" w:hint="default"/>
      </w:rPr>
    </w:lvl>
  </w:abstractNum>
  <w:abstractNum w:abstractNumId="133">
    <w:nsid w:val="7E9E38CA"/>
    <w:multiLevelType w:val="hybridMultilevel"/>
    <w:tmpl w:val="DB0CE072"/>
    <w:lvl w:ilvl="0" w:tplc="0405000F">
      <w:start w:val="1"/>
      <w:numFmt w:val="decimal"/>
      <w:lvlText w:val="%1."/>
      <w:lvlJc w:val="left"/>
      <w:pPr>
        <w:ind w:left="720" w:hanging="360"/>
      </w:pPr>
    </w:lvl>
    <w:lvl w:ilvl="1" w:tplc="12A45BC2">
      <w:start w:val="1"/>
      <w:numFmt w:val="lowerRoman"/>
      <w:lvlText w:val="(%2)"/>
      <w:lvlJc w:val="left"/>
      <w:pPr>
        <w:ind w:left="1800" w:hanging="72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4">
    <w:nsid w:val="7F8C6C9A"/>
    <w:multiLevelType w:val="hybridMultilevel"/>
    <w:tmpl w:val="538CA9D8"/>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5">
    <w:nsid w:val="7F972743"/>
    <w:multiLevelType w:val="hybridMultilevel"/>
    <w:tmpl w:val="FEA0FDA8"/>
    <w:lvl w:ilvl="0" w:tplc="0409000B">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Times New Roman"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Times New Roman"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Times New Roman" w:hint="default"/>
      </w:rPr>
    </w:lvl>
    <w:lvl w:ilvl="8" w:tplc="04090005">
      <w:start w:val="1"/>
      <w:numFmt w:val="bullet"/>
      <w:lvlText w:val=""/>
      <w:lvlJc w:val="left"/>
      <w:pPr>
        <w:ind w:left="6262" w:hanging="360"/>
      </w:pPr>
      <w:rPr>
        <w:rFonts w:ascii="Wingdings" w:hAnsi="Wingdings" w:hint="default"/>
      </w:rPr>
    </w:lvl>
  </w:abstractNum>
  <w:num w:numId="1">
    <w:abstractNumId w:val="9"/>
  </w:num>
  <w:num w:numId="2">
    <w:abstractNumId w:val="49"/>
  </w:num>
  <w:num w:numId="3">
    <w:abstractNumId w:val="13"/>
  </w:num>
  <w:num w:numId="4">
    <w:abstractNumId w:val="78"/>
  </w:num>
  <w:num w:numId="5">
    <w:abstractNumId w:val="89"/>
  </w:num>
  <w:num w:numId="6">
    <w:abstractNumId w:val="36"/>
  </w:num>
  <w:num w:numId="7">
    <w:abstractNumId w:val="51"/>
  </w:num>
  <w:num w:numId="8">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6"/>
  </w:num>
  <w:num w:numId="11">
    <w:abstractNumId w:val="122"/>
  </w:num>
  <w:num w:numId="12">
    <w:abstractNumId w:val="68"/>
  </w:num>
  <w:num w:numId="13">
    <w:abstractNumId w:val="66"/>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60"/>
  </w:num>
  <w:num w:numId="17">
    <w:abstractNumId w:val="48"/>
  </w:num>
  <w:num w:numId="18">
    <w:abstractNumId w:val="82"/>
  </w:num>
  <w:num w:numId="19">
    <w:abstractNumId w:val="78"/>
  </w:num>
  <w:num w:numId="20">
    <w:abstractNumId w:val="83"/>
  </w:num>
  <w:num w:numId="21">
    <w:abstractNumId w:val="103"/>
  </w:num>
  <w:num w:numId="22">
    <w:abstractNumId w:val="102"/>
  </w:num>
  <w:num w:numId="23">
    <w:abstractNumId w:val="33"/>
  </w:num>
  <w:num w:numId="24">
    <w:abstractNumId w:val="61"/>
  </w:num>
  <w:num w:numId="25">
    <w:abstractNumId w:val="15"/>
  </w:num>
  <w:num w:numId="26">
    <w:abstractNumId w:val="85"/>
  </w:num>
  <w:num w:numId="27">
    <w:abstractNumId w:val="63"/>
  </w:num>
  <w:num w:numId="28">
    <w:abstractNumId w:val="101"/>
  </w:num>
  <w:num w:numId="29">
    <w:abstractNumId w:val="44"/>
  </w:num>
  <w:num w:numId="30">
    <w:abstractNumId w:val="40"/>
  </w:num>
  <w:num w:numId="31">
    <w:abstractNumId w:val="116"/>
  </w:num>
  <w:num w:numId="32">
    <w:abstractNumId w:val="24"/>
  </w:num>
  <w:num w:numId="33">
    <w:abstractNumId w:val="130"/>
  </w:num>
  <w:num w:numId="34">
    <w:abstractNumId w:val="20"/>
  </w:num>
  <w:num w:numId="35">
    <w:abstractNumId w:val="86"/>
  </w:num>
  <w:num w:numId="36">
    <w:abstractNumId w:val="53"/>
  </w:num>
  <w:num w:numId="37">
    <w:abstractNumId w:val="26"/>
  </w:num>
  <w:num w:numId="38">
    <w:abstractNumId w:val="80"/>
  </w:num>
  <w:num w:numId="39">
    <w:abstractNumId w:val="29"/>
  </w:num>
  <w:num w:numId="40">
    <w:abstractNumId w:val="123"/>
  </w:num>
  <w:num w:numId="41">
    <w:abstractNumId w:val="127"/>
  </w:num>
  <w:num w:numId="42">
    <w:abstractNumId w:val="0"/>
  </w:num>
  <w:num w:numId="43">
    <w:abstractNumId w:val="115"/>
  </w:num>
  <w:num w:numId="44">
    <w:abstractNumId w:val="21"/>
  </w:num>
  <w:num w:numId="45">
    <w:abstractNumId w:val="84"/>
  </w:num>
  <w:num w:numId="46">
    <w:abstractNumId w:val="28"/>
  </w:num>
  <w:num w:numId="47">
    <w:abstractNumId w:val="11"/>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8"/>
  </w:num>
  <w:num w:numId="49">
    <w:abstractNumId w:val="10"/>
  </w:num>
  <w:num w:numId="50">
    <w:abstractNumId w:val="9"/>
    <w:lvlOverride w:ilvl="0">
      <w:startOverride w:val="1"/>
    </w:lvlOverride>
    <w:lvlOverride w:ilvl="1">
      <w:startOverride w:val="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4"/>
  </w:num>
  <w:num w:numId="52">
    <w:abstractNumId w:val="67"/>
  </w:num>
  <w:num w:numId="53">
    <w:abstractNumId w:val="38"/>
  </w:num>
  <w:num w:numId="54">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31"/>
  </w:num>
  <w:num w:numId="74">
    <w:abstractNumId w:val="14"/>
  </w:num>
  <w:num w:numId="75">
    <w:abstractNumId w:val="55"/>
  </w:num>
  <w:num w:numId="76">
    <w:abstractNumId w:val="31"/>
  </w:num>
  <w:num w:numId="77">
    <w:abstractNumId w:val="56"/>
  </w:num>
  <w:num w:numId="78">
    <w:abstractNumId w:val="50"/>
  </w:num>
  <w:num w:numId="79">
    <w:abstractNumId w:val="74"/>
  </w:num>
  <w:num w:numId="80">
    <w:abstractNumId w:val="106"/>
  </w:num>
  <w:num w:numId="81">
    <w:abstractNumId w:val="72"/>
  </w:num>
  <w:num w:numId="82">
    <w:abstractNumId w:val="42"/>
  </w:num>
  <w:num w:numId="83">
    <w:abstractNumId w:val="109"/>
  </w:num>
  <w:num w:numId="84">
    <w:abstractNumId w:val="70"/>
  </w:num>
  <w:num w:numId="85">
    <w:abstractNumId w:val="121"/>
  </w:num>
  <w:num w:numId="86">
    <w:abstractNumId w:val="2"/>
  </w:num>
  <w:num w:numId="8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29"/>
    <w:lvlOverride w:ilvl="0">
      <w:startOverride w:val="1"/>
    </w:lvlOverride>
    <w:lvlOverride w:ilvl="1"/>
    <w:lvlOverride w:ilvl="2"/>
    <w:lvlOverride w:ilvl="3"/>
    <w:lvlOverride w:ilvl="4"/>
    <w:lvlOverride w:ilvl="5"/>
    <w:lvlOverride w:ilvl="6"/>
    <w:lvlOverride w:ilvl="7"/>
    <w:lvlOverride w:ilvl="8"/>
  </w:num>
  <w:num w:numId="9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
  </w:num>
  <w:num w:numId="93">
    <w:abstractNumId w:val="96"/>
  </w:num>
  <w:num w:numId="94">
    <w:abstractNumId w:val="126"/>
  </w:num>
  <w:num w:numId="95">
    <w:abstractNumId w:val="114"/>
  </w:num>
  <w:num w:numId="96">
    <w:abstractNumId w:val="34"/>
  </w:num>
  <w:num w:numId="97">
    <w:abstractNumId w:val="8"/>
  </w:num>
  <w:num w:numId="98">
    <w:abstractNumId w:val="59"/>
  </w:num>
  <w:num w:numId="99">
    <w:abstractNumId w:val="125"/>
  </w:num>
  <w:num w:numId="100">
    <w:abstractNumId w:val="45"/>
  </w:num>
  <w:num w:numId="101">
    <w:abstractNumId w:val="46"/>
  </w:num>
  <w:num w:numId="102">
    <w:abstractNumId w:val="128"/>
  </w:num>
  <w:num w:numId="103">
    <w:abstractNumId w:val="3"/>
  </w:num>
  <w:num w:numId="104">
    <w:abstractNumId w:val="30"/>
  </w:num>
  <w:num w:numId="105">
    <w:abstractNumId w:val="81"/>
  </w:num>
  <w:num w:numId="106">
    <w:abstractNumId w:val="80"/>
  </w:num>
  <w:num w:numId="107">
    <w:abstractNumId w:val="104"/>
  </w:num>
  <w:num w:numId="108">
    <w:abstractNumId w:val="110"/>
  </w:num>
  <w:num w:numId="109">
    <w:abstractNumId w:val="90"/>
  </w:num>
  <w:num w:numId="110">
    <w:abstractNumId w:val="108"/>
  </w:num>
  <w:num w:numId="111">
    <w:abstractNumId w:val="69"/>
  </w:num>
  <w:num w:numId="112">
    <w:abstractNumId w:val="81"/>
  </w:num>
  <w:num w:numId="113">
    <w:abstractNumId w:val="96"/>
  </w:num>
  <w:num w:numId="114">
    <w:abstractNumId w:val="113"/>
  </w:num>
  <w:num w:numId="115">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87"/>
  </w:num>
  <w:num w:numId="128">
    <w:abstractNumId w:val="27"/>
  </w:num>
  <w:num w:numId="129">
    <w:abstractNumId w:val="133"/>
  </w:num>
  <w:num w:numId="130">
    <w:abstractNumId w:val="112"/>
  </w:num>
  <w:num w:numId="131">
    <w:abstractNumId w:val="39"/>
  </w:num>
  <w:num w:numId="132">
    <w:abstractNumId w:val="32"/>
  </w:num>
  <w:num w:numId="133">
    <w:abstractNumId w:val="18"/>
  </w:num>
  <w:num w:numId="134">
    <w:abstractNumId w:val="22"/>
  </w:num>
  <w:num w:numId="135">
    <w:abstractNumId w:val="111"/>
  </w:num>
  <w:num w:numId="136">
    <w:abstractNumId w:val="12"/>
  </w:num>
  <w:num w:numId="137">
    <w:abstractNumId w:val="99"/>
  </w:num>
  <w:num w:numId="138">
    <w:abstractNumId w:val="107"/>
  </w:num>
  <w:num w:numId="139">
    <w:abstractNumId w:val="52"/>
  </w:num>
  <w:num w:numId="140">
    <w:abstractNumId w:val="6"/>
  </w:num>
  <w:num w:numId="141">
    <w:abstractNumId w:val="73"/>
  </w:num>
  <w:num w:numId="142">
    <w:abstractNumId w:val="100"/>
  </w:num>
  <w:num w:numId="143">
    <w:abstractNumId w:val="57"/>
  </w:num>
  <w:num w:numId="144">
    <w:abstractNumId w:val="65"/>
  </w:num>
  <w:num w:numId="145">
    <w:abstractNumId w:val="98"/>
  </w:num>
  <w:num w:numId="146">
    <w:abstractNumId w:val="94"/>
  </w:num>
  <w:num w:numId="147">
    <w:abstractNumId w:val="75"/>
  </w:num>
  <w:num w:numId="148">
    <w:abstractNumId w:val="93"/>
  </w:num>
  <w:num w:numId="149">
    <w:abstractNumId w:val="77"/>
  </w:num>
  <w:num w:numId="150">
    <w:abstractNumId w:val="95"/>
  </w:num>
  <w:num w:numId="151">
    <w:abstractNumId w:val="25"/>
  </w:num>
  <w:num w:numId="152">
    <w:abstractNumId w:val="35"/>
  </w:num>
  <w:num w:numId="153">
    <w:abstractNumId w:val="92"/>
  </w:num>
  <w:num w:numId="154">
    <w:abstractNumId w:val="88"/>
  </w:num>
  <w:num w:numId="155">
    <w:abstractNumId w:val="54"/>
  </w:num>
  <w:num w:numId="156">
    <w:abstractNumId w:val="119"/>
  </w:num>
  <w:num w:numId="157">
    <w:abstractNumId w:val="37"/>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F78"/>
    <w:rsid w:val="000003DE"/>
    <w:rsid w:val="000004C4"/>
    <w:rsid w:val="0000073A"/>
    <w:rsid w:val="000007F1"/>
    <w:rsid w:val="00000A37"/>
    <w:rsid w:val="00000B7B"/>
    <w:rsid w:val="0000100B"/>
    <w:rsid w:val="0000136A"/>
    <w:rsid w:val="00001EFF"/>
    <w:rsid w:val="0000216D"/>
    <w:rsid w:val="000025DA"/>
    <w:rsid w:val="00002D5C"/>
    <w:rsid w:val="000042BD"/>
    <w:rsid w:val="00006212"/>
    <w:rsid w:val="000065E3"/>
    <w:rsid w:val="000067BE"/>
    <w:rsid w:val="0000685A"/>
    <w:rsid w:val="0000699C"/>
    <w:rsid w:val="00007E51"/>
    <w:rsid w:val="00010121"/>
    <w:rsid w:val="00010599"/>
    <w:rsid w:val="0001095D"/>
    <w:rsid w:val="00010A57"/>
    <w:rsid w:val="00010F45"/>
    <w:rsid w:val="00010F5E"/>
    <w:rsid w:val="00011B2E"/>
    <w:rsid w:val="00011B38"/>
    <w:rsid w:val="00012E2B"/>
    <w:rsid w:val="00013132"/>
    <w:rsid w:val="00013806"/>
    <w:rsid w:val="00013BC4"/>
    <w:rsid w:val="000144E0"/>
    <w:rsid w:val="00014546"/>
    <w:rsid w:val="0001485F"/>
    <w:rsid w:val="00014A82"/>
    <w:rsid w:val="0001516A"/>
    <w:rsid w:val="000157FF"/>
    <w:rsid w:val="00015DE4"/>
    <w:rsid w:val="00016833"/>
    <w:rsid w:val="00020A2C"/>
    <w:rsid w:val="00020B51"/>
    <w:rsid w:val="00020D06"/>
    <w:rsid w:val="00021563"/>
    <w:rsid w:val="00021A8E"/>
    <w:rsid w:val="00021CD6"/>
    <w:rsid w:val="00021D19"/>
    <w:rsid w:val="00022F6B"/>
    <w:rsid w:val="0002396B"/>
    <w:rsid w:val="00024229"/>
    <w:rsid w:val="000243C4"/>
    <w:rsid w:val="000247B4"/>
    <w:rsid w:val="00024E80"/>
    <w:rsid w:val="00025E8A"/>
    <w:rsid w:val="000262D3"/>
    <w:rsid w:val="000274BE"/>
    <w:rsid w:val="0002759D"/>
    <w:rsid w:val="000276BF"/>
    <w:rsid w:val="000302B7"/>
    <w:rsid w:val="000302BD"/>
    <w:rsid w:val="0003089A"/>
    <w:rsid w:val="0003186E"/>
    <w:rsid w:val="00032C30"/>
    <w:rsid w:val="00032CE4"/>
    <w:rsid w:val="00032DC5"/>
    <w:rsid w:val="0003367D"/>
    <w:rsid w:val="00033C0B"/>
    <w:rsid w:val="00034090"/>
    <w:rsid w:val="00034D47"/>
    <w:rsid w:val="00035AF3"/>
    <w:rsid w:val="00035F34"/>
    <w:rsid w:val="000366FC"/>
    <w:rsid w:val="00036F03"/>
    <w:rsid w:val="0003711B"/>
    <w:rsid w:val="000371AB"/>
    <w:rsid w:val="000374FB"/>
    <w:rsid w:val="000400C4"/>
    <w:rsid w:val="00040175"/>
    <w:rsid w:val="000403BC"/>
    <w:rsid w:val="00040423"/>
    <w:rsid w:val="00040884"/>
    <w:rsid w:val="00040A0F"/>
    <w:rsid w:val="00040D73"/>
    <w:rsid w:val="0004109A"/>
    <w:rsid w:val="00041452"/>
    <w:rsid w:val="00041962"/>
    <w:rsid w:val="00041CFD"/>
    <w:rsid w:val="00041E9C"/>
    <w:rsid w:val="00042A0B"/>
    <w:rsid w:val="00042A28"/>
    <w:rsid w:val="000436CA"/>
    <w:rsid w:val="00043A60"/>
    <w:rsid w:val="000442A2"/>
    <w:rsid w:val="00044769"/>
    <w:rsid w:val="00044A2E"/>
    <w:rsid w:val="00044CD4"/>
    <w:rsid w:val="00044DBF"/>
    <w:rsid w:val="00045E62"/>
    <w:rsid w:val="00046EE3"/>
    <w:rsid w:val="00046F67"/>
    <w:rsid w:val="0005034F"/>
    <w:rsid w:val="0005046D"/>
    <w:rsid w:val="0005306D"/>
    <w:rsid w:val="000530C3"/>
    <w:rsid w:val="00053A97"/>
    <w:rsid w:val="00053C5C"/>
    <w:rsid w:val="00053F0B"/>
    <w:rsid w:val="00053FF1"/>
    <w:rsid w:val="000540C5"/>
    <w:rsid w:val="0005451A"/>
    <w:rsid w:val="00054B6A"/>
    <w:rsid w:val="0005513E"/>
    <w:rsid w:val="000553DF"/>
    <w:rsid w:val="000557A9"/>
    <w:rsid w:val="00055878"/>
    <w:rsid w:val="0005628A"/>
    <w:rsid w:val="0005637F"/>
    <w:rsid w:val="00056849"/>
    <w:rsid w:val="000568F8"/>
    <w:rsid w:val="00056D9E"/>
    <w:rsid w:val="00057BAC"/>
    <w:rsid w:val="00057C66"/>
    <w:rsid w:val="00057E55"/>
    <w:rsid w:val="00060810"/>
    <w:rsid w:val="0006098E"/>
    <w:rsid w:val="000615D7"/>
    <w:rsid w:val="000619F7"/>
    <w:rsid w:val="00061FC9"/>
    <w:rsid w:val="00062B7D"/>
    <w:rsid w:val="00062BFA"/>
    <w:rsid w:val="000630A6"/>
    <w:rsid w:val="0006323E"/>
    <w:rsid w:val="00063BD6"/>
    <w:rsid w:val="00064151"/>
    <w:rsid w:val="00064248"/>
    <w:rsid w:val="00064A2C"/>
    <w:rsid w:val="00064A4A"/>
    <w:rsid w:val="0006633B"/>
    <w:rsid w:val="0006737B"/>
    <w:rsid w:val="00067414"/>
    <w:rsid w:val="00067724"/>
    <w:rsid w:val="00067D17"/>
    <w:rsid w:val="00070691"/>
    <w:rsid w:val="000716F5"/>
    <w:rsid w:val="000719B4"/>
    <w:rsid w:val="00072FB7"/>
    <w:rsid w:val="0007381E"/>
    <w:rsid w:val="00073CC2"/>
    <w:rsid w:val="00073F76"/>
    <w:rsid w:val="00074334"/>
    <w:rsid w:val="000744CB"/>
    <w:rsid w:val="00074A16"/>
    <w:rsid w:val="00074D57"/>
    <w:rsid w:val="00074F10"/>
    <w:rsid w:val="00075442"/>
    <w:rsid w:val="00076E2F"/>
    <w:rsid w:val="0007702B"/>
    <w:rsid w:val="00077198"/>
    <w:rsid w:val="00077575"/>
    <w:rsid w:val="00077A55"/>
    <w:rsid w:val="00080086"/>
    <w:rsid w:val="0008084B"/>
    <w:rsid w:val="000811A2"/>
    <w:rsid w:val="000816CF"/>
    <w:rsid w:val="00081CDF"/>
    <w:rsid w:val="00081E7B"/>
    <w:rsid w:val="000823C2"/>
    <w:rsid w:val="00082EEB"/>
    <w:rsid w:val="000830FF"/>
    <w:rsid w:val="0008342E"/>
    <w:rsid w:val="000838C7"/>
    <w:rsid w:val="00083C5E"/>
    <w:rsid w:val="000840F2"/>
    <w:rsid w:val="00085671"/>
    <w:rsid w:val="00085A8A"/>
    <w:rsid w:val="000869D2"/>
    <w:rsid w:val="00087867"/>
    <w:rsid w:val="00090035"/>
    <w:rsid w:val="000901C0"/>
    <w:rsid w:val="00090FAD"/>
    <w:rsid w:val="00091B15"/>
    <w:rsid w:val="00091C56"/>
    <w:rsid w:val="000927BC"/>
    <w:rsid w:val="000928BC"/>
    <w:rsid w:val="000928D1"/>
    <w:rsid w:val="000944C5"/>
    <w:rsid w:val="00094CAF"/>
    <w:rsid w:val="00094FA9"/>
    <w:rsid w:val="00095E6A"/>
    <w:rsid w:val="000964C6"/>
    <w:rsid w:val="00096761"/>
    <w:rsid w:val="00096993"/>
    <w:rsid w:val="000970C4"/>
    <w:rsid w:val="0009773B"/>
    <w:rsid w:val="00097BDC"/>
    <w:rsid w:val="000A1601"/>
    <w:rsid w:val="000A27E5"/>
    <w:rsid w:val="000A28D2"/>
    <w:rsid w:val="000A3247"/>
    <w:rsid w:val="000A3B5E"/>
    <w:rsid w:val="000A40E0"/>
    <w:rsid w:val="000A4950"/>
    <w:rsid w:val="000A4B78"/>
    <w:rsid w:val="000A5D90"/>
    <w:rsid w:val="000A5EC8"/>
    <w:rsid w:val="000A5FE7"/>
    <w:rsid w:val="000A6395"/>
    <w:rsid w:val="000A648E"/>
    <w:rsid w:val="000A6C11"/>
    <w:rsid w:val="000A76E8"/>
    <w:rsid w:val="000A7CAB"/>
    <w:rsid w:val="000B0623"/>
    <w:rsid w:val="000B1121"/>
    <w:rsid w:val="000B15D4"/>
    <w:rsid w:val="000B1634"/>
    <w:rsid w:val="000B1F9F"/>
    <w:rsid w:val="000B46F1"/>
    <w:rsid w:val="000B48A2"/>
    <w:rsid w:val="000B521F"/>
    <w:rsid w:val="000B5637"/>
    <w:rsid w:val="000B5E3A"/>
    <w:rsid w:val="000B5EE9"/>
    <w:rsid w:val="000B65A8"/>
    <w:rsid w:val="000B6C71"/>
    <w:rsid w:val="000B75EB"/>
    <w:rsid w:val="000C16D7"/>
    <w:rsid w:val="000C1AD4"/>
    <w:rsid w:val="000C1FA7"/>
    <w:rsid w:val="000C280D"/>
    <w:rsid w:val="000C2892"/>
    <w:rsid w:val="000C2B6D"/>
    <w:rsid w:val="000C331F"/>
    <w:rsid w:val="000C3757"/>
    <w:rsid w:val="000C3DE1"/>
    <w:rsid w:val="000C40C4"/>
    <w:rsid w:val="000C49F1"/>
    <w:rsid w:val="000C4F8A"/>
    <w:rsid w:val="000C5A73"/>
    <w:rsid w:val="000C5D76"/>
    <w:rsid w:val="000C6D3B"/>
    <w:rsid w:val="000C7472"/>
    <w:rsid w:val="000C765E"/>
    <w:rsid w:val="000C7A77"/>
    <w:rsid w:val="000C7C11"/>
    <w:rsid w:val="000C7C9B"/>
    <w:rsid w:val="000C7FB0"/>
    <w:rsid w:val="000D0ACF"/>
    <w:rsid w:val="000D1004"/>
    <w:rsid w:val="000D12F1"/>
    <w:rsid w:val="000D14B7"/>
    <w:rsid w:val="000D1D53"/>
    <w:rsid w:val="000D202D"/>
    <w:rsid w:val="000D2DC0"/>
    <w:rsid w:val="000D2EFC"/>
    <w:rsid w:val="000D399F"/>
    <w:rsid w:val="000D5356"/>
    <w:rsid w:val="000D5A84"/>
    <w:rsid w:val="000D5F0E"/>
    <w:rsid w:val="000D64A9"/>
    <w:rsid w:val="000D6841"/>
    <w:rsid w:val="000D6DDA"/>
    <w:rsid w:val="000E0DAA"/>
    <w:rsid w:val="000E1177"/>
    <w:rsid w:val="000E13C2"/>
    <w:rsid w:val="000E209A"/>
    <w:rsid w:val="000E388C"/>
    <w:rsid w:val="000E3F7D"/>
    <w:rsid w:val="000E476F"/>
    <w:rsid w:val="000E5DE2"/>
    <w:rsid w:val="000E687B"/>
    <w:rsid w:val="000E7A1D"/>
    <w:rsid w:val="000F0409"/>
    <w:rsid w:val="000F0471"/>
    <w:rsid w:val="000F0A75"/>
    <w:rsid w:val="000F1722"/>
    <w:rsid w:val="000F1A57"/>
    <w:rsid w:val="000F1BF0"/>
    <w:rsid w:val="000F1C33"/>
    <w:rsid w:val="000F201C"/>
    <w:rsid w:val="000F2614"/>
    <w:rsid w:val="000F38D8"/>
    <w:rsid w:val="000F4304"/>
    <w:rsid w:val="000F44F6"/>
    <w:rsid w:val="000F4DD6"/>
    <w:rsid w:val="000F4F42"/>
    <w:rsid w:val="000F597B"/>
    <w:rsid w:val="000F6E0E"/>
    <w:rsid w:val="000F6E58"/>
    <w:rsid w:val="000F7077"/>
    <w:rsid w:val="000F79B8"/>
    <w:rsid w:val="000F7B33"/>
    <w:rsid w:val="0010021A"/>
    <w:rsid w:val="001004CE"/>
    <w:rsid w:val="00101A42"/>
    <w:rsid w:val="0010220A"/>
    <w:rsid w:val="0010318D"/>
    <w:rsid w:val="0010319E"/>
    <w:rsid w:val="00103654"/>
    <w:rsid w:val="001043E4"/>
    <w:rsid w:val="00104754"/>
    <w:rsid w:val="00104E95"/>
    <w:rsid w:val="00105937"/>
    <w:rsid w:val="00106515"/>
    <w:rsid w:val="00107D26"/>
    <w:rsid w:val="00110386"/>
    <w:rsid w:val="0011069E"/>
    <w:rsid w:val="00110EDC"/>
    <w:rsid w:val="0011141C"/>
    <w:rsid w:val="00111480"/>
    <w:rsid w:val="0011196F"/>
    <w:rsid w:val="00111E62"/>
    <w:rsid w:val="001133E7"/>
    <w:rsid w:val="00113809"/>
    <w:rsid w:val="00113824"/>
    <w:rsid w:val="00114147"/>
    <w:rsid w:val="0011415D"/>
    <w:rsid w:val="00114433"/>
    <w:rsid w:val="001160FE"/>
    <w:rsid w:val="00117037"/>
    <w:rsid w:val="0011761C"/>
    <w:rsid w:val="00117DAF"/>
    <w:rsid w:val="001205A7"/>
    <w:rsid w:val="00120CBF"/>
    <w:rsid w:val="00121603"/>
    <w:rsid w:val="0012227F"/>
    <w:rsid w:val="0012336E"/>
    <w:rsid w:val="00123618"/>
    <w:rsid w:val="00123719"/>
    <w:rsid w:val="00123ABB"/>
    <w:rsid w:val="00123CF5"/>
    <w:rsid w:val="00124760"/>
    <w:rsid w:val="0012490A"/>
    <w:rsid w:val="00124ED6"/>
    <w:rsid w:val="00124F4E"/>
    <w:rsid w:val="001250D8"/>
    <w:rsid w:val="00125499"/>
    <w:rsid w:val="00125842"/>
    <w:rsid w:val="0012625F"/>
    <w:rsid w:val="00126773"/>
    <w:rsid w:val="001271B0"/>
    <w:rsid w:val="00127BF9"/>
    <w:rsid w:val="00127F8A"/>
    <w:rsid w:val="0013080F"/>
    <w:rsid w:val="00131255"/>
    <w:rsid w:val="00131B6A"/>
    <w:rsid w:val="00131E00"/>
    <w:rsid w:val="001322FB"/>
    <w:rsid w:val="00132431"/>
    <w:rsid w:val="001332BD"/>
    <w:rsid w:val="00133A50"/>
    <w:rsid w:val="00133A9F"/>
    <w:rsid w:val="001340D8"/>
    <w:rsid w:val="001344E8"/>
    <w:rsid w:val="00134D0E"/>
    <w:rsid w:val="001355F4"/>
    <w:rsid w:val="00135608"/>
    <w:rsid w:val="00136606"/>
    <w:rsid w:val="001366DF"/>
    <w:rsid w:val="00136DC5"/>
    <w:rsid w:val="0014056D"/>
    <w:rsid w:val="00141215"/>
    <w:rsid w:val="001424E7"/>
    <w:rsid w:val="00142D9B"/>
    <w:rsid w:val="00143064"/>
    <w:rsid w:val="00143DCF"/>
    <w:rsid w:val="00143FF6"/>
    <w:rsid w:val="00144143"/>
    <w:rsid w:val="001444C5"/>
    <w:rsid w:val="00145322"/>
    <w:rsid w:val="00146499"/>
    <w:rsid w:val="00146733"/>
    <w:rsid w:val="00147E03"/>
    <w:rsid w:val="00147E55"/>
    <w:rsid w:val="00150321"/>
    <w:rsid w:val="0015039F"/>
    <w:rsid w:val="00150476"/>
    <w:rsid w:val="0015071C"/>
    <w:rsid w:val="001508E6"/>
    <w:rsid w:val="001512A0"/>
    <w:rsid w:val="001516AD"/>
    <w:rsid w:val="00151BF3"/>
    <w:rsid w:val="00151F4B"/>
    <w:rsid w:val="00152702"/>
    <w:rsid w:val="00152950"/>
    <w:rsid w:val="00152B34"/>
    <w:rsid w:val="00152C8F"/>
    <w:rsid w:val="00153BC1"/>
    <w:rsid w:val="00155E3D"/>
    <w:rsid w:val="0015622A"/>
    <w:rsid w:val="00156C04"/>
    <w:rsid w:val="00156D69"/>
    <w:rsid w:val="00160EEA"/>
    <w:rsid w:val="00160EFF"/>
    <w:rsid w:val="00161312"/>
    <w:rsid w:val="00161762"/>
    <w:rsid w:val="00161EF6"/>
    <w:rsid w:val="001628BB"/>
    <w:rsid w:val="00163392"/>
    <w:rsid w:val="001637C5"/>
    <w:rsid w:val="0016585F"/>
    <w:rsid w:val="0016609F"/>
    <w:rsid w:val="00166DFE"/>
    <w:rsid w:val="00167930"/>
    <w:rsid w:val="001703E4"/>
    <w:rsid w:val="001705CD"/>
    <w:rsid w:val="001706B7"/>
    <w:rsid w:val="001708DD"/>
    <w:rsid w:val="00170C79"/>
    <w:rsid w:val="001731C2"/>
    <w:rsid w:val="00173641"/>
    <w:rsid w:val="0017387C"/>
    <w:rsid w:val="00173A5C"/>
    <w:rsid w:val="0017453F"/>
    <w:rsid w:val="00174A44"/>
    <w:rsid w:val="00175CE7"/>
    <w:rsid w:val="0017677C"/>
    <w:rsid w:val="0017720B"/>
    <w:rsid w:val="0017743A"/>
    <w:rsid w:val="0018040B"/>
    <w:rsid w:val="0018106D"/>
    <w:rsid w:val="00182357"/>
    <w:rsid w:val="00182892"/>
    <w:rsid w:val="00183301"/>
    <w:rsid w:val="00183615"/>
    <w:rsid w:val="00184E26"/>
    <w:rsid w:val="0018559D"/>
    <w:rsid w:val="001861FC"/>
    <w:rsid w:val="0018754F"/>
    <w:rsid w:val="00187654"/>
    <w:rsid w:val="00187DF1"/>
    <w:rsid w:val="00190C69"/>
    <w:rsid w:val="0019145B"/>
    <w:rsid w:val="001925B2"/>
    <w:rsid w:val="00192939"/>
    <w:rsid w:val="001932FA"/>
    <w:rsid w:val="00193BAC"/>
    <w:rsid w:val="001940FE"/>
    <w:rsid w:val="0019474F"/>
    <w:rsid w:val="001947D5"/>
    <w:rsid w:val="00194907"/>
    <w:rsid w:val="001964EE"/>
    <w:rsid w:val="00196E92"/>
    <w:rsid w:val="0019742F"/>
    <w:rsid w:val="001978FA"/>
    <w:rsid w:val="001A0893"/>
    <w:rsid w:val="001A11E0"/>
    <w:rsid w:val="001A13C7"/>
    <w:rsid w:val="001A1839"/>
    <w:rsid w:val="001A18C6"/>
    <w:rsid w:val="001A2258"/>
    <w:rsid w:val="001A271F"/>
    <w:rsid w:val="001A2BAE"/>
    <w:rsid w:val="001A2C52"/>
    <w:rsid w:val="001A3162"/>
    <w:rsid w:val="001A3EEB"/>
    <w:rsid w:val="001A4463"/>
    <w:rsid w:val="001A45C7"/>
    <w:rsid w:val="001A47E7"/>
    <w:rsid w:val="001A4D51"/>
    <w:rsid w:val="001A6D74"/>
    <w:rsid w:val="001A6FE6"/>
    <w:rsid w:val="001B1010"/>
    <w:rsid w:val="001B1068"/>
    <w:rsid w:val="001B1165"/>
    <w:rsid w:val="001B169F"/>
    <w:rsid w:val="001B318C"/>
    <w:rsid w:val="001B4345"/>
    <w:rsid w:val="001B63EA"/>
    <w:rsid w:val="001B6A86"/>
    <w:rsid w:val="001B6E79"/>
    <w:rsid w:val="001B7322"/>
    <w:rsid w:val="001B7804"/>
    <w:rsid w:val="001B787A"/>
    <w:rsid w:val="001B78B4"/>
    <w:rsid w:val="001B7C29"/>
    <w:rsid w:val="001C207E"/>
    <w:rsid w:val="001C354D"/>
    <w:rsid w:val="001C3B6F"/>
    <w:rsid w:val="001C3E2F"/>
    <w:rsid w:val="001C432C"/>
    <w:rsid w:val="001C43AD"/>
    <w:rsid w:val="001C4A1E"/>
    <w:rsid w:val="001C51D1"/>
    <w:rsid w:val="001C562E"/>
    <w:rsid w:val="001C58C1"/>
    <w:rsid w:val="001C654C"/>
    <w:rsid w:val="001C6753"/>
    <w:rsid w:val="001D0780"/>
    <w:rsid w:val="001D0AE1"/>
    <w:rsid w:val="001D1557"/>
    <w:rsid w:val="001D173A"/>
    <w:rsid w:val="001D19F9"/>
    <w:rsid w:val="001D1C85"/>
    <w:rsid w:val="001D2D57"/>
    <w:rsid w:val="001D2DA3"/>
    <w:rsid w:val="001D2F76"/>
    <w:rsid w:val="001D335A"/>
    <w:rsid w:val="001D5680"/>
    <w:rsid w:val="001D77B6"/>
    <w:rsid w:val="001D79C0"/>
    <w:rsid w:val="001D7DB3"/>
    <w:rsid w:val="001D7FD2"/>
    <w:rsid w:val="001E0978"/>
    <w:rsid w:val="001E17A7"/>
    <w:rsid w:val="001E189A"/>
    <w:rsid w:val="001E193D"/>
    <w:rsid w:val="001E1A11"/>
    <w:rsid w:val="001E1B03"/>
    <w:rsid w:val="001E328B"/>
    <w:rsid w:val="001E363E"/>
    <w:rsid w:val="001E40B5"/>
    <w:rsid w:val="001E4FF9"/>
    <w:rsid w:val="001E6DBB"/>
    <w:rsid w:val="001E71BD"/>
    <w:rsid w:val="001E74C6"/>
    <w:rsid w:val="001E75E7"/>
    <w:rsid w:val="001F033B"/>
    <w:rsid w:val="001F0473"/>
    <w:rsid w:val="001F1293"/>
    <w:rsid w:val="001F206D"/>
    <w:rsid w:val="001F20C3"/>
    <w:rsid w:val="001F3504"/>
    <w:rsid w:val="001F3723"/>
    <w:rsid w:val="001F408E"/>
    <w:rsid w:val="001F4C31"/>
    <w:rsid w:val="001F5791"/>
    <w:rsid w:val="001F6929"/>
    <w:rsid w:val="001F69FE"/>
    <w:rsid w:val="001F73AB"/>
    <w:rsid w:val="001F7DFA"/>
    <w:rsid w:val="001F7E68"/>
    <w:rsid w:val="002005FE"/>
    <w:rsid w:val="00200DEB"/>
    <w:rsid w:val="002040A0"/>
    <w:rsid w:val="00204819"/>
    <w:rsid w:val="00204C23"/>
    <w:rsid w:val="00205403"/>
    <w:rsid w:val="002055CE"/>
    <w:rsid w:val="0020621C"/>
    <w:rsid w:val="0020776C"/>
    <w:rsid w:val="002079AD"/>
    <w:rsid w:val="00210086"/>
    <w:rsid w:val="00210AE2"/>
    <w:rsid w:val="00210C93"/>
    <w:rsid w:val="00210DDB"/>
    <w:rsid w:val="00211DDE"/>
    <w:rsid w:val="002125CD"/>
    <w:rsid w:val="0021287C"/>
    <w:rsid w:val="00212D18"/>
    <w:rsid w:val="00213A14"/>
    <w:rsid w:val="00213CEA"/>
    <w:rsid w:val="00213D50"/>
    <w:rsid w:val="002143A2"/>
    <w:rsid w:val="00214748"/>
    <w:rsid w:val="00214762"/>
    <w:rsid w:val="00214903"/>
    <w:rsid w:val="00216D06"/>
    <w:rsid w:val="00216E4D"/>
    <w:rsid w:val="002179F0"/>
    <w:rsid w:val="00220BBD"/>
    <w:rsid w:val="00220DC2"/>
    <w:rsid w:val="00221297"/>
    <w:rsid w:val="00221D96"/>
    <w:rsid w:val="0022358F"/>
    <w:rsid w:val="00223ED1"/>
    <w:rsid w:val="0022416B"/>
    <w:rsid w:val="0022466A"/>
    <w:rsid w:val="00224AB0"/>
    <w:rsid w:val="002250AB"/>
    <w:rsid w:val="0022558D"/>
    <w:rsid w:val="00225A9A"/>
    <w:rsid w:val="00226C1D"/>
    <w:rsid w:val="002271D8"/>
    <w:rsid w:val="0022753A"/>
    <w:rsid w:val="00227683"/>
    <w:rsid w:val="00227AB4"/>
    <w:rsid w:val="00227C16"/>
    <w:rsid w:val="00230B18"/>
    <w:rsid w:val="00232481"/>
    <w:rsid w:val="00232D21"/>
    <w:rsid w:val="00234148"/>
    <w:rsid w:val="0023454F"/>
    <w:rsid w:val="00235017"/>
    <w:rsid w:val="0023522F"/>
    <w:rsid w:val="00235656"/>
    <w:rsid w:val="0023686E"/>
    <w:rsid w:val="00236E43"/>
    <w:rsid w:val="00240281"/>
    <w:rsid w:val="002407BE"/>
    <w:rsid w:val="002409DC"/>
    <w:rsid w:val="002409FE"/>
    <w:rsid w:val="0024132D"/>
    <w:rsid w:val="002413F4"/>
    <w:rsid w:val="0024185B"/>
    <w:rsid w:val="002421E7"/>
    <w:rsid w:val="00242359"/>
    <w:rsid w:val="00242B94"/>
    <w:rsid w:val="00242D13"/>
    <w:rsid w:val="00243431"/>
    <w:rsid w:val="00243EC7"/>
    <w:rsid w:val="002447BD"/>
    <w:rsid w:val="00247239"/>
    <w:rsid w:val="00247BC6"/>
    <w:rsid w:val="00251FE1"/>
    <w:rsid w:val="00253F50"/>
    <w:rsid w:val="002541CE"/>
    <w:rsid w:val="0025448E"/>
    <w:rsid w:val="0025541D"/>
    <w:rsid w:val="0025558D"/>
    <w:rsid w:val="00256CF7"/>
    <w:rsid w:val="00256D14"/>
    <w:rsid w:val="00256E72"/>
    <w:rsid w:val="0025791A"/>
    <w:rsid w:val="00257A12"/>
    <w:rsid w:val="00260154"/>
    <w:rsid w:val="002608D8"/>
    <w:rsid w:val="00260A6A"/>
    <w:rsid w:val="00260BC6"/>
    <w:rsid w:val="00260EC6"/>
    <w:rsid w:val="00262403"/>
    <w:rsid w:val="00263DB4"/>
    <w:rsid w:val="002641F1"/>
    <w:rsid w:val="00264703"/>
    <w:rsid w:val="00264AE0"/>
    <w:rsid w:val="00264C2F"/>
    <w:rsid w:val="00264CE6"/>
    <w:rsid w:val="00264F7D"/>
    <w:rsid w:val="00265A99"/>
    <w:rsid w:val="00266015"/>
    <w:rsid w:val="00266219"/>
    <w:rsid w:val="00266517"/>
    <w:rsid w:val="00267652"/>
    <w:rsid w:val="00267C96"/>
    <w:rsid w:val="002704AD"/>
    <w:rsid w:val="00270DA8"/>
    <w:rsid w:val="00271CA6"/>
    <w:rsid w:val="002729B6"/>
    <w:rsid w:val="00272FC6"/>
    <w:rsid w:val="00273FF4"/>
    <w:rsid w:val="0027404A"/>
    <w:rsid w:val="00274579"/>
    <w:rsid w:val="0027480E"/>
    <w:rsid w:val="002753BE"/>
    <w:rsid w:val="00275A12"/>
    <w:rsid w:val="00276645"/>
    <w:rsid w:val="00276D05"/>
    <w:rsid w:val="00276E29"/>
    <w:rsid w:val="0028047F"/>
    <w:rsid w:val="002804DC"/>
    <w:rsid w:val="00281571"/>
    <w:rsid w:val="002816E6"/>
    <w:rsid w:val="0028222B"/>
    <w:rsid w:val="00282A49"/>
    <w:rsid w:val="002831A5"/>
    <w:rsid w:val="002836EB"/>
    <w:rsid w:val="0028442A"/>
    <w:rsid w:val="002856E1"/>
    <w:rsid w:val="00285CEA"/>
    <w:rsid w:val="0028722E"/>
    <w:rsid w:val="0028745B"/>
    <w:rsid w:val="00290AD8"/>
    <w:rsid w:val="0029267A"/>
    <w:rsid w:val="002939EB"/>
    <w:rsid w:val="00294B7D"/>
    <w:rsid w:val="00295BE3"/>
    <w:rsid w:val="00295EA5"/>
    <w:rsid w:val="002964A8"/>
    <w:rsid w:val="002966BC"/>
    <w:rsid w:val="002972DC"/>
    <w:rsid w:val="002A03D8"/>
    <w:rsid w:val="002A08FC"/>
    <w:rsid w:val="002A112F"/>
    <w:rsid w:val="002A17A1"/>
    <w:rsid w:val="002A21C0"/>
    <w:rsid w:val="002A2E15"/>
    <w:rsid w:val="002A30C9"/>
    <w:rsid w:val="002A3136"/>
    <w:rsid w:val="002A3CC7"/>
    <w:rsid w:val="002A41F1"/>
    <w:rsid w:val="002A421E"/>
    <w:rsid w:val="002A44F6"/>
    <w:rsid w:val="002A46F4"/>
    <w:rsid w:val="002A591A"/>
    <w:rsid w:val="002A5B08"/>
    <w:rsid w:val="002A5EE8"/>
    <w:rsid w:val="002A619A"/>
    <w:rsid w:val="002A7326"/>
    <w:rsid w:val="002A733C"/>
    <w:rsid w:val="002A74D5"/>
    <w:rsid w:val="002A7C4F"/>
    <w:rsid w:val="002B0098"/>
    <w:rsid w:val="002B00BA"/>
    <w:rsid w:val="002B17EE"/>
    <w:rsid w:val="002B1889"/>
    <w:rsid w:val="002B1C35"/>
    <w:rsid w:val="002B1F0C"/>
    <w:rsid w:val="002B21F0"/>
    <w:rsid w:val="002B23F0"/>
    <w:rsid w:val="002B37A2"/>
    <w:rsid w:val="002B3BA5"/>
    <w:rsid w:val="002B3F13"/>
    <w:rsid w:val="002B455B"/>
    <w:rsid w:val="002B4736"/>
    <w:rsid w:val="002B5A6C"/>
    <w:rsid w:val="002B6ACA"/>
    <w:rsid w:val="002B70D0"/>
    <w:rsid w:val="002C0018"/>
    <w:rsid w:val="002C0220"/>
    <w:rsid w:val="002C0C26"/>
    <w:rsid w:val="002C12CD"/>
    <w:rsid w:val="002C1306"/>
    <w:rsid w:val="002C1B81"/>
    <w:rsid w:val="002C245F"/>
    <w:rsid w:val="002C2719"/>
    <w:rsid w:val="002C3537"/>
    <w:rsid w:val="002C3CF3"/>
    <w:rsid w:val="002C3D0E"/>
    <w:rsid w:val="002C4160"/>
    <w:rsid w:val="002C42F6"/>
    <w:rsid w:val="002C4DDF"/>
    <w:rsid w:val="002C4F57"/>
    <w:rsid w:val="002C51C8"/>
    <w:rsid w:val="002C56EF"/>
    <w:rsid w:val="002C5E8B"/>
    <w:rsid w:val="002C611D"/>
    <w:rsid w:val="002C6685"/>
    <w:rsid w:val="002C6D59"/>
    <w:rsid w:val="002C705E"/>
    <w:rsid w:val="002C74AF"/>
    <w:rsid w:val="002D00C5"/>
    <w:rsid w:val="002D040C"/>
    <w:rsid w:val="002D0412"/>
    <w:rsid w:val="002D14F2"/>
    <w:rsid w:val="002D161A"/>
    <w:rsid w:val="002D2034"/>
    <w:rsid w:val="002D251A"/>
    <w:rsid w:val="002D291E"/>
    <w:rsid w:val="002D377F"/>
    <w:rsid w:val="002D466D"/>
    <w:rsid w:val="002D4DEC"/>
    <w:rsid w:val="002D4F54"/>
    <w:rsid w:val="002D5060"/>
    <w:rsid w:val="002D50C2"/>
    <w:rsid w:val="002D520B"/>
    <w:rsid w:val="002D5E99"/>
    <w:rsid w:val="002E067F"/>
    <w:rsid w:val="002E19DA"/>
    <w:rsid w:val="002E1E44"/>
    <w:rsid w:val="002E1F3E"/>
    <w:rsid w:val="002E20E2"/>
    <w:rsid w:val="002E2124"/>
    <w:rsid w:val="002E2888"/>
    <w:rsid w:val="002E28FC"/>
    <w:rsid w:val="002E29EA"/>
    <w:rsid w:val="002E2C2E"/>
    <w:rsid w:val="002E323F"/>
    <w:rsid w:val="002E4307"/>
    <w:rsid w:val="002E4B83"/>
    <w:rsid w:val="002E4F49"/>
    <w:rsid w:val="002E51F7"/>
    <w:rsid w:val="002E57D6"/>
    <w:rsid w:val="002E6381"/>
    <w:rsid w:val="002E649D"/>
    <w:rsid w:val="002E7151"/>
    <w:rsid w:val="002E76F2"/>
    <w:rsid w:val="002F0067"/>
    <w:rsid w:val="002F2574"/>
    <w:rsid w:val="002F2EF2"/>
    <w:rsid w:val="002F3136"/>
    <w:rsid w:val="002F341A"/>
    <w:rsid w:val="002F3AAC"/>
    <w:rsid w:val="002F3ED8"/>
    <w:rsid w:val="002F3F55"/>
    <w:rsid w:val="002F55E0"/>
    <w:rsid w:val="002F55E1"/>
    <w:rsid w:val="002F561D"/>
    <w:rsid w:val="002F5BE5"/>
    <w:rsid w:val="002F6026"/>
    <w:rsid w:val="002F6067"/>
    <w:rsid w:val="002F6272"/>
    <w:rsid w:val="002F65B3"/>
    <w:rsid w:val="002F6661"/>
    <w:rsid w:val="002F6865"/>
    <w:rsid w:val="002F6B2D"/>
    <w:rsid w:val="002F6C37"/>
    <w:rsid w:val="002F706C"/>
    <w:rsid w:val="002F7236"/>
    <w:rsid w:val="002F7B02"/>
    <w:rsid w:val="002F7BFB"/>
    <w:rsid w:val="00301CDD"/>
    <w:rsid w:val="0030263E"/>
    <w:rsid w:val="003027B2"/>
    <w:rsid w:val="00302ACD"/>
    <w:rsid w:val="003031AA"/>
    <w:rsid w:val="003036E7"/>
    <w:rsid w:val="00303C71"/>
    <w:rsid w:val="0030559C"/>
    <w:rsid w:val="00306540"/>
    <w:rsid w:val="0030656F"/>
    <w:rsid w:val="00306D91"/>
    <w:rsid w:val="003103A1"/>
    <w:rsid w:val="003105E4"/>
    <w:rsid w:val="003120B5"/>
    <w:rsid w:val="00316339"/>
    <w:rsid w:val="00317436"/>
    <w:rsid w:val="00317457"/>
    <w:rsid w:val="00317630"/>
    <w:rsid w:val="00317E4B"/>
    <w:rsid w:val="003200F0"/>
    <w:rsid w:val="0032065D"/>
    <w:rsid w:val="00320888"/>
    <w:rsid w:val="00322AA2"/>
    <w:rsid w:val="003233F9"/>
    <w:rsid w:val="0032399A"/>
    <w:rsid w:val="00323BAE"/>
    <w:rsid w:val="00323CF6"/>
    <w:rsid w:val="00325055"/>
    <w:rsid w:val="00325292"/>
    <w:rsid w:val="0032590B"/>
    <w:rsid w:val="003265E0"/>
    <w:rsid w:val="003265EA"/>
    <w:rsid w:val="00326E73"/>
    <w:rsid w:val="00326EFB"/>
    <w:rsid w:val="00327726"/>
    <w:rsid w:val="0032797F"/>
    <w:rsid w:val="0033009F"/>
    <w:rsid w:val="00330D3F"/>
    <w:rsid w:val="003311A1"/>
    <w:rsid w:val="00331EAF"/>
    <w:rsid w:val="003322E2"/>
    <w:rsid w:val="003322EF"/>
    <w:rsid w:val="00332F91"/>
    <w:rsid w:val="003331A7"/>
    <w:rsid w:val="003341E8"/>
    <w:rsid w:val="00335910"/>
    <w:rsid w:val="00335CD7"/>
    <w:rsid w:val="003361AB"/>
    <w:rsid w:val="00336458"/>
    <w:rsid w:val="003368B5"/>
    <w:rsid w:val="00336DD2"/>
    <w:rsid w:val="003370B8"/>
    <w:rsid w:val="003376E5"/>
    <w:rsid w:val="003377DC"/>
    <w:rsid w:val="003405FF"/>
    <w:rsid w:val="0034170B"/>
    <w:rsid w:val="00341ABA"/>
    <w:rsid w:val="00341DA9"/>
    <w:rsid w:val="00343179"/>
    <w:rsid w:val="003431EF"/>
    <w:rsid w:val="00343795"/>
    <w:rsid w:val="00343912"/>
    <w:rsid w:val="00343A57"/>
    <w:rsid w:val="00344150"/>
    <w:rsid w:val="00344750"/>
    <w:rsid w:val="00345186"/>
    <w:rsid w:val="00345EA6"/>
    <w:rsid w:val="003463B5"/>
    <w:rsid w:val="00346463"/>
    <w:rsid w:val="00346F55"/>
    <w:rsid w:val="00347026"/>
    <w:rsid w:val="00347089"/>
    <w:rsid w:val="003471EC"/>
    <w:rsid w:val="0034736E"/>
    <w:rsid w:val="00347869"/>
    <w:rsid w:val="0034796B"/>
    <w:rsid w:val="00347B63"/>
    <w:rsid w:val="00347CF8"/>
    <w:rsid w:val="00347E1B"/>
    <w:rsid w:val="00350F39"/>
    <w:rsid w:val="00351551"/>
    <w:rsid w:val="00352007"/>
    <w:rsid w:val="00352986"/>
    <w:rsid w:val="00353E1C"/>
    <w:rsid w:val="003540C3"/>
    <w:rsid w:val="003550AC"/>
    <w:rsid w:val="003569CC"/>
    <w:rsid w:val="00357309"/>
    <w:rsid w:val="00357561"/>
    <w:rsid w:val="003575D5"/>
    <w:rsid w:val="00357D0E"/>
    <w:rsid w:val="00357D5B"/>
    <w:rsid w:val="003600F9"/>
    <w:rsid w:val="003604F5"/>
    <w:rsid w:val="0036158F"/>
    <w:rsid w:val="003618A9"/>
    <w:rsid w:val="00362E59"/>
    <w:rsid w:val="003630CD"/>
    <w:rsid w:val="00363168"/>
    <w:rsid w:val="00363FB2"/>
    <w:rsid w:val="00364E29"/>
    <w:rsid w:val="00365E54"/>
    <w:rsid w:val="00366158"/>
    <w:rsid w:val="00366A19"/>
    <w:rsid w:val="00366B89"/>
    <w:rsid w:val="00366E63"/>
    <w:rsid w:val="00367E3D"/>
    <w:rsid w:val="00370638"/>
    <w:rsid w:val="0037071E"/>
    <w:rsid w:val="00371BDE"/>
    <w:rsid w:val="003722B3"/>
    <w:rsid w:val="003723E3"/>
    <w:rsid w:val="0037264A"/>
    <w:rsid w:val="003727D2"/>
    <w:rsid w:val="003744F2"/>
    <w:rsid w:val="003748F8"/>
    <w:rsid w:val="00374AC6"/>
    <w:rsid w:val="00374FA7"/>
    <w:rsid w:val="003751F9"/>
    <w:rsid w:val="00375B73"/>
    <w:rsid w:val="00375F97"/>
    <w:rsid w:val="00376A25"/>
    <w:rsid w:val="00376AB9"/>
    <w:rsid w:val="0038029D"/>
    <w:rsid w:val="003804CA"/>
    <w:rsid w:val="00380746"/>
    <w:rsid w:val="00381549"/>
    <w:rsid w:val="00381A7B"/>
    <w:rsid w:val="00381DA1"/>
    <w:rsid w:val="003823B0"/>
    <w:rsid w:val="00382580"/>
    <w:rsid w:val="00382F56"/>
    <w:rsid w:val="00382F89"/>
    <w:rsid w:val="00384058"/>
    <w:rsid w:val="00384574"/>
    <w:rsid w:val="0038457F"/>
    <w:rsid w:val="0038459D"/>
    <w:rsid w:val="00384688"/>
    <w:rsid w:val="00384A5A"/>
    <w:rsid w:val="00384A68"/>
    <w:rsid w:val="00384CCF"/>
    <w:rsid w:val="003851FF"/>
    <w:rsid w:val="00385274"/>
    <w:rsid w:val="003854C4"/>
    <w:rsid w:val="00385603"/>
    <w:rsid w:val="003856CD"/>
    <w:rsid w:val="0038602E"/>
    <w:rsid w:val="00386279"/>
    <w:rsid w:val="00386CAB"/>
    <w:rsid w:val="00386E64"/>
    <w:rsid w:val="00386F54"/>
    <w:rsid w:val="00387600"/>
    <w:rsid w:val="003877AB"/>
    <w:rsid w:val="003904F8"/>
    <w:rsid w:val="003916CA"/>
    <w:rsid w:val="00392BA1"/>
    <w:rsid w:val="00392DF8"/>
    <w:rsid w:val="00393856"/>
    <w:rsid w:val="00393C74"/>
    <w:rsid w:val="00394270"/>
    <w:rsid w:val="0039431C"/>
    <w:rsid w:val="00395128"/>
    <w:rsid w:val="00395365"/>
    <w:rsid w:val="00395889"/>
    <w:rsid w:val="00395E61"/>
    <w:rsid w:val="003963D4"/>
    <w:rsid w:val="00396F4A"/>
    <w:rsid w:val="0039787F"/>
    <w:rsid w:val="003A029C"/>
    <w:rsid w:val="003A07E8"/>
    <w:rsid w:val="003A0845"/>
    <w:rsid w:val="003A10B3"/>
    <w:rsid w:val="003A1221"/>
    <w:rsid w:val="003A171A"/>
    <w:rsid w:val="003A1D03"/>
    <w:rsid w:val="003A243A"/>
    <w:rsid w:val="003A29E6"/>
    <w:rsid w:val="003A3743"/>
    <w:rsid w:val="003A406F"/>
    <w:rsid w:val="003A4317"/>
    <w:rsid w:val="003A46D4"/>
    <w:rsid w:val="003A4C0C"/>
    <w:rsid w:val="003A51E8"/>
    <w:rsid w:val="003A64EF"/>
    <w:rsid w:val="003A7373"/>
    <w:rsid w:val="003A7F46"/>
    <w:rsid w:val="003B0898"/>
    <w:rsid w:val="003B0D36"/>
    <w:rsid w:val="003B0F0F"/>
    <w:rsid w:val="003B1D6D"/>
    <w:rsid w:val="003B24BD"/>
    <w:rsid w:val="003B2647"/>
    <w:rsid w:val="003B2807"/>
    <w:rsid w:val="003B2AE5"/>
    <w:rsid w:val="003B32F8"/>
    <w:rsid w:val="003B3D38"/>
    <w:rsid w:val="003B3F08"/>
    <w:rsid w:val="003B4025"/>
    <w:rsid w:val="003B4E19"/>
    <w:rsid w:val="003B4EF5"/>
    <w:rsid w:val="003B5A4B"/>
    <w:rsid w:val="003B700D"/>
    <w:rsid w:val="003B7FFA"/>
    <w:rsid w:val="003C01BF"/>
    <w:rsid w:val="003C0364"/>
    <w:rsid w:val="003C0512"/>
    <w:rsid w:val="003C086F"/>
    <w:rsid w:val="003C09E9"/>
    <w:rsid w:val="003C12DB"/>
    <w:rsid w:val="003C23EC"/>
    <w:rsid w:val="003C281D"/>
    <w:rsid w:val="003C2D94"/>
    <w:rsid w:val="003C301B"/>
    <w:rsid w:val="003C45CF"/>
    <w:rsid w:val="003C5226"/>
    <w:rsid w:val="003C535A"/>
    <w:rsid w:val="003C6821"/>
    <w:rsid w:val="003D0F29"/>
    <w:rsid w:val="003D1433"/>
    <w:rsid w:val="003D1896"/>
    <w:rsid w:val="003D2383"/>
    <w:rsid w:val="003D3117"/>
    <w:rsid w:val="003D32BF"/>
    <w:rsid w:val="003D5CDB"/>
    <w:rsid w:val="003D5D3B"/>
    <w:rsid w:val="003D63B4"/>
    <w:rsid w:val="003D6417"/>
    <w:rsid w:val="003D6613"/>
    <w:rsid w:val="003D6E81"/>
    <w:rsid w:val="003D75A0"/>
    <w:rsid w:val="003D797B"/>
    <w:rsid w:val="003D7AAA"/>
    <w:rsid w:val="003E001E"/>
    <w:rsid w:val="003E0BE6"/>
    <w:rsid w:val="003E158C"/>
    <w:rsid w:val="003E159C"/>
    <w:rsid w:val="003E1700"/>
    <w:rsid w:val="003E1860"/>
    <w:rsid w:val="003E2186"/>
    <w:rsid w:val="003E281C"/>
    <w:rsid w:val="003E2A18"/>
    <w:rsid w:val="003E2D9E"/>
    <w:rsid w:val="003E2DEF"/>
    <w:rsid w:val="003E32A1"/>
    <w:rsid w:val="003E3FC5"/>
    <w:rsid w:val="003E48D0"/>
    <w:rsid w:val="003E63B2"/>
    <w:rsid w:val="003E6708"/>
    <w:rsid w:val="003E6A58"/>
    <w:rsid w:val="003E6D07"/>
    <w:rsid w:val="003E70F3"/>
    <w:rsid w:val="003E75F8"/>
    <w:rsid w:val="003E767E"/>
    <w:rsid w:val="003E7859"/>
    <w:rsid w:val="003E7F19"/>
    <w:rsid w:val="003F125D"/>
    <w:rsid w:val="003F162F"/>
    <w:rsid w:val="003F1AFC"/>
    <w:rsid w:val="003F1CF7"/>
    <w:rsid w:val="003F1F78"/>
    <w:rsid w:val="003F4395"/>
    <w:rsid w:val="003F53D6"/>
    <w:rsid w:val="003F5BBF"/>
    <w:rsid w:val="003F6EE5"/>
    <w:rsid w:val="003F724F"/>
    <w:rsid w:val="003F7851"/>
    <w:rsid w:val="00400862"/>
    <w:rsid w:val="00400DA0"/>
    <w:rsid w:val="00401399"/>
    <w:rsid w:val="0040203A"/>
    <w:rsid w:val="004035E4"/>
    <w:rsid w:val="004037AD"/>
    <w:rsid w:val="00403868"/>
    <w:rsid w:val="00403879"/>
    <w:rsid w:val="00404797"/>
    <w:rsid w:val="004048BF"/>
    <w:rsid w:val="00404D0C"/>
    <w:rsid w:val="0040553A"/>
    <w:rsid w:val="004078C2"/>
    <w:rsid w:val="004110D2"/>
    <w:rsid w:val="004117A3"/>
    <w:rsid w:val="00411CA8"/>
    <w:rsid w:val="00411DF4"/>
    <w:rsid w:val="00411E29"/>
    <w:rsid w:val="00412735"/>
    <w:rsid w:val="004138F0"/>
    <w:rsid w:val="00413DC2"/>
    <w:rsid w:val="00414B00"/>
    <w:rsid w:val="004151AD"/>
    <w:rsid w:val="00415202"/>
    <w:rsid w:val="00415997"/>
    <w:rsid w:val="0041662E"/>
    <w:rsid w:val="00416E39"/>
    <w:rsid w:val="00416F61"/>
    <w:rsid w:val="004176FB"/>
    <w:rsid w:val="004178D7"/>
    <w:rsid w:val="00417FF2"/>
    <w:rsid w:val="00420A6B"/>
    <w:rsid w:val="00420FA0"/>
    <w:rsid w:val="0042105C"/>
    <w:rsid w:val="0042160A"/>
    <w:rsid w:val="0042178D"/>
    <w:rsid w:val="00421BE6"/>
    <w:rsid w:val="00421CA6"/>
    <w:rsid w:val="0042277D"/>
    <w:rsid w:val="00425C09"/>
    <w:rsid w:val="00425E96"/>
    <w:rsid w:val="00426126"/>
    <w:rsid w:val="004261BE"/>
    <w:rsid w:val="00426871"/>
    <w:rsid w:val="004268B7"/>
    <w:rsid w:val="00426BDE"/>
    <w:rsid w:val="00426D3E"/>
    <w:rsid w:val="00427B3E"/>
    <w:rsid w:val="00430C36"/>
    <w:rsid w:val="004316E4"/>
    <w:rsid w:val="00431930"/>
    <w:rsid w:val="00432A55"/>
    <w:rsid w:val="00432D5A"/>
    <w:rsid w:val="00433E70"/>
    <w:rsid w:val="004347FB"/>
    <w:rsid w:val="004354C5"/>
    <w:rsid w:val="0043550B"/>
    <w:rsid w:val="004355EF"/>
    <w:rsid w:val="004356D4"/>
    <w:rsid w:val="00435B3E"/>
    <w:rsid w:val="004360BC"/>
    <w:rsid w:val="00436957"/>
    <w:rsid w:val="004370BA"/>
    <w:rsid w:val="004418DB"/>
    <w:rsid w:val="00441A10"/>
    <w:rsid w:val="0044231A"/>
    <w:rsid w:val="00442E8E"/>
    <w:rsid w:val="0044360B"/>
    <w:rsid w:val="004437BF"/>
    <w:rsid w:val="0044586B"/>
    <w:rsid w:val="00445AB1"/>
    <w:rsid w:val="00446510"/>
    <w:rsid w:val="0045071C"/>
    <w:rsid w:val="00450AC8"/>
    <w:rsid w:val="00450DFA"/>
    <w:rsid w:val="004510DC"/>
    <w:rsid w:val="00451C2D"/>
    <w:rsid w:val="00452D1A"/>
    <w:rsid w:val="00455F6D"/>
    <w:rsid w:val="004560EF"/>
    <w:rsid w:val="004569BA"/>
    <w:rsid w:val="00456ABF"/>
    <w:rsid w:val="00456EC3"/>
    <w:rsid w:val="0045779B"/>
    <w:rsid w:val="00460A1C"/>
    <w:rsid w:val="00461142"/>
    <w:rsid w:val="00461A14"/>
    <w:rsid w:val="0046208C"/>
    <w:rsid w:val="00462840"/>
    <w:rsid w:val="004647F4"/>
    <w:rsid w:val="00464B67"/>
    <w:rsid w:val="00465515"/>
    <w:rsid w:val="00465F61"/>
    <w:rsid w:val="004668A2"/>
    <w:rsid w:val="0046690A"/>
    <w:rsid w:val="0046699C"/>
    <w:rsid w:val="004675A1"/>
    <w:rsid w:val="004679EE"/>
    <w:rsid w:val="00470CB6"/>
    <w:rsid w:val="00470DF9"/>
    <w:rsid w:val="00470E2E"/>
    <w:rsid w:val="00472131"/>
    <w:rsid w:val="00472223"/>
    <w:rsid w:val="0047240E"/>
    <w:rsid w:val="00472895"/>
    <w:rsid w:val="00474E51"/>
    <w:rsid w:val="00474E55"/>
    <w:rsid w:val="0047577A"/>
    <w:rsid w:val="00475C78"/>
    <w:rsid w:val="00476086"/>
    <w:rsid w:val="00477263"/>
    <w:rsid w:val="004776D2"/>
    <w:rsid w:val="00477DC2"/>
    <w:rsid w:val="004803A8"/>
    <w:rsid w:val="00480520"/>
    <w:rsid w:val="00480B1D"/>
    <w:rsid w:val="00481013"/>
    <w:rsid w:val="004811B9"/>
    <w:rsid w:val="00481536"/>
    <w:rsid w:val="004817EB"/>
    <w:rsid w:val="004818C6"/>
    <w:rsid w:val="00481E82"/>
    <w:rsid w:val="00482E15"/>
    <w:rsid w:val="0048402B"/>
    <w:rsid w:val="00484A5D"/>
    <w:rsid w:val="00484D4A"/>
    <w:rsid w:val="004856C4"/>
    <w:rsid w:val="004859F6"/>
    <w:rsid w:val="00485A38"/>
    <w:rsid w:val="00486161"/>
    <w:rsid w:val="00486636"/>
    <w:rsid w:val="00486A7B"/>
    <w:rsid w:val="00486AC3"/>
    <w:rsid w:val="004871C5"/>
    <w:rsid w:val="00487434"/>
    <w:rsid w:val="004910AA"/>
    <w:rsid w:val="00493022"/>
    <w:rsid w:val="0049302C"/>
    <w:rsid w:val="00493B09"/>
    <w:rsid w:val="00494A87"/>
    <w:rsid w:val="004965DE"/>
    <w:rsid w:val="00496EF4"/>
    <w:rsid w:val="00497631"/>
    <w:rsid w:val="004A0FE6"/>
    <w:rsid w:val="004A1E69"/>
    <w:rsid w:val="004A2399"/>
    <w:rsid w:val="004A2DFB"/>
    <w:rsid w:val="004A3136"/>
    <w:rsid w:val="004A5D3F"/>
    <w:rsid w:val="004A5E11"/>
    <w:rsid w:val="004A5FF5"/>
    <w:rsid w:val="004A76A2"/>
    <w:rsid w:val="004A7D9B"/>
    <w:rsid w:val="004B09F2"/>
    <w:rsid w:val="004B1B22"/>
    <w:rsid w:val="004B204C"/>
    <w:rsid w:val="004B2D84"/>
    <w:rsid w:val="004B430E"/>
    <w:rsid w:val="004B540E"/>
    <w:rsid w:val="004B5D28"/>
    <w:rsid w:val="004B62D8"/>
    <w:rsid w:val="004B73D9"/>
    <w:rsid w:val="004B79AC"/>
    <w:rsid w:val="004B7A0B"/>
    <w:rsid w:val="004B7A0F"/>
    <w:rsid w:val="004C0978"/>
    <w:rsid w:val="004C0A5E"/>
    <w:rsid w:val="004C0A7A"/>
    <w:rsid w:val="004C0B28"/>
    <w:rsid w:val="004C16B9"/>
    <w:rsid w:val="004C17CB"/>
    <w:rsid w:val="004C1D23"/>
    <w:rsid w:val="004C2892"/>
    <w:rsid w:val="004C2A09"/>
    <w:rsid w:val="004C2A97"/>
    <w:rsid w:val="004C2D68"/>
    <w:rsid w:val="004C3381"/>
    <w:rsid w:val="004C41B9"/>
    <w:rsid w:val="004C448B"/>
    <w:rsid w:val="004C4E39"/>
    <w:rsid w:val="004C56A5"/>
    <w:rsid w:val="004C5B3A"/>
    <w:rsid w:val="004C5B61"/>
    <w:rsid w:val="004C5C5F"/>
    <w:rsid w:val="004C62EE"/>
    <w:rsid w:val="004C6513"/>
    <w:rsid w:val="004C67B7"/>
    <w:rsid w:val="004C6D8E"/>
    <w:rsid w:val="004C736E"/>
    <w:rsid w:val="004C76BE"/>
    <w:rsid w:val="004C773B"/>
    <w:rsid w:val="004C78CE"/>
    <w:rsid w:val="004C7C46"/>
    <w:rsid w:val="004D04A6"/>
    <w:rsid w:val="004D0C15"/>
    <w:rsid w:val="004D0FA7"/>
    <w:rsid w:val="004D1339"/>
    <w:rsid w:val="004D1512"/>
    <w:rsid w:val="004D23AA"/>
    <w:rsid w:val="004D2A8C"/>
    <w:rsid w:val="004D2C2E"/>
    <w:rsid w:val="004D34AA"/>
    <w:rsid w:val="004D42E7"/>
    <w:rsid w:val="004D49FA"/>
    <w:rsid w:val="004D4B22"/>
    <w:rsid w:val="004D4C91"/>
    <w:rsid w:val="004D5C22"/>
    <w:rsid w:val="004D6E69"/>
    <w:rsid w:val="004D72A1"/>
    <w:rsid w:val="004D7C67"/>
    <w:rsid w:val="004E020C"/>
    <w:rsid w:val="004E0BF6"/>
    <w:rsid w:val="004E0C10"/>
    <w:rsid w:val="004E0FFC"/>
    <w:rsid w:val="004E161B"/>
    <w:rsid w:val="004E2E78"/>
    <w:rsid w:val="004E35FD"/>
    <w:rsid w:val="004E375E"/>
    <w:rsid w:val="004E3AE1"/>
    <w:rsid w:val="004E453C"/>
    <w:rsid w:val="004E4969"/>
    <w:rsid w:val="004E4ADA"/>
    <w:rsid w:val="004E4FD7"/>
    <w:rsid w:val="004E5059"/>
    <w:rsid w:val="004E5262"/>
    <w:rsid w:val="004E5339"/>
    <w:rsid w:val="004E56BB"/>
    <w:rsid w:val="004E61A5"/>
    <w:rsid w:val="004E6567"/>
    <w:rsid w:val="004E66ED"/>
    <w:rsid w:val="004F0805"/>
    <w:rsid w:val="004F0AF1"/>
    <w:rsid w:val="004F0DCC"/>
    <w:rsid w:val="004F2030"/>
    <w:rsid w:val="004F2394"/>
    <w:rsid w:val="004F244F"/>
    <w:rsid w:val="004F26F1"/>
    <w:rsid w:val="004F35A8"/>
    <w:rsid w:val="004F4394"/>
    <w:rsid w:val="004F43DB"/>
    <w:rsid w:val="004F467C"/>
    <w:rsid w:val="004F595F"/>
    <w:rsid w:val="004F5F61"/>
    <w:rsid w:val="004F6CB5"/>
    <w:rsid w:val="004F7157"/>
    <w:rsid w:val="004F716F"/>
    <w:rsid w:val="004F7D46"/>
    <w:rsid w:val="00500A6D"/>
    <w:rsid w:val="00500BAF"/>
    <w:rsid w:val="00501B14"/>
    <w:rsid w:val="0050242C"/>
    <w:rsid w:val="00503505"/>
    <w:rsid w:val="00505499"/>
    <w:rsid w:val="00505810"/>
    <w:rsid w:val="00507842"/>
    <w:rsid w:val="0051083F"/>
    <w:rsid w:val="00510BAD"/>
    <w:rsid w:val="00510C79"/>
    <w:rsid w:val="00511AD8"/>
    <w:rsid w:val="00511B2B"/>
    <w:rsid w:val="00511BA6"/>
    <w:rsid w:val="0051217B"/>
    <w:rsid w:val="00512612"/>
    <w:rsid w:val="00512A16"/>
    <w:rsid w:val="00512D98"/>
    <w:rsid w:val="005138C0"/>
    <w:rsid w:val="00514059"/>
    <w:rsid w:val="005147C9"/>
    <w:rsid w:val="005147F2"/>
    <w:rsid w:val="00514A0E"/>
    <w:rsid w:val="00515615"/>
    <w:rsid w:val="005177EF"/>
    <w:rsid w:val="00517DC3"/>
    <w:rsid w:val="00517F78"/>
    <w:rsid w:val="00520435"/>
    <w:rsid w:val="00520463"/>
    <w:rsid w:val="005221F3"/>
    <w:rsid w:val="005231DE"/>
    <w:rsid w:val="00523247"/>
    <w:rsid w:val="005233CF"/>
    <w:rsid w:val="005233EB"/>
    <w:rsid w:val="0052448D"/>
    <w:rsid w:val="005248B1"/>
    <w:rsid w:val="005253D6"/>
    <w:rsid w:val="00525436"/>
    <w:rsid w:val="00525D6B"/>
    <w:rsid w:val="0052660D"/>
    <w:rsid w:val="00527ECA"/>
    <w:rsid w:val="00530C9D"/>
    <w:rsid w:val="00530D48"/>
    <w:rsid w:val="00531216"/>
    <w:rsid w:val="0053132A"/>
    <w:rsid w:val="00531A04"/>
    <w:rsid w:val="00531E48"/>
    <w:rsid w:val="00532397"/>
    <w:rsid w:val="005327CB"/>
    <w:rsid w:val="005331EE"/>
    <w:rsid w:val="00535A3E"/>
    <w:rsid w:val="00535D8E"/>
    <w:rsid w:val="00536ABC"/>
    <w:rsid w:val="00536B43"/>
    <w:rsid w:val="00536BAB"/>
    <w:rsid w:val="0053705C"/>
    <w:rsid w:val="005374B5"/>
    <w:rsid w:val="00537CF6"/>
    <w:rsid w:val="00537F99"/>
    <w:rsid w:val="005401EB"/>
    <w:rsid w:val="00540527"/>
    <w:rsid w:val="00540744"/>
    <w:rsid w:val="00540D79"/>
    <w:rsid w:val="00541166"/>
    <w:rsid w:val="005413DB"/>
    <w:rsid w:val="00542AF2"/>
    <w:rsid w:val="00542EEF"/>
    <w:rsid w:val="00543354"/>
    <w:rsid w:val="005437D0"/>
    <w:rsid w:val="00543E47"/>
    <w:rsid w:val="005447C1"/>
    <w:rsid w:val="00544911"/>
    <w:rsid w:val="005457FE"/>
    <w:rsid w:val="0054590D"/>
    <w:rsid w:val="00547A25"/>
    <w:rsid w:val="005517AF"/>
    <w:rsid w:val="0055253B"/>
    <w:rsid w:val="005528BE"/>
    <w:rsid w:val="00552D11"/>
    <w:rsid w:val="00554AA3"/>
    <w:rsid w:val="00554CD5"/>
    <w:rsid w:val="00555417"/>
    <w:rsid w:val="0055573B"/>
    <w:rsid w:val="00555A15"/>
    <w:rsid w:val="005564DD"/>
    <w:rsid w:val="00556BD2"/>
    <w:rsid w:val="005574AA"/>
    <w:rsid w:val="00557A3E"/>
    <w:rsid w:val="005600AA"/>
    <w:rsid w:val="00560722"/>
    <w:rsid w:val="005613C4"/>
    <w:rsid w:val="00561605"/>
    <w:rsid w:val="00561D0B"/>
    <w:rsid w:val="00562396"/>
    <w:rsid w:val="00562853"/>
    <w:rsid w:val="00562D3A"/>
    <w:rsid w:val="005637D6"/>
    <w:rsid w:val="00563B31"/>
    <w:rsid w:val="00563CC1"/>
    <w:rsid w:val="0056493E"/>
    <w:rsid w:val="00564BD2"/>
    <w:rsid w:val="00564EF6"/>
    <w:rsid w:val="00566305"/>
    <w:rsid w:val="00567824"/>
    <w:rsid w:val="00567965"/>
    <w:rsid w:val="00570DEB"/>
    <w:rsid w:val="005711DC"/>
    <w:rsid w:val="0057181B"/>
    <w:rsid w:val="0057181E"/>
    <w:rsid w:val="00572D3D"/>
    <w:rsid w:val="0057404B"/>
    <w:rsid w:val="00575398"/>
    <w:rsid w:val="005753B1"/>
    <w:rsid w:val="005756B9"/>
    <w:rsid w:val="00576294"/>
    <w:rsid w:val="00576912"/>
    <w:rsid w:val="00576E2B"/>
    <w:rsid w:val="00577523"/>
    <w:rsid w:val="0057796B"/>
    <w:rsid w:val="00577A69"/>
    <w:rsid w:val="005801B1"/>
    <w:rsid w:val="005812DC"/>
    <w:rsid w:val="00581A07"/>
    <w:rsid w:val="0058208D"/>
    <w:rsid w:val="00582342"/>
    <w:rsid w:val="00582856"/>
    <w:rsid w:val="00582DD0"/>
    <w:rsid w:val="00582F78"/>
    <w:rsid w:val="005840E4"/>
    <w:rsid w:val="00584700"/>
    <w:rsid w:val="00584A1A"/>
    <w:rsid w:val="00584D09"/>
    <w:rsid w:val="0058529D"/>
    <w:rsid w:val="00585999"/>
    <w:rsid w:val="00585ADE"/>
    <w:rsid w:val="00585BEF"/>
    <w:rsid w:val="00586963"/>
    <w:rsid w:val="00586A2C"/>
    <w:rsid w:val="0059011D"/>
    <w:rsid w:val="00590674"/>
    <w:rsid w:val="00590D2A"/>
    <w:rsid w:val="00591BB3"/>
    <w:rsid w:val="0059242A"/>
    <w:rsid w:val="005924F3"/>
    <w:rsid w:val="00592738"/>
    <w:rsid w:val="00592A15"/>
    <w:rsid w:val="00592DFA"/>
    <w:rsid w:val="00593059"/>
    <w:rsid w:val="00593BD8"/>
    <w:rsid w:val="005940B5"/>
    <w:rsid w:val="00594382"/>
    <w:rsid w:val="005953E9"/>
    <w:rsid w:val="00595F32"/>
    <w:rsid w:val="00596B7B"/>
    <w:rsid w:val="00597E9F"/>
    <w:rsid w:val="00597F87"/>
    <w:rsid w:val="005A03A5"/>
    <w:rsid w:val="005A0525"/>
    <w:rsid w:val="005A0E49"/>
    <w:rsid w:val="005A0F74"/>
    <w:rsid w:val="005A1125"/>
    <w:rsid w:val="005A2663"/>
    <w:rsid w:val="005A28D9"/>
    <w:rsid w:val="005A2C91"/>
    <w:rsid w:val="005A320E"/>
    <w:rsid w:val="005A3573"/>
    <w:rsid w:val="005A37D3"/>
    <w:rsid w:val="005A3DB5"/>
    <w:rsid w:val="005A4613"/>
    <w:rsid w:val="005A492F"/>
    <w:rsid w:val="005A4EDB"/>
    <w:rsid w:val="005A5077"/>
    <w:rsid w:val="005A5F42"/>
    <w:rsid w:val="005A6B40"/>
    <w:rsid w:val="005A6CEE"/>
    <w:rsid w:val="005B0731"/>
    <w:rsid w:val="005B09B6"/>
    <w:rsid w:val="005B0DA8"/>
    <w:rsid w:val="005B10E5"/>
    <w:rsid w:val="005B1330"/>
    <w:rsid w:val="005B1ABA"/>
    <w:rsid w:val="005B29F3"/>
    <w:rsid w:val="005B2D2B"/>
    <w:rsid w:val="005B2E5C"/>
    <w:rsid w:val="005B36D5"/>
    <w:rsid w:val="005B4254"/>
    <w:rsid w:val="005B4742"/>
    <w:rsid w:val="005B5048"/>
    <w:rsid w:val="005B6699"/>
    <w:rsid w:val="005B71B9"/>
    <w:rsid w:val="005B730D"/>
    <w:rsid w:val="005B767C"/>
    <w:rsid w:val="005B7D59"/>
    <w:rsid w:val="005C026F"/>
    <w:rsid w:val="005C12EF"/>
    <w:rsid w:val="005C1D07"/>
    <w:rsid w:val="005C2131"/>
    <w:rsid w:val="005C4A25"/>
    <w:rsid w:val="005C552E"/>
    <w:rsid w:val="005C572E"/>
    <w:rsid w:val="005C61A6"/>
    <w:rsid w:val="005C7A52"/>
    <w:rsid w:val="005C7A97"/>
    <w:rsid w:val="005C7AD4"/>
    <w:rsid w:val="005D0321"/>
    <w:rsid w:val="005D175E"/>
    <w:rsid w:val="005D17A5"/>
    <w:rsid w:val="005D1CCF"/>
    <w:rsid w:val="005D1DA1"/>
    <w:rsid w:val="005D228F"/>
    <w:rsid w:val="005D3590"/>
    <w:rsid w:val="005D47AE"/>
    <w:rsid w:val="005D4EEF"/>
    <w:rsid w:val="005D5025"/>
    <w:rsid w:val="005D52A2"/>
    <w:rsid w:val="005D5464"/>
    <w:rsid w:val="005D5E46"/>
    <w:rsid w:val="005D6871"/>
    <w:rsid w:val="005D690E"/>
    <w:rsid w:val="005D6AAD"/>
    <w:rsid w:val="005D6CA1"/>
    <w:rsid w:val="005D6FC5"/>
    <w:rsid w:val="005D714B"/>
    <w:rsid w:val="005D79CD"/>
    <w:rsid w:val="005E0814"/>
    <w:rsid w:val="005E0F91"/>
    <w:rsid w:val="005E1076"/>
    <w:rsid w:val="005E1DF8"/>
    <w:rsid w:val="005E2F41"/>
    <w:rsid w:val="005E45D7"/>
    <w:rsid w:val="005E4DF8"/>
    <w:rsid w:val="005E5CC7"/>
    <w:rsid w:val="005E63E2"/>
    <w:rsid w:val="005E6F2D"/>
    <w:rsid w:val="005E709B"/>
    <w:rsid w:val="005E7EEA"/>
    <w:rsid w:val="005F00F8"/>
    <w:rsid w:val="005F0C10"/>
    <w:rsid w:val="005F17CA"/>
    <w:rsid w:val="005F22F4"/>
    <w:rsid w:val="005F2746"/>
    <w:rsid w:val="005F2851"/>
    <w:rsid w:val="005F2DE9"/>
    <w:rsid w:val="005F35DC"/>
    <w:rsid w:val="005F3BD0"/>
    <w:rsid w:val="005F3F46"/>
    <w:rsid w:val="005F42CC"/>
    <w:rsid w:val="005F4439"/>
    <w:rsid w:val="005F44AB"/>
    <w:rsid w:val="005F51AF"/>
    <w:rsid w:val="005F52E2"/>
    <w:rsid w:val="005F6A06"/>
    <w:rsid w:val="005F6F65"/>
    <w:rsid w:val="005F7D03"/>
    <w:rsid w:val="00600BD8"/>
    <w:rsid w:val="00601B25"/>
    <w:rsid w:val="00601C38"/>
    <w:rsid w:val="00602CF7"/>
    <w:rsid w:val="00602E61"/>
    <w:rsid w:val="006031AA"/>
    <w:rsid w:val="00603C7A"/>
    <w:rsid w:val="006044D5"/>
    <w:rsid w:val="006051FB"/>
    <w:rsid w:val="00606231"/>
    <w:rsid w:val="006071BE"/>
    <w:rsid w:val="0060738D"/>
    <w:rsid w:val="00607743"/>
    <w:rsid w:val="006109CC"/>
    <w:rsid w:val="00610BDA"/>
    <w:rsid w:val="00611414"/>
    <w:rsid w:val="00611529"/>
    <w:rsid w:val="006120EE"/>
    <w:rsid w:val="006124C2"/>
    <w:rsid w:val="00612547"/>
    <w:rsid w:val="0061287D"/>
    <w:rsid w:val="006132FF"/>
    <w:rsid w:val="0061367F"/>
    <w:rsid w:val="00613C10"/>
    <w:rsid w:val="006146EB"/>
    <w:rsid w:val="0061522E"/>
    <w:rsid w:val="006159AC"/>
    <w:rsid w:val="00615A7D"/>
    <w:rsid w:val="00615F89"/>
    <w:rsid w:val="0061655E"/>
    <w:rsid w:val="00617996"/>
    <w:rsid w:val="00617A35"/>
    <w:rsid w:val="00617B4A"/>
    <w:rsid w:val="00620C6E"/>
    <w:rsid w:val="00620EB8"/>
    <w:rsid w:val="006212B6"/>
    <w:rsid w:val="00622371"/>
    <w:rsid w:val="00622813"/>
    <w:rsid w:val="00623802"/>
    <w:rsid w:val="0062453B"/>
    <w:rsid w:val="006258B6"/>
    <w:rsid w:val="006275B9"/>
    <w:rsid w:val="00627B43"/>
    <w:rsid w:val="006308B0"/>
    <w:rsid w:val="00630F6D"/>
    <w:rsid w:val="00632CBD"/>
    <w:rsid w:val="006331C3"/>
    <w:rsid w:val="006335B0"/>
    <w:rsid w:val="006336B7"/>
    <w:rsid w:val="006338C2"/>
    <w:rsid w:val="00633DC5"/>
    <w:rsid w:val="006341A5"/>
    <w:rsid w:val="00634EFC"/>
    <w:rsid w:val="0063569D"/>
    <w:rsid w:val="00635F57"/>
    <w:rsid w:val="00636292"/>
    <w:rsid w:val="006362A3"/>
    <w:rsid w:val="00636332"/>
    <w:rsid w:val="006363EB"/>
    <w:rsid w:val="00636844"/>
    <w:rsid w:val="0063691F"/>
    <w:rsid w:val="00636962"/>
    <w:rsid w:val="00636D29"/>
    <w:rsid w:val="00640A1E"/>
    <w:rsid w:val="00640A3F"/>
    <w:rsid w:val="00642739"/>
    <w:rsid w:val="00642798"/>
    <w:rsid w:val="006428A3"/>
    <w:rsid w:val="006437EA"/>
    <w:rsid w:val="00643DC8"/>
    <w:rsid w:val="00644B41"/>
    <w:rsid w:val="00645004"/>
    <w:rsid w:val="0064527A"/>
    <w:rsid w:val="00645BDF"/>
    <w:rsid w:val="00645D81"/>
    <w:rsid w:val="006473CD"/>
    <w:rsid w:val="006477C7"/>
    <w:rsid w:val="00650A53"/>
    <w:rsid w:val="00650C9C"/>
    <w:rsid w:val="00651515"/>
    <w:rsid w:val="006519F9"/>
    <w:rsid w:val="00652AE2"/>
    <w:rsid w:val="00653686"/>
    <w:rsid w:val="00653741"/>
    <w:rsid w:val="00653984"/>
    <w:rsid w:val="00654C68"/>
    <w:rsid w:val="006550BE"/>
    <w:rsid w:val="00657081"/>
    <w:rsid w:val="006573BC"/>
    <w:rsid w:val="006609A5"/>
    <w:rsid w:val="00660A30"/>
    <w:rsid w:val="006613B0"/>
    <w:rsid w:val="00662502"/>
    <w:rsid w:val="006625A9"/>
    <w:rsid w:val="00662795"/>
    <w:rsid w:val="006637EE"/>
    <w:rsid w:val="00663FD9"/>
    <w:rsid w:val="00664517"/>
    <w:rsid w:val="006647B9"/>
    <w:rsid w:val="00665395"/>
    <w:rsid w:val="0066590C"/>
    <w:rsid w:val="00665F11"/>
    <w:rsid w:val="00666B45"/>
    <w:rsid w:val="00667ED5"/>
    <w:rsid w:val="00667F43"/>
    <w:rsid w:val="00667F46"/>
    <w:rsid w:val="00670BC5"/>
    <w:rsid w:val="0067114E"/>
    <w:rsid w:val="006711F4"/>
    <w:rsid w:val="006730B5"/>
    <w:rsid w:val="0067312A"/>
    <w:rsid w:val="0067377B"/>
    <w:rsid w:val="00673DC9"/>
    <w:rsid w:val="00674593"/>
    <w:rsid w:val="006749FF"/>
    <w:rsid w:val="00675095"/>
    <w:rsid w:val="0067568A"/>
    <w:rsid w:val="00675F4F"/>
    <w:rsid w:val="006760E3"/>
    <w:rsid w:val="0067612F"/>
    <w:rsid w:val="00676375"/>
    <w:rsid w:val="00676FB5"/>
    <w:rsid w:val="00676FB9"/>
    <w:rsid w:val="00677416"/>
    <w:rsid w:val="006775FE"/>
    <w:rsid w:val="006779AA"/>
    <w:rsid w:val="006807EE"/>
    <w:rsid w:val="00680CC0"/>
    <w:rsid w:val="00681B4D"/>
    <w:rsid w:val="00681D35"/>
    <w:rsid w:val="00682E1E"/>
    <w:rsid w:val="00683126"/>
    <w:rsid w:val="00683510"/>
    <w:rsid w:val="0068408F"/>
    <w:rsid w:val="006844A7"/>
    <w:rsid w:val="00684AD7"/>
    <w:rsid w:val="00684C32"/>
    <w:rsid w:val="00685AAB"/>
    <w:rsid w:val="00685B46"/>
    <w:rsid w:val="006860A4"/>
    <w:rsid w:val="00686C17"/>
    <w:rsid w:val="006873D1"/>
    <w:rsid w:val="006875BE"/>
    <w:rsid w:val="00690C38"/>
    <w:rsid w:val="00691862"/>
    <w:rsid w:val="00691932"/>
    <w:rsid w:val="00691A9C"/>
    <w:rsid w:val="00692087"/>
    <w:rsid w:val="0069299E"/>
    <w:rsid w:val="00693DB6"/>
    <w:rsid w:val="00693F6C"/>
    <w:rsid w:val="006949D0"/>
    <w:rsid w:val="00694E69"/>
    <w:rsid w:val="0069512B"/>
    <w:rsid w:val="00695525"/>
    <w:rsid w:val="006960D4"/>
    <w:rsid w:val="00696ABA"/>
    <w:rsid w:val="0069758E"/>
    <w:rsid w:val="00697C95"/>
    <w:rsid w:val="00697D3A"/>
    <w:rsid w:val="006A0488"/>
    <w:rsid w:val="006A0A10"/>
    <w:rsid w:val="006A20DB"/>
    <w:rsid w:val="006A20F6"/>
    <w:rsid w:val="006A2426"/>
    <w:rsid w:val="006A2DF8"/>
    <w:rsid w:val="006A3EB9"/>
    <w:rsid w:val="006A458A"/>
    <w:rsid w:val="006A462B"/>
    <w:rsid w:val="006A526A"/>
    <w:rsid w:val="006A56C1"/>
    <w:rsid w:val="006A6E83"/>
    <w:rsid w:val="006A6EE2"/>
    <w:rsid w:val="006A71F6"/>
    <w:rsid w:val="006A722D"/>
    <w:rsid w:val="006A723C"/>
    <w:rsid w:val="006A734E"/>
    <w:rsid w:val="006B078A"/>
    <w:rsid w:val="006B0D8D"/>
    <w:rsid w:val="006B16BA"/>
    <w:rsid w:val="006B1EFE"/>
    <w:rsid w:val="006B3A0A"/>
    <w:rsid w:val="006B3B0E"/>
    <w:rsid w:val="006B4019"/>
    <w:rsid w:val="006B4090"/>
    <w:rsid w:val="006B415F"/>
    <w:rsid w:val="006B44DC"/>
    <w:rsid w:val="006B46CA"/>
    <w:rsid w:val="006B47A0"/>
    <w:rsid w:val="006B480A"/>
    <w:rsid w:val="006B531E"/>
    <w:rsid w:val="006B59AB"/>
    <w:rsid w:val="006B59F7"/>
    <w:rsid w:val="006B632B"/>
    <w:rsid w:val="006B7832"/>
    <w:rsid w:val="006B7F3D"/>
    <w:rsid w:val="006C00DF"/>
    <w:rsid w:val="006C019E"/>
    <w:rsid w:val="006C03D9"/>
    <w:rsid w:val="006C0662"/>
    <w:rsid w:val="006C08CB"/>
    <w:rsid w:val="006C180E"/>
    <w:rsid w:val="006C1A4F"/>
    <w:rsid w:val="006C1D09"/>
    <w:rsid w:val="006C2CB5"/>
    <w:rsid w:val="006C3A45"/>
    <w:rsid w:val="006C44E4"/>
    <w:rsid w:val="006C503E"/>
    <w:rsid w:val="006C50D2"/>
    <w:rsid w:val="006C5848"/>
    <w:rsid w:val="006C6386"/>
    <w:rsid w:val="006C696D"/>
    <w:rsid w:val="006D03EA"/>
    <w:rsid w:val="006D0856"/>
    <w:rsid w:val="006D1751"/>
    <w:rsid w:val="006D1A72"/>
    <w:rsid w:val="006D27D3"/>
    <w:rsid w:val="006D4B92"/>
    <w:rsid w:val="006D5079"/>
    <w:rsid w:val="006D53EC"/>
    <w:rsid w:val="006D5744"/>
    <w:rsid w:val="006D5A24"/>
    <w:rsid w:val="006D5F2E"/>
    <w:rsid w:val="006D5F93"/>
    <w:rsid w:val="006D7CD8"/>
    <w:rsid w:val="006E0478"/>
    <w:rsid w:val="006E191D"/>
    <w:rsid w:val="006E227A"/>
    <w:rsid w:val="006E2847"/>
    <w:rsid w:val="006E2860"/>
    <w:rsid w:val="006E2D06"/>
    <w:rsid w:val="006E35B4"/>
    <w:rsid w:val="006E490B"/>
    <w:rsid w:val="006E4DCE"/>
    <w:rsid w:val="006E52A3"/>
    <w:rsid w:val="006E5782"/>
    <w:rsid w:val="006E6DEA"/>
    <w:rsid w:val="006F0656"/>
    <w:rsid w:val="006F2589"/>
    <w:rsid w:val="006F2A74"/>
    <w:rsid w:val="006F2BD8"/>
    <w:rsid w:val="006F2FAA"/>
    <w:rsid w:val="006F342B"/>
    <w:rsid w:val="006F3AB3"/>
    <w:rsid w:val="006F40AE"/>
    <w:rsid w:val="006F4633"/>
    <w:rsid w:val="006F46A5"/>
    <w:rsid w:val="006F4D4F"/>
    <w:rsid w:val="006F57A7"/>
    <w:rsid w:val="006F5B84"/>
    <w:rsid w:val="006F62D3"/>
    <w:rsid w:val="006F7096"/>
    <w:rsid w:val="006F717B"/>
    <w:rsid w:val="006F7EB0"/>
    <w:rsid w:val="0070040F"/>
    <w:rsid w:val="0070062B"/>
    <w:rsid w:val="0070097D"/>
    <w:rsid w:val="00700B35"/>
    <w:rsid w:val="00700D2F"/>
    <w:rsid w:val="007010C8"/>
    <w:rsid w:val="007011EF"/>
    <w:rsid w:val="00701326"/>
    <w:rsid w:val="00701497"/>
    <w:rsid w:val="007018C2"/>
    <w:rsid w:val="00701B4C"/>
    <w:rsid w:val="00701DD9"/>
    <w:rsid w:val="007020E6"/>
    <w:rsid w:val="00702667"/>
    <w:rsid w:val="007032DF"/>
    <w:rsid w:val="00704BCC"/>
    <w:rsid w:val="00704FB5"/>
    <w:rsid w:val="00705D3A"/>
    <w:rsid w:val="00707107"/>
    <w:rsid w:val="00707363"/>
    <w:rsid w:val="007077EC"/>
    <w:rsid w:val="00707B0C"/>
    <w:rsid w:val="00710A59"/>
    <w:rsid w:val="00710BBB"/>
    <w:rsid w:val="00710CF8"/>
    <w:rsid w:val="00710E67"/>
    <w:rsid w:val="00711161"/>
    <w:rsid w:val="007128AB"/>
    <w:rsid w:val="00712A2B"/>
    <w:rsid w:val="007135B7"/>
    <w:rsid w:val="00713753"/>
    <w:rsid w:val="00713D0C"/>
    <w:rsid w:val="00714337"/>
    <w:rsid w:val="00714EFA"/>
    <w:rsid w:val="00715040"/>
    <w:rsid w:val="0071510A"/>
    <w:rsid w:val="00715D3D"/>
    <w:rsid w:val="00716BDD"/>
    <w:rsid w:val="00717ADE"/>
    <w:rsid w:val="00717B95"/>
    <w:rsid w:val="00720150"/>
    <w:rsid w:val="007201BB"/>
    <w:rsid w:val="00721A07"/>
    <w:rsid w:val="00721D68"/>
    <w:rsid w:val="00722152"/>
    <w:rsid w:val="00722F7B"/>
    <w:rsid w:val="0072368D"/>
    <w:rsid w:val="00724669"/>
    <w:rsid w:val="00724B61"/>
    <w:rsid w:val="00725512"/>
    <w:rsid w:val="00726063"/>
    <w:rsid w:val="007273F1"/>
    <w:rsid w:val="007276A2"/>
    <w:rsid w:val="007304F7"/>
    <w:rsid w:val="00730BA4"/>
    <w:rsid w:val="00730C96"/>
    <w:rsid w:val="00730DD5"/>
    <w:rsid w:val="00732BF0"/>
    <w:rsid w:val="00732DC1"/>
    <w:rsid w:val="00733733"/>
    <w:rsid w:val="00733ABF"/>
    <w:rsid w:val="00733C6E"/>
    <w:rsid w:val="00733CDA"/>
    <w:rsid w:val="00734684"/>
    <w:rsid w:val="00734D43"/>
    <w:rsid w:val="007353F6"/>
    <w:rsid w:val="0073542D"/>
    <w:rsid w:val="00735A9E"/>
    <w:rsid w:val="00735E8F"/>
    <w:rsid w:val="00736B52"/>
    <w:rsid w:val="00740CE4"/>
    <w:rsid w:val="00740FB4"/>
    <w:rsid w:val="00741366"/>
    <w:rsid w:val="007413C9"/>
    <w:rsid w:val="0074335E"/>
    <w:rsid w:val="007436D1"/>
    <w:rsid w:val="0074382F"/>
    <w:rsid w:val="00743E74"/>
    <w:rsid w:val="007449FC"/>
    <w:rsid w:val="007453FA"/>
    <w:rsid w:val="0074631A"/>
    <w:rsid w:val="00746ABF"/>
    <w:rsid w:val="00746F35"/>
    <w:rsid w:val="007505E9"/>
    <w:rsid w:val="00750F63"/>
    <w:rsid w:val="007510CB"/>
    <w:rsid w:val="00752BA2"/>
    <w:rsid w:val="007533CC"/>
    <w:rsid w:val="007536D0"/>
    <w:rsid w:val="00753778"/>
    <w:rsid w:val="00753910"/>
    <w:rsid w:val="00753A72"/>
    <w:rsid w:val="00754536"/>
    <w:rsid w:val="00755226"/>
    <w:rsid w:val="00756104"/>
    <w:rsid w:val="00756C63"/>
    <w:rsid w:val="0075751A"/>
    <w:rsid w:val="00757E13"/>
    <w:rsid w:val="00760D22"/>
    <w:rsid w:val="00761093"/>
    <w:rsid w:val="007621F3"/>
    <w:rsid w:val="007630AA"/>
    <w:rsid w:val="00764BAE"/>
    <w:rsid w:val="00765F1B"/>
    <w:rsid w:val="0076646A"/>
    <w:rsid w:val="00767571"/>
    <w:rsid w:val="0077003C"/>
    <w:rsid w:val="00770974"/>
    <w:rsid w:val="00771532"/>
    <w:rsid w:val="007716B5"/>
    <w:rsid w:val="00772BDC"/>
    <w:rsid w:val="00772BFB"/>
    <w:rsid w:val="00773081"/>
    <w:rsid w:val="00773810"/>
    <w:rsid w:val="00773D25"/>
    <w:rsid w:val="00774965"/>
    <w:rsid w:val="00774A7A"/>
    <w:rsid w:val="00775B18"/>
    <w:rsid w:val="00775D80"/>
    <w:rsid w:val="0077609A"/>
    <w:rsid w:val="007762B5"/>
    <w:rsid w:val="00776565"/>
    <w:rsid w:val="00776AC9"/>
    <w:rsid w:val="00776CE4"/>
    <w:rsid w:val="00777693"/>
    <w:rsid w:val="007804FA"/>
    <w:rsid w:val="007811A9"/>
    <w:rsid w:val="00781CCC"/>
    <w:rsid w:val="00782831"/>
    <w:rsid w:val="00782E70"/>
    <w:rsid w:val="00783593"/>
    <w:rsid w:val="00785BE9"/>
    <w:rsid w:val="00785D06"/>
    <w:rsid w:val="00786012"/>
    <w:rsid w:val="00786B29"/>
    <w:rsid w:val="0078738D"/>
    <w:rsid w:val="00790AA6"/>
    <w:rsid w:val="00790CDE"/>
    <w:rsid w:val="00791375"/>
    <w:rsid w:val="00791725"/>
    <w:rsid w:val="00791930"/>
    <w:rsid w:val="00791997"/>
    <w:rsid w:val="00791DC6"/>
    <w:rsid w:val="0079201C"/>
    <w:rsid w:val="00794DF8"/>
    <w:rsid w:val="007955A6"/>
    <w:rsid w:val="00796460"/>
    <w:rsid w:val="00796DCC"/>
    <w:rsid w:val="00796FBF"/>
    <w:rsid w:val="00797F97"/>
    <w:rsid w:val="007A0744"/>
    <w:rsid w:val="007A11EB"/>
    <w:rsid w:val="007A12C1"/>
    <w:rsid w:val="007A152E"/>
    <w:rsid w:val="007A15E5"/>
    <w:rsid w:val="007A1B30"/>
    <w:rsid w:val="007A1D6E"/>
    <w:rsid w:val="007A2232"/>
    <w:rsid w:val="007A22E0"/>
    <w:rsid w:val="007A26E7"/>
    <w:rsid w:val="007A3576"/>
    <w:rsid w:val="007A5F0B"/>
    <w:rsid w:val="007B052D"/>
    <w:rsid w:val="007B0663"/>
    <w:rsid w:val="007B0B0E"/>
    <w:rsid w:val="007B399C"/>
    <w:rsid w:val="007B3AB1"/>
    <w:rsid w:val="007B3DEA"/>
    <w:rsid w:val="007B422B"/>
    <w:rsid w:val="007B446A"/>
    <w:rsid w:val="007B478A"/>
    <w:rsid w:val="007B57A7"/>
    <w:rsid w:val="007B584A"/>
    <w:rsid w:val="007B6BAF"/>
    <w:rsid w:val="007B7E79"/>
    <w:rsid w:val="007C0356"/>
    <w:rsid w:val="007C0CA8"/>
    <w:rsid w:val="007C1885"/>
    <w:rsid w:val="007C3E9D"/>
    <w:rsid w:val="007C4354"/>
    <w:rsid w:val="007C4683"/>
    <w:rsid w:val="007C474F"/>
    <w:rsid w:val="007C5814"/>
    <w:rsid w:val="007C598F"/>
    <w:rsid w:val="007C638F"/>
    <w:rsid w:val="007C6E22"/>
    <w:rsid w:val="007C744B"/>
    <w:rsid w:val="007C7E14"/>
    <w:rsid w:val="007D0711"/>
    <w:rsid w:val="007D1949"/>
    <w:rsid w:val="007D1DB2"/>
    <w:rsid w:val="007D2004"/>
    <w:rsid w:val="007D2A84"/>
    <w:rsid w:val="007D3143"/>
    <w:rsid w:val="007D3364"/>
    <w:rsid w:val="007D358B"/>
    <w:rsid w:val="007D3FD1"/>
    <w:rsid w:val="007D49DC"/>
    <w:rsid w:val="007D4BD6"/>
    <w:rsid w:val="007D52C5"/>
    <w:rsid w:val="007D59FA"/>
    <w:rsid w:val="007D6877"/>
    <w:rsid w:val="007D6E98"/>
    <w:rsid w:val="007D6F45"/>
    <w:rsid w:val="007D7903"/>
    <w:rsid w:val="007E1903"/>
    <w:rsid w:val="007E3714"/>
    <w:rsid w:val="007E39DA"/>
    <w:rsid w:val="007E52C3"/>
    <w:rsid w:val="007E68B5"/>
    <w:rsid w:val="007E6DB2"/>
    <w:rsid w:val="007E7262"/>
    <w:rsid w:val="007E7601"/>
    <w:rsid w:val="007E7F53"/>
    <w:rsid w:val="007F1384"/>
    <w:rsid w:val="007F1E55"/>
    <w:rsid w:val="007F25E9"/>
    <w:rsid w:val="007F28DB"/>
    <w:rsid w:val="007F2D64"/>
    <w:rsid w:val="007F350C"/>
    <w:rsid w:val="007F35B9"/>
    <w:rsid w:val="007F4AA5"/>
    <w:rsid w:val="007F4B6D"/>
    <w:rsid w:val="007F4BEF"/>
    <w:rsid w:val="007F565F"/>
    <w:rsid w:val="007F5F85"/>
    <w:rsid w:val="007F622E"/>
    <w:rsid w:val="007F6393"/>
    <w:rsid w:val="007F6850"/>
    <w:rsid w:val="007F729F"/>
    <w:rsid w:val="007F7494"/>
    <w:rsid w:val="00800F05"/>
    <w:rsid w:val="00801395"/>
    <w:rsid w:val="008013E5"/>
    <w:rsid w:val="00801409"/>
    <w:rsid w:val="00801AC4"/>
    <w:rsid w:val="00801B59"/>
    <w:rsid w:val="00802363"/>
    <w:rsid w:val="008030F9"/>
    <w:rsid w:val="00804162"/>
    <w:rsid w:val="00804B6F"/>
    <w:rsid w:val="008052CE"/>
    <w:rsid w:val="00805387"/>
    <w:rsid w:val="00806900"/>
    <w:rsid w:val="00806B2B"/>
    <w:rsid w:val="00807CEE"/>
    <w:rsid w:val="00807DF8"/>
    <w:rsid w:val="00807F38"/>
    <w:rsid w:val="008106E7"/>
    <w:rsid w:val="00810B6E"/>
    <w:rsid w:val="0081152E"/>
    <w:rsid w:val="0081164D"/>
    <w:rsid w:val="00811C03"/>
    <w:rsid w:val="008121E4"/>
    <w:rsid w:val="00812833"/>
    <w:rsid w:val="00812E23"/>
    <w:rsid w:val="00813686"/>
    <w:rsid w:val="00815B6E"/>
    <w:rsid w:val="00817B54"/>
    <w:rsid w:val="00820244"/>
    <w:rsid w:val="008206A4"/>
    <w:rsid w:val="0082081B"/>
    <w:rsid w:val="00820EE4"/>
    <w:rsid w:val="008223FA"/>
    <w:rsid w:val="008225DB"/>
    <w:rsid w:val="00823F81"/>
    <w:rsid w:val="008244BA"/>
    <w:rsid w:val="008247DB"/>
    <w:rsid w:val="00824EB1"/>
    <w:rsid w:val="008253F4"/>
    <w:rsid w:val="00825846"/>
    <w:rsid w:val="00825C88"/>
    <w:rsid w:val="008262FE"/>
    <w:rsid w:val="00826822"/>
    <w:rsid w:val="00826BDA"/>
    <w:rsid w:val="00826DA1"/>
    <w:rsid w:val="00826FF6"/>
    <w:rsid w:val="00827B81"/>
    <w:rsid w:val="00827C8A"/>
    <w:rsid w:val="00830475"/>
    <w:rsid w:val="0083079D"/>
    <w:rsid w:val="00831CC0"/>
    <w:rsid w:val="00832AA4"/>
    <w:rsid w:val="00833AB0"/>
    <w:rsid w:val="00833CB5"/>
    <w:rsid w:val="008350E5"/>
    <w:rsid w:val="00835A93"/>
    <w:rsid w:val="00835E22"/>
    <w:rsid w:val="00836F1E"/>
    <w:rsid w:val="00837B95"/>
    <w:rsid w:val="00840139"/>
    <w:rsid w:val="0084160D"/>
    <w:rsid w:val="00841611"/>
    <w:rsid w:val="008416D9"/>
    <w:rsid w:val="00842329"/>
    <w:rsid w:val="008429B3"/>
    <w:rsid w:val="0084336E"/>
    <w:rsid w:val="00843817"/>
    <w:rsid w:val="0084439E"/>
    <w:rsid w:val="00844722"/>
    <w:rsid w:val="008447C4"/>
    <w:rsid w:val="0084727F"/>
    <w:rsid w:val="0084740E"/>
    <w:rsid w:val="008503AA"/>
    <w:rsid w:val="008507F5"/>
    <w:rsid w:val="00850F31"/>
    <w:rsid w:val="00850F4A"/>
    <w:rsid w:val="008516A0"/>
    <w:rsid w:val="00852457"/>
    <w:rsid w:val="00853783"/>
    <w:rsid w:val="00854091"/>
    <w:rsid w:val="0085453F"/>
    <w:rsid w:val="00854B88"/>
    <w:rsid w:val="0085582C"/>
    <w:rsid w:val="00855A4E"/>
    <w:rsid w:val="00855EC4"/>
    <w:rsid w:val="008570DD"/>
    <w:rsid w:val="008573FC"/>
    <w:rsid w:val="0086031D"/>
    <w:rsid w:val="00861253"/>
    <w:rsid w:val="00861380"/>
    <w:rsid w:val="00862099"/>
    <w:rsid w:val="00862937"/>
    <w:rsid w:val="00863021"/>
    <w:rsid w:val="00863B7D"/>
    <w:rsid w:val="00866538"/>
    <w:rsid w:val="00866AA4"/>
    <w:rsid w:val="0086784C"/>
    <w:rsid w:val="00870712"/>
    <w:rsid w:val="00870B4E"/>
    <w:rsid w:val="00871DB5"/>
    <w:rsid w:val="008720B6"/>
    <w:rsid w:val="008724A1"/>
    <w:rsid w:val="008726F7"/>
    <w:rsid w:val="008751C6"/>
    <w:rsid w:val="00875352"/>
    <w:rsid w:val="00875702"/>
    <w:rsid w:val="00875722"/>
    <w:rsid w:val="008765C0"/>
    <w:rsid w:val="008767AF"/>
    <w:rsid w:val="0087787F"/>
    <w:rsid w:val="008778FE"/>
    <w:rsid w:val="0088061F"/>
    <w:rsid w:val="0088187B"/>
    <w:rsid w:val="00882CC7"/>
    <w:rsid w:val="00883D9E"/>
    <w:rsid w:val="0088479D"/>
    <w:rsid w:val="00884F7C"/>
    <w:rsid w:val="008852C3"/>
    <w:rsid w:val="0088542C"/>
    <w:rsid w:val="00885A1C"/>
    <w:rsid w:val="00885BA8"/>
    <w:rsid w:val="00885D8C"/>
    <w:rsid w:val="0088604D"/>
    <w:rsid w:val="008867AC"/>
    <w:rsid w:val="008869B2"/>
    <w:rsid w:val="00886CE1"/>
    <w:rsid w:val="00886E47"/>
    <w:rsid w:val="00887522"/>
    <w:rsid w:val="00887593"/>
    <w:rsid w:val="00887B2E"/>
    <w:rsid w:val="00887DED"/>
    <w:rsid w:val="0089096B"/>
    <w:rsid w:val="00890FB1"/>
    <w:rsid w:val="008910F1"/>
    <w:rsid w:val="008918EA"/>
    <w:rsid w:val="0089198D"/>
    <w:rsid w:val="008925AD"/>
    <w:rsid w:val="008927B3"/>
    <w:rsid w:val="00893292"/>
    <w:rsid w:val="00893AA7"/>
    <w:rsid w:val="00893B15"/>
    <w:rsid w:val="00894781"/>
    <w:rsid w:val="008961EC"/>
    <w:rsid w:val="0089675E"/>
    <w:rsid w:val="00896799"/>
    <w:rsid w:val="00896CFC"/>
    <w:rsid w:val="00896D40"/>
    <w:rsid w:val="008A0C25"/>
    <w:rsid w:val="008A0F1B"/>
    <w:rsid w:val="008A1334"/>
    <w:rsid w:val="008A1938"/>
    <w:rsid w:val="008A1989"/>
    <w:rsid w:val="008A27C4"/>
    <w:rsid w:val="008A4858"/>
    <w:rsid w:val="008A51B6"/>
    <w:rsid w:val="008A5612"/>
    <w:rsid w:val="008A5877"/>
    <w:rsid w:val="008A5C4A"/>
    <w:rsid w:val="008A6FF5"/>
    <w:rsid w:val="008B0B66"/>
    <w:rsid w:val="008B13A5"/>
    <w:rsid w:val="008B20F9"/>
    <w:rsid w:val="008B2343"/>
    <w:rsid w:val="008B2830"/>
    <w:rsid w:val="008B3983"/>
    <w:rsid w:val="008B3B79"/>
    <w:rsid w:val="008B3F22"/>
    <w:rsid w:val="008B4002"/>
    <w:rsid w:val="008B4063"/>
    <w:rsid w:val="008B459A"/>
    <w:rsid w:val="008B4BFC"/>
    <w:rsid w:val="008B5253"/>
    <w:rsid w:val="008B5AE2"/>
    <w:rsid w:val="008B61FA"/>
    <w:rsid w:val="008B68BB"/>
    <w:rsid w:val="008B701F"/>
    <w:rsid w:val="008B71E3"/>
    <w:rsid w:val="008B732E"/>
    <w:rsid w:val="008B7898"/>
    <w:rsid w:val="008C035F"/>
    <w:rsid w:val="008C0415"/>
    <w:rsid w:val="008C08A4"/>
    <w:rsid w:val="008C2C37"/>
    <w:rsid w:val="008C2E9C"/>
    <w:rsid w:val="008C3324"/>
    <w:rsid w:val="008C3431"/>
    <w:rsid w:val="008C346D"/>
    <w:rsid w:val="008C587A"/>
    <w:rsid w:val="008C6981"/>
    <w:rsid w:val="008C7647"/>
    <w:rsid w:val="008C796F"/>
    <w:rsid w:val="008C7BFA"/>
    <w:rsid w:val="008C7CC2"/>
    <w:rsid w:val="008D0693"/>
    <w:rsid w:val="008D0835"/>
    <w:rsid w:val="008D1154"/>
    <w:rsid w:val="008D130C"/>
    <w:rsid w:val="008D14F4"/>
    <w:rsid w:val="008D25FA"/>
    <w:rsid w:val="008D2BF0"/>
    <w:rsid w:val="008D2C20"/>
    <w:rsid w:val="008D2F75"/>
    <w:rsid w:val="008D312B"/>
    <w:rsid w:val="008D32BD"/>
    <w:rsid w:val="008D3DB9"/>
    <w:rsid w:val="008D4748"/>
    <w:rsid w:val="008D47A9"/>
    <w:rsid w:val="008D65B8"/>
    <w:rsid w:val="008D6B55"/>
    <w:rsid w:val="008D6BA6"/>
    <w:rsid w:val="008D6C19"/>
    <w:rsid w:val="008D739D"/>
    <w:rsid w:val="008D79A5"/>
    <w:rsid w:val="008D7C8B"/>
    <w:rsid w:val="008E001D"/>
    <w:rsid w:val="008E081B"/>
    <w:rsid w:val="008E097C"/>
    <w:rsid w:val="008E0A13"/>
    <w:rsid w:val="008E0CF7"/>
    <w:rsid w:val="008E1189"/>
    <w:rsid w:val="008E1A53"/>
    <w:rsid w:val="008E242B"/>
    <w:rsid w:val="008E2A06"/>
    <w:rsid w:val="008E2F4D"/>
    <w:rsid w:val="008E3144"/>
    <w:rsid w:val="008E517B"/>
    <w:rsid w:val="008E529C"/>
    <w:rsid w:val="008E5B68"/>
    <w:rsid w:val="008E5D86"/>
    <w:rsid w:val="008E63BC"/>
    <w:rsid w:val="008E6C20"/>
    <w:rsid w:val="008E72B3"/>
    <w:rsid w:val="008E7C11"/>
    <w:rsid w:val="008F031C"/>
    <w:rsid w:val="008F12DF"/>
    <w:rsid w:val="008F137A"/>
    <w:rsid w:val="008F166E"/>
    <w:rsid w:val="008F16B0"/>
    <w:rsid w:val="008F4391"/>
    <w:rsid w:val="008F5036"/>
    <w:rsid w:val="008F5330"/>
    <w:rsid w:val="008F57FD"/>
    <w:rsid w:val="008F5E84"/>
    <w:rsid w:val="008F62BA"/>
    <w:rsid w:val="008F63B1"/>
    <w:rsid w:val="008F7445"/>
    <w:rsid w:val="008F77D7"/>
    <w:rsid w:val="008F7958"/>
    <w:rsid w:val="008F7C58"/>
    <w:rsid w:val="009008E5"/>
    <w:rsid w:val="00900993"/>
    <w:rsid w:val="009015E4"/>
    <w:rsid w:val="00901A6E"/>
    <w:rsid w:val="00901B2A"/>
    <w:rsid w:val="00901F03"/>
    <w:rsid w:val="00902044"/>
    <w:rsid w:val="009029FC"/>
    <w:rsid w:val="0090333C"/>
    <w:rsid w:val="0090382B"/>
    <w:rsid w:val="00903E4B"/>
    <w:rsid w:val="00903FA5"/>
    <w:rsid w:val="00904994"/>
    <w:rsid w:val="00905C9B"/>
    <w:rsid w:val="009069B5"/>
    <w:rsid w:val="00906B6C"/>
    <w:rsid w:val="00906E54"/>
    <w:rsid w:val="00910567"/>
    <w:rsid w:val="009105F0"/>
    <w:rsid w:val="00910AA1"/>
    <w:rsid w:val="0091217A"/>
    <w:rsid w:val="0091274D"/>
    <w:rsid w:val="00912C8F"/>
    <w:rsid w:val="00913331"/>
    <w:rsid w:val="009134A2"/>
    <w:rsid w:val="00914EA7"/>
    <w:rsid w:val="0091550E"/>
    <w:rsid w:val="00915859"/>
    <w:rsid w:val="00916BF4"/>
    <w:rsid w:val="00917576"/>
    <w:rsid w:val="009203FB"/>
    <w:rsid w:val="0092158C"/>
    <w:rsid w:val="00921A32"/>
    <w:rsid w:val="00921CA4"/>
    <w:rsid w:val="00923145"/>
    <w:rsid w:val="009239E0"/>
    <w:rsid w:val="00923A16"/>
    <w:rsid w:val="00924695"/>
    <w:rsid w:val="00924B11"/>
    <w:rsid w:val="0092564C"/>
    <w:rsid w:val="00925E41"/>
    <w:rsid w:val="00925F65"/>
    <w:rsid w:val="00926E73"/>
    <w:rsid w:val="009270DC"/>
    <w:rsid w:val="00927183"/>
    <w:rsid w:val="00927604"/>
    <w:rsid w:val="00927FB1"/>
    <w:rsid w:val="009300B1"/>
    <w:rsid w:val="00930256"/>
    <w:rsid w:val="0093034D"/>
    <w:rsid w:val="00930512"/>
    <w:rsid w:val="0093086D"/>
    <w:rsid w:val="009312C7"/>
    <w:rsid w:val="00931476"/>
    <w:rsid w:val="00931854"/>
    <w:rsid w:val="009318B9"/>
    <w:rsid w:val="00931997"/>
    <w:rsid w:val="00931E44"/>
    <w:rsid w:val="00932038"/>
    <w:rsid w:val="0093206B"/>
    <w:rsid w:val="009320D3"/>
    <w:rsid w:val="0093232F"/>
    <w:rsid w:val="00932462"/>
    <w:rsid w:val="00932C10"/>
    <w:rsid w:val="00932CF6"/>
    <w:rsid w:val="00933184"/>
    <w:rsid w:val="009340B8"/>
    <w:rsid w:val="00934270"/>
    <w:rsid w:val="0093459A"/>
    <w:rsid w:val="00934664"/>
    <w:rsid w:val="00934B29"/>
    <w:rsid w:val="009351D8"/>
    <w:rsid w:val="00936737"/>
    <w:rsid w:val="009373D2"/>
    <w:rsid w:val="009377BD"/>
    <w:rsid w:val="00937B05"/>
    <w:rsid w:val="00937E3A"/>
    <w:rsid w:val="0094011C"/>
    <w:rsid w:val="00940517"/>
    <w:rsid w:val="00941355"/>
    <w:rsid w:val="00943982"/>
    <w:rsid w:val="009442B5"/>
    <w:rsid w:val="009446D3"/>
    <w:rsid w:val="00944745"/>
    <w:rsid w:val="009447A4"/>
    <w:rsid w:val="00944AFD"/>
    <w:rsid w:val="00945EDE"/>
    <w:rsid w:val="009463E8"/>
    <w:rsid w:val="00946AB0"/>
    <w:rsid w:val="00946AF9"/>
    <w:rsid w:val="00946BDE"/>
    <w:rsid w:val="009471C7"/>
    <w:rsid w:val="009478FC"/>
    <w:rsid w:val="00947E09"/>
    <w:rsid w:val="00947E92"/>
    <w:rsid w:val="00947FCC"/>
    <w:rsid w:val="009500D8"/>
    <w:rsid w:val="009502A6"/>
    <w:rsid w:val="009503BE"/>
    <w:rsid w:val="00951118"/>
    <w:rsid w:val="0095196C"/>
    <w:rsid w:val="0095249B"/>
    <w:rsid w:val="009524EE"/>
    <w:rsid w:val="009525B7"/>
    <w:rsid w:val="009543A5"/>
    <w:rsid w:val="00954FF7"/>
    <w:rsid w:val="009568A5"/>
    <w:rsid w:val="00957257"/>
    <w:rsid w:val="0096059F"/>
    <w:rsid w:val="00960674"/>
    <w:rsid w:val="00960BCB"/>
    <w:rsid w:val="00960DE7"/>
    <w:rsid w:val="00960E6E"/>
    <w:rsid w:val="0096113B"/>
    <w:rsid w:val="00962386"/>
    <w:rsid w:val="009628DE"/>
    <w:rsid w:val="00962D85"/>
    <w:rsid w:val="00962E0B"/>
    <w:rsid w:val="009630B6"/>
    <w:rsid w:val="00963F66"/>
    <w:rsid w:val="0096409F"/>
    <w:rsid w:val="00964538"/>
    <w:rsid w:val="009645E8"/>
    <w:rsid w:val="00964B59"/>
    <w:rsid w:val="009657E3"/>
    <w:rsid w:val="009667B7"/>
    <w:rsid w:val="00966847"/>
    <w:rsid w:val="00966B96"/>
    <w:rsid w:val="00966F38"/>
    <w:rsid w:val="00967413"/>
    <w:rsid w:val="00967D03"/>
    <w:rsid w:val="00967EB0"/>
    <w:rsid w:val="009700F9"/>
    <w:rsid w:val="009705BE"/>
    <w:rsid w:val="00970F9B"/>
    <w:rsid w:val="009718BC"/>
    <w:rsid w:val="009719D2"/>
    <w:rsid w:val="00971B9A"/>
    <w:rsid w:val="00971D70"/>
    <w:rsid w:val="009720AB"/>
    <w:rsid w:val="0097218E"/>
    <w:rsid w:val="00973F22"/>
    <w:rsid w:val="00974846"/>
    <w:rsid w:val="0097491E"/>
    <w:rsid w:val="0097649F"/>
    <w:rsid w:val="00976E0F"/>
    <w:rsid w:val="00980016"/>
    <w:rsid w:val="00980A19"/>
    <w:rsid w:val="009810FA"/>
    <w:rsid w:val="00981177"/>
    <w:rsid w:val="009815B1"/>
    <w:rsid w:val="009824DB"/>
    <w:rsid w:val="009830C9"/>
    <w:rsid w:val="00984064"/>
    <w:rsid w:val="009846DC"/>
    <w:rsid w:val="00984CB4"/>
    <w:rsid w:val="00985C88"/>
    <w:rsid w:val="00985CCE"/>
    <w:rsid w:val="00985E2C"/>
    <w:rsid w:val="00986478"/>
    <w:rsid w:val="00986582"/>
    <w:rsid w:val="009865BB"/>
    <w:rsid w:val="00986E7F"/>
    <w:rsid w:val="00987692"/>
    <w:rsid w:val="0099133C"/>
    <w:rsid w:val="00991D16"/>
    <w:rsid w:val="009937B8"/>
    <w:rsid w:val="0099395F"/>
    <w:rsid w:val="00993D66"/>
    <w:rsid w:val="009942F3"/>
    <w:rsid w:val="00994930"/>
    <w:rsid w:val="00994EB0"/>
    <w:rsid w:val="0099553D"/>
    <w:rsid w:val="009955EB"/>
    <w:rsid w:val="00995867"/>
    <w:rsid w:val="00996121"/>
    <w:rsid w:val="009964BD"/>
    <w:rsid w:val="00996E1E"/>
    <w:rsid w:val="00997527"/>
    <w:rsid w:val="0099787F"/>
    <w:rsid w:val="00997D7C"/>
    <w:rsid w:val="009A0193"/>
    <w:rsid w:val="009A1CA8"/>
    <w:rsid w:val="009A1D9A"/>
    <w:rsid w:val="009A1EF8"/>
    <w:rsid w:val="009A2131"/>
    <w:rsid w:val="009A29C2"/>
    <w:rsid w:val="009A36BE"/>
    <w:rsid w:val="009A397C"/>
    <w:rsid w:val="009A47D0"/>
    <w:rsid w:val="009A5BF2"/>
    <w:rsid w:val="009A6504"/>
    <w:rsid w:val="009A793F"/>
    <w:rsid w:val="009A7FC3"/>
    <w:rsid w:val="009B01A8"/>
    <w:rsid w:val="009B0AA9"/>
    <w:rsid w:val="009B1257"/>
    <w:rsid w:val="009B28B2"/>
    <w:rsid w:val="009B36ED"/>
    <w:rsid w:val="009B3C99"/>
    <w:rsid w:val="009B3DE0"/>
    <w:rsid w:val="009B4B31"/>
    <w:rsid w:val="009B5565"/>
    <w:rsid w:val="009B569E"/>
    <w:rsid w:val="009B5B71"/>
    <w:rsid w:val="009B5BCA"/>
    <w:rsid w:val="009B6F1C"/>
    <w:rsid w:val="009B745C"/>
    <w:rsid w:val="009B75A0"/>
    <w:rsid w:val="009C125E"/>
    <w:rsid w:val="009C187E"/>
    <w:rsid w:val="009C1A08"/>
    <w:rsid w:val="009C1D67"/>
    <w:rsid w:val="009C266D"/>
    <w:rsid w:val="009C434F"/>
    <w:rsid w:val="009C4737"/>
    <w:rsid w:val="009C57AC"/>
    <w:rsid w:val="009C643D"/>
    <w:rsid w:val="009C6CA0"/>
    <w:rsid w:val="009C7C27"/>
    <w:rsid w:val="009C7C4F"/>
    <w:rsid w:val="009D0757"/>
    <w:rsid w:val="009D0C9A"/>
    <w:rsid w:val="009D10C7"/>
    <w:rsid w:val="009D16E5"/>
    <w:rsid w:val="009D30FB"/>
    <w:rsid w:val="009D333E"/>
    <w:rsid w:val="009D40DB"/>
    <w:rsid w:val="009D4389"/>
    <w:rsid w:val="009D6753"/>
    <w:rsid w:val="009D70A9"/>
    <w:rsid w:val="009D72D7"/>
    <w:rsid w:val="009E0800"/>
    <w:rsid w:val="009E0E6E"/>
    <w:rsid w:val="009E100A"/>
    <w:rsid w:val="009E149B"/>
    <w:rsid w:val="009E21D8"/>
    <w:rsid w:val="009E2A45"/>
    <w:rsid w:val="009E33DA"/>
    <w:rsid w:val="009E3788"/>
    <w:rsid w:val="009E3DA1"/>
    <w:rsid w:val="009E3F2B"/>
    <w:rsid w:val="009E43BB"/>
    <w:rsid w:val="009E4BE1"/>
    <w:rsid w:val="009E59E0"/>
    <w:rsid w:val="009E5B43"/>
    <w:rsid w:val="009E5F13"/>
    <w:rsid w:val="009E6314"/>
    <w:rsid w:val="009E636C"/>
    <w:rsid w:val="009E757B"/>
    <w:rsid w:val="009E76FF"/>
    <w:rsid w:val="009E7AB0"/>
    <w:rsid w:val="009E7C70"/>
    <w:rsid w:val="009F036A"/>
    <w:rsid w:val="009F1451"/>
    <w:rsid w:val="009F1771"/>
    <w:rsid w:val="009F1A0A"/>
    <w:rsid w:val="009F1C55"/>
    <w:rsid w:val="009F2732"/>
    <w:rsid w:val="009F2EFD"/>
    <w:rsid w:val="009F34FE"/>
    <w:rsid w:val="009F395C"/>
    <w:rsid w:val="009F4342"/>
    <w:rsid w:val="009F4BD9"/>
    <w:rsid w:val="009F5ED0"/>
    <w:rsid w:val="009F6D1A"/>
    <w:rsid w:val="009F6EB7"/>
    <w:rsid w:val="009F6F27"/>
    <w:rsid w:val="009F79DA"/>
    <w:rsid w:val="00A00156"/>
    <w:rsid w:val="00A00CA8"/>
    <w:rsid w:val="00A01BAB"/>
    <w:rsid w:val="00A0225D"/>
    <w:rsid w:val="00A023CF"/>
    <w:rsid w:val="00A032DD"/>
    <w:rsid w:val="00A03E3F"/>
    <w:rsid w:val="00A049CB"/>
    <w:rsid w:val="00A04BDC"/>
    <w:rsid w:val="00A059C6"/>
    <w:rsid w:val="00A0625E"/>
    <w:rsid w:val="00A06BAC"/>
    <w:rsid w:val="00A07312"/>
    <w:rsid w:val="00A07CE6"/>
    <w:rsid w:val="00A1010C"/>
    <w:rsid w:val="00A10345"/>
    <w:rsid w:val="00A10628"/>
    <w:rsid w:val="00A10867"/>
    <w:rsid w:val="00A10D50"/>
    <w:rsid w:val="00A110BA"/>
    <w:rsid w:val="00A1169E"/>
    <w:rsid w:val="00A12834"/>
    <w:rsid w:val="00A12907"/>
    <w:rsid w:val="00A12B89"/>
    <w:rsid w:val="00A13F30"/>
    <w:rsid w:val="00A14789"/>
    <w:rsid w:val="00A14B6D"/>
    <w:rsid w:val="00A14DA2"/>
    <w:rsid w:val="00A14E8A"/>
    <w:rsid w:val="00A155EF"/>
    <w:rsid w:val="00A15CE2"/>
    <w:rsid w:val="00A16D89"/>
    <w:rsid w:val="00A16FCD"/>
    <w:rsid w:val="00A172DF"/>
    <w:rsid w:val="00A2011D"/>
    <w:rsid w:val="00A21268"/>
    <w:rsid w:val="00A2135A"/>
    <w:rsid w:val="00A21C0A"/>
    <w:rsid w:val="00A233DE"/>
    <w:rsid w:val="00A23BE0"/>
    <w:rsid w:val="00A23EAF"/>
    <w:rsid w:val="00A24F69"/>
    <w:rsid w:val="00A25D9A"/>
    <w:rsid w:val="00A26AA7"/>
    <w:rsid w:val="00A26CAA"/>
    <w:rsid w:val="00A2701E"/>
    <w:rsid w:val="00A270A2"/>
    <w:rsid w:val="00A303FD"/>
    <w:rsid w:val="00A306FA"/>
    <w:rsid w:val="00A3084A"/>
    <w:rsid w:val="00A30B47"/>
    <w:rsid w:val="00A317B9"/>
    <w:rsid w:val="00A32A0C"/>
    <w:rsid w:val="00A33390"/>
    <w:rsid w:val="00A333A7"/>
    <w:rsid w:val="00A34330"/>
    <w:rsid w:val="00A34526"/>
    <w:rsid w:val="00A34906"/>
    <w:rsid w:val="00A3591C"/>
    <w:rsid w:val="00A365A0"/>
    <w:rsid w:val="00A36725"/>
    <w:rsid w:val="00A3689F"/>
    <w:rsid w:val="00A36CF2"/>
    <w:rsid w:val="00A37104"/>
    <w:rsid w:val="00A37C78"/>
    <w:rsid w:val="00A4110D"/>
    <w:rsid w:val="00A413FE"/>
    <w:rsid w:val="00A41CA8"/>
    <w:rsid w:val="00A41E06"/>
    <w:rsid w:val="00A42668"/>
    <w:rsid w:val="00A4315E"/>
    <w:rsid w:val="00A43F28"/>
    <w:rsid w:val="00A465D8"/>
    <w:rsid w:val="00A46C31"/>
    <w:rsid w:val="00A46DF5"/>
    <w:rsid w:val="00A474C7"/>
    <w:rsid w:val="00A504DB"/>
    <w:rsid w:val="00A512FA"/>
    <w:rsid w:val="00A513DF"/>
    <w:rsid w:val="00A515D8"/>
    <w:rsid w:val="00A51913"/>
    <w:rsid w:val="00A5291F"/>
    <w:rsid w:val="00A529A8"/>
    <w:rsid w:val="00A52CB6"/>
    <w:rsid w:val="00A54C75"/>
    <w:rsid w:val="00A55B69"/>
    <w:rsid w:val="00A563FD"/>
    <w:rsid w:val="00A56A37"/>
    <w:rsid w:val="00A56A87"/>
    <w:rsid w:val="00A570CE"/>
    <w:rsid w:val="00A6073C"/>
    <w:rsid w:val="00A60BDC"/>
    <w:rsid w:val="00A62144"/>
    <w:rsid w:val="00A62493"/>
    <w:rsid w:val="00A62916"/>
    <w:rsid w:val="00A6296E"/>
    <w:rsid w:val="00A62985"/>
    <w:rsid w:val="00A62F01"/>
    <w:rsid w:val="00A64249"/>
    <w:rsid w:val="00A64540"/>
    <w:rsid w:val="00A6498B"/>
    <w:rsid w:val="00A65CDF"/>
    <w:rsid w:val="00A6680D"/>
    <w:rsid w:val="00A66938"/>
    <w:rsid w:val="00A66B07"/>
    <w:rsid w:val="00A66BB1"/>
    <w:rsid w:val="00A66C81"/>
    <w:rsid w:val="00A66CEC"/>
    <w:rsid w:val="00A67024"/>
    <w:rsid w:val="00A677C2"/>
    <w:rsid w:val="00A677F5"/>
    <w:rsid w:val="00A67A61"/>
    <w:rsid w:val="00A67A79"/>
    <w:rsid w:val="00A704A2"/>
    <w:rsid w:val="00A719BD"/>
    <w:rsid w:val="00A71C3A"/>
    <w:rsid w:val="00A71EFA"/>
    <w:rsid w:val="00A72C57"/>
    <w:rsid w:val="00A72E6C"/>
    <w:rsid w:val="00A72FC8"/>
    <w:rsid w:val="00A73EFB"/>
    <w:rsid w:val="00A73FA7"/>
    <w:rsid w:val="00A7417B"/>
    <w:rsid w:val="00A749BC"/>
    <w:rsid w:val="00A74D93"/>
    <w:rsid w:val="00A753D8"/>
    <w:rsid w:val="00A75463"/>
    <w:rsid w:val="00A7604F"/>
    <w:rsid w:val="00A7769B"/>
    <w:rsid w:val="00A77793"/>
    <w:rsid w:val="00A779E9"/>
    <w:rsid w:val="00A80F23"/>
    <w:rsid w:val="00A819D1"/>
    <w:rsid w:val="00A81C31"/>
    <w:rsid w:val="00A82FFF"/>
    <w:rsid w:val="00A83E73"/>
    <w:rsid w:val="00A84681"/>
    <w:rsid w:val="00A84AD6"/>
    <w:rsid w:val="00A84D71"/>
    <w:rsid w:val="00A84ECA"/>
    <w:rsid w:val="00A84FAB"/>
    <w:rsid w:val="00A85811"/>
    <w:rsid w:val="00A85D64"/>
    <w:rsid w:val="00A86FF9"/>
    <w:rsid w:val="00A87F1B"/>
    <w:rsid w:val="00A90353"/>
    <w:rsid w:val="00A91333"/>
    <w:rsid w:val="00A92185"/>
    <w:rsid w:val="00A921DC"/>
    <w:rsid w:val="00A92812"/>
    <w:rsid w:val="00A92882"/>
    <w:rsid w:val="00A93747"/>
    <w:rsid w:val="00A93E77"/>
    <w:rsid w:val="00A941B5"/>
    <w:rsid w:val="00A94A9A"/>
    <w:rsid w:val="00A94B2E"/>
    <w:rsid w:val="00A94CCA"/>
    <w:rsid w:val="00A955F1"/>
    <w:rsid w:val="00A95E6F"/>
    <w:rsid w:val="00A96577"/>
    <w:rsid w:val="00A96D02"/>
    <w:rsid w:val="00A97071"/>
    <w:rsid w:val="00A9762F"/>
    <w:rsid w:val="00A976B7"/>
    <w:rsid w:val="00A978CD"/>
    <w:rsid w:val="00AA0027"/>
    <w:rsid w:val="00AA079B"/>
    <w:rsid w:val="00AA07D1"/>
    <w:rsid w:val="00AA247E"/>
    <w:rsid w:val="00AA3E19"/>
    <w:rsid w:val="00AA443E"/>
    <w:rsid w:val="00AA51B4"/>
    <w:rsid w:val="00AA5AB8"/>
    <w:rsid w:val="00AA6432"/>
    <w:rsid w:val="00AA69F2"/>
    <w:rsid w:val="00AA6F8E"/>
    <w:rsid w:val="00AA79CB"/>
    <w:rsid w:val="00AA7C43"/>
    <w:rsid w:val="00AB025F"/>
    <w:rsid w:val="00AB0306"/>
    <w:rsid w:val="00AB06B1"/>
    <w:rsid w:val="00AB0FAD"/>
    <w:rsid w:val="00AB11C5"/>
    <w:rsid w:val="00AB2117"/>
    <w:rsid w:val="00AB3265"/>
    <w:rsid w:val="00AB32B4"/>
    <w:rsid w:val="00AB3934"/>
    <w:rsid w:val="00AB39F9"/>
    <w:rsid w:val="00AB3E8A"/>
    <w:rsid w:val="00AB3F66"/>
    <w:rsid w:val="00AB47B2"/>
    <w:rsid w:val="00AB5468"/>
    <w:rsid w:val="00AB5BBA"/>
    <w:rsid w:val="00AB6986"/>
    <w:rsid w:val="00AB6D9A"/>
    <w:rsid w:val="00AB6EAA"/>
    <w:rsid w:val="00AB706B"/>
    <w:rsid w:val="00AB7294"/>
    <w:rsid w:val="00AC09DF"/>
    <w:rsid w:val="00AC0ABA"/>
    <w:rsid w:val="00AC1479"/>
    <w:rsid w:val="00AC2342"/>
    <w:rsid w:val="00AC3129"/>
    <w:rsid w:val="00AC3655"/>
    <w:rsid w:val="00AC38FF"/>
    <w:rsid w:val="00AC3DC2"/>
    <w:rsid w:val="00AC401B"/>
    <w:rsid w:val="00AC4033"/>
    <w:rsid w:val="00AC4064"/>
    <w:rsid w:val="00AC42AB"/>
    <w:rsid w:val="00AC4EA7"/>
    <w:rsid w:val="00AC60AD"/>
    <w:rsid w:val="00AC6522"/>
    <w:rsid w:val="00AC6980"/>
    <w:rsid w:val="00AC7135"/>
    <w:rsid w:val="00AC7224"/>
    <w:rsid w:val="00AC76A4"/>
    <w:rsid w:val="00AC77B3"/>
    <w:rsid w:val="00AD04B5"/>
    <w:rsid w:val="00AD18F4"/>
    <w:rsid w:val="00AD1B16"/>
    <w:rsid w:val="00AD1BBC"/>
    <w:rsid w:val="00AD1C0D"/>
    <w:rsid w:val="00AD1DD8"/>
    <w:rsid w:val="00AD2283"/>
    <w:rsid w:val="00AD2EEA"/>
    <w:rsid w:val="00AD3039"/>
    <w:rsid w:val="00AD3E8D"/>
    <w:rsid w:val="00AD412D"/>
    <w:rsid w:val="00AD45D0"/>
    <w:rsid w:val="00AD4618"/>
    <w:rsid w:val="00AD462E"/>
    <w:rsid w:val="00AD5120"/>
    <w:rsid w:val="00AD5330"/>
    <w:rsid w:val="00AD5748"/>
    <w:rsid w:val="00AD5868"/>
    <w:rsid w:val="00AD6534"/>
    <w:rsid w:val="00AD65EA"/>
    <w:rsid w:val="00AD665F"/>
    <w:rsid w:val="00AD6BC6"/>
    <w:rsid w:val="00AD7FC6"/>
    <w:rsid w:val="00AE1A0E"/>
    <w:rsid w:val="00AE1ECC"/>
    <w:rsid w:val="00AE2175"/>
    <w:rsid w:val="00AE22B6"/>
    <w:rsid w:val="00AE2392"/>
    <w:rsid w:val="00AE25AA"/>
    <w:rsid w:val="00AE2875"/>
    <w:rsid w:val="00AE2F7D"/>
    <w:rsid w:val="00AE30BD"/>
    <w:rsid w:val="00AE36FC"/>
    <w:rsid w:val="00AE4849"/>
    <w:rsid w:val="00AE542C"/>
    <w:rsid w:val="00AE54BC"/>
    <w:rsid w:val="00AE5D9C"/>
    <w:rsid w:val="00AE64AF"/>
    <w:rsid w:val="00AE673B"/>
    <w:rsid w:val="00AE7363"/>
    <w:rsid w:val="00AE761A"/>
    <w:rsid w:val="00AE79AC"/>
    <w:rsid w:val="00AE7FE8"/>
    <w:rsid w:val="00AF0CD8"/>
    <w:rsid w:val="00AF1E66"/>
    <w:rsid w:val="00AF2564"/>
    <w:rsid w:val="00AF333E"/>
    <w:rsid w:val="00AF41E9"/>
    <w:rsid w:val="00AF45CC"/>
    <w:rsid w:val="00AF542C"/>
    <w:rsid w:val="00AF55B6"/>
    <w:rsid w:val="00AF6A06"/>
    <w:rsid w:val="00AF6C67"/>
    <w:rsid w:val="00AF7563"/>
    <w:rsid w:val="00AF79D5"/>
    <w:rsid w:val="00B007F9"/>
    <w:rsid w:val="00B00A99"/>
    <w:rsid w:val="00B00D89"/>
    <w:rsid w:val="00B00F48"/>
    <w:rsid w:val="00B00FD5"/>
    <w:rsid w:val="00B01092"/>
    <w:rsid w:val="00B014ED"/>
    <w:rsid w:val="00B016DB"/>
    <w:rsid w:val="00B02B81"/>
    <w:rsid w:val="00B0376F"/>
    <w:rsid w:val="00B04564"/>
    <w:rsid w:val="00B046E2"/>
    <w:rsid w:val="00B046EB"/>
    <w:rsid w:val="00B04A58"/>
    <w:rsid w:val="00B05653"/>
    <w:rsid w:val="00B06123"/>
    <w:rsid w:val="00B06239"/>
    <w:rsid w:val="00B06B50"/>
    <w:rsid w:val="00B06DDA"/>
    <w:rsid w:val="00B11B5B"/>
    <w:rsid w:val="00B11B91"/>
    <w:rsid w:val="00B124E3"/>
    <w:rsid w:val="00B13FA9"/>
    <w:rsid w:val="00B14355"/>
    <w:rsid w:val="00B1534D"/>
    <w:rsid w:val="00B15AB5"/>
    <w:rsid w:val="00B161DC"/>
    <w:rsid w:val="00B20580"/>
    <w:rsid w:val="00B221B5"/>
    <w:rsid w:val="00B22701"/>
    <w:rsid w:val="00B22AD5"/>
    <w:rsid w:val="00B22F22"/>
    <w:rsid w:val="00B231E4"/>
    <w:rsid w:val="00B2340D"/>
    <w:rsid w:val="00B239AA"/>
    <w:rsid w:val="00B2415B"/>
    <w:rsid w:val="00B2494A"/>
    <w:rsid w:val="00B24F1B"/>
    <w:rsid w:val="00B26F79"/>
    <w:rsid w:val="00B30EE6"/>
    <w:rsid w:val="00B3294C"/>
    <w:rsid w:val="00B32EBE"/>
    <w:rsid w:val="00B32FFE"/>
    <w:rsid w:val="00B33605"/>
    <w:rsid w:val="00B33EE1"/>
    <w:rsid w:val="00B3528B"/>
    <w:rsid w:val="00B3679E"/>
    <w:rsid w:val="00B37EA1"/>
    <w:rsid w:val="00B40038"/>
    <w:rsid w:val="00B40133"/>
    <w:rsid w:val="00B40927"/>
    <w:rsid w:val="00B410AB"/>
    <w:rsid w:val="00B4139D"/>
    <w:rsid w:val="00B413F4"/>
    <w:rsid w:val="00B4144B"/>
    <w:rsid w:val="00B42012"/>
    <w:rsid w:val="00B4215A"/>
    <w:rsid w:val="00B426F7"/>
    <w:rsid w:val="00B44315"/>
    <w:rsid w:val="00B44957"/>
    <w:rsid w:val="00B44B08"/>
    <w:rsid w:val="00B456EF"/>
    <w:rsid w:val="00B4599B"/>
    <w:rsid w:val="00B4652B"/>
    <w:rsid w:val="00B46907"/>
    <w:rsid w:val="00B47200"/>
    <w:rsid w:val="00B477B6"/>
    <w:rsid w:val="00B51B90"/>
    <w:rsid w:val="00B51D90"/>
    <w:rsid w:val="00B52446"/>
    <w:rsid w:val="00B52EEE"/>
    <w:rsid w:val="00B53212"/>
    <w:rsid w:val="00B53348"/>
    <w:rsid w:val="00B542F4"/>
    <w:rsid w:val="00B54390"/>
    <w:rsid w:val="00B549BC"/>
    <w:rsid w:val="00B54C0D"/>
    <w:rsid w:val="00B5582E"/>
    <w:rsid w:val="00B56CE2"/>
    <w:rsid w:val="00B57080"/>
    <w:rsid w:val="00B57221"/>
    <w:rsid w:val="00B57418"/>
    <w:rsid w:val="00B57AEB"/>
    <w:rsid w:val="00B57BA1"/>
    <w:rsid w:val="00B61005"/>
    <w:rsid w:val="00B616F3"/>
    <w:rsid w:val="00B61B47"/>
    <w:rsid w:val="00B61C21"/>
    <w:rsid w:val="00B626AE"/>
    <w:rsid w:val="00B62F17"/>
    <w:rsid w:val="00B637B3"/>
    <w:rsid w:val="00B64A62"/>
    <w:rsid w:val="00B65838"/>
    <w:rsid w:val="00B65BE8"/>
    <w:rsid w:val="00B66663"/>
    <w:rsid w:val="00B66907"/>
    <w:rsid w:val="00B67484"/>
    <w:rsid w:val="00B679B4"/>
    <w:rsid w:val="00B700B2"/>
    <w:rsid w:val="00B703B2"/>
    <w:rsid w:val="00B7078F"/>
    <w:rsid w:val="00B707F9"/>
    <w:rsid w:val="00B70D14"/>
    <w:rsid w:val="00B71623"/>
    <w:rsid w:val="00B71A04"/>
    <w:rsid w:val="00B71E19"/>
    <w:rsid w:val="00B72313"/>
    <w:rsid w:val="00B73608"/>
    <w:rsid w:val="00B7410E"/>
    <w:rsid w:val="00B7442A"/>
    <w:rsid w:val="00B7512D"/>
    <w:rsid w:val="00B75340"/>
    <w:rsid w:val="00B75D9B"/>
    <w:rsid w:val="00B773A7"/>
    <w:rsid w:val="00B7752B"/>
    <w:rsid w:val="00B777CE"/>
    <w:rsid w:val="00B80857"/>
    <w:rsid w:val="00B80ED1"/>
    <w:rsid w:val="00B81055"/>
    <w:rsid w:val="00B813C9"/>
    <w:rsid w:val="00B818B5"/>
    <w:rsid w:val="00B81B21"/>
    <w:rsid w:val="00B81EC5"/>
    <w:rsid w:val="00B81FFB"/>
    <w:rsid w:val="00B826D0"/>
    <w:rsid w:val="00B82CCC"/>
    <w:rsid w:val="00B8301C"/>
    <w:rsid w:val="00B83311"/>
    <w:rsid w:val="00B8431D"/>
    <w:rsid w:val="00B86A5C"/>
    <w:rsid w:val="00B86CC4"/>
    <w:rsid w:val="00B870E3"/>
    <w:rsid w:val="00B87D1F"/>
    <w:rsid w:val="00B90472"/>
    <w:rsid w:val="00B921BC"/>
    <w:rsid w:val="00B92660"/>
    <w:rsid w:val="00B92FB5"/>
    <w:rsid w:val="00B935CF"/>
    <w:rsid w:val="00B94337"/>
    <w:rsid w:val="00B946F8"/>
    <w:rsid w:val="00B950F7"/>
    <w:rsid w:val="00B95265"/>
    <w:rsid w:val="00B9576E"/>
    <w:rsid w:val="00B95C08"/>
    <w:rsid w:val="00B95E6E"/>
    <w:rsid w:val="00B9622C"/>
    <w:rsid w:val="00B96484"/>
    <w:rsid w:val="00B971DD"/>
    <w:rsid w:val="00B977E0"/>
    <w:rsid w:val="00B97DD0"/>
    <w:rsid w:val="00BA11E3"/>
    <w:rsid w:val="00BA1C3B"/>
    <w:rsid w:val="00BA243F"/>
    <w:rsid w:val="00BA2647"/>
    <w:rsid w:val="00BA2853"/>
    <w:rsid w:val="00BA3305"/>
    <w:rsid w:val="00BA3709"/>
    <w:rsid w:val="00BA3E45"/>
    <w:rsid w:val="00BA4FAE"/>
    <w:rsid w:val="00BA51B7"/>
    <w:rsid w:val="00BA6B41"/>
    <w:rsid w:val="00BA6D8C"/>
    <w:rsid w:val="00BA6E27"/>
    <w:rsid w:val="00BB09CD"/>
    <w:rsid w:val="00BB0D2A"/>
    <w:rsid w:val="00BB109F"/>
    <w:rsid w:val="00BB137D"/>
    <w:rsid w:val="00BB183A"/>
    <w:rsid w:val="00BB1B9E"/>
    <w:rsid w:val="00BB3051"/>
    <w:rsid w:val="00BB3182"/>
    <w:rsid w:val="00BB38B0"/>
    <w:rsid w:val="00BB3CA1"/>
    <w:rsid w:val="00BB4515"/>
    <w:rsid w:val="00BB5438"/>
    <w:rsid w:val="00BB5893"/>
    <w:rsid w:val="00BB7132"/>
    <w:rsid w:val="00BB7BE4"/>
    <w:rsid w:val="00BC027A"/>
    <w:rsid w:val="00BC03B9"/>
    <w:rsid w:val="00BC3922"/>
    <w:rsid w:val="00BC3D4B"/>
    <w:rsid w:val="00BC3F51"/>
    <w:rsid w:val="00BC467F"/>
    <w:rsid w:val="00BC54E1"/>
    <w:rsid w:val="00BC676D"/>
    <w:rsid w:val="00BC67A2"/>
    <w:rsid w:val="00BD0121"/>
    <w:rsid w:val="00BD0AE0"/>
    <w:rsid w:val="00BD1004"/>
    <w:rsid w:val="00BD13FE"/>
    <w:rsid w:val="00BD47CF"/>
    <w:rsid w:val="00BD504C"/>
    <w:rsid w:val="00BD5261"/>
    <w:rsid w:val="00BD5ECD"/>
    <w:rsid w:val="00BD66ED"/>
    <w:rsid w:val="00BD7439"/>
    <w:rsid w:val="00BD745E"/>
    <w:rsid w:val="00BD771A"/>
    <w:rsid w:val="00BD7875"/>
    <w:rsid w:val="00BD7C95"/>
    <w:rsid w:val="00BD7DF8"/>
    <w:rsid w:val="00BE0FDA"/>
    <w:rsid w:val="00BE1CEC"/>
    <w:rsid w:val="00BE1EDC"/>
    <w:rsid w:val="00BE2EEA"/>
    <w:rsid w:val="00BE31D3"/>
    <w:rsid w:val="00BE33BC"/>
    <w:rsid w:val="00BE34F6"/>
    <w:rsid w:val="00BE426E"/>
    <w:rsid w:val="00BE478B"/>
    <w:rsid w:val="00BE49BB"/>
    <w:rsid w:val="00BE586F"/>
    <w:rsid w:val="00BE5A5A"/>
    <w:rsid w:val="00BE5B21"/>
    <w:rsid w:val="00BE5DB9"/>
    <w:rsid w:val="00BE5EAB"/>
    <w:rsid w:val="00BE71FC"/>
    <w:rsid w:val="00BE7470"/>
    <w:rsid w:val="00BE790B"/>
    <w:rsid w:val="00BE799A"/>
    <w:rsid w:val="00BE7A5C"/>
    <w:rsid w:val="00BF1134"/>
    <w:rsid w:val="00BF1212"/>
    <w:rsid w:val="00BF141D"/>
    <w:rsid w:val="00BF2FA9"/>
    <w:rsid w:val="00BF3252"/>
    <w:rsid w:val="00BF34BB"/>
    <w:rsid w:val="00BF430A"/>
    <w:rsid w:val="00BF44A0"/>
    <w:rsid w:val="00BF4974"/>
    <w:rsid w:val="00BF5ACD"/>
    <w:rsid w:val="00BF6065"/>
    <w:rsid w:val="00BF6678"/>
    <w:rsid w:val="00BF6901"/>
    <w:rsid w:val="00BF6C59"/>
    <w:rsid w:val="00C002D4"/>
    <w:rsid w:val="00C00481"/>
    <w:rsid w:val="00C0088F"/>
    <w:rsid w:val="00C016E9"/>
    <w:rsid w:val="00C02300"/>
    <w:rsid w:val="00C025EF"/>
    <w:rsid w:val="00C02DA2"/>
    <w:rsid w:val="00C03579"/>
    <w:rsid w:val="00C0364B"/>
    <w:rsid w:val="00C04052"/>
    <w:rsid w:val="00C041C8"/>
    <w:rsid w:val="00C046F1"/>
    <w:rsid w:val="00C04F5C"/>
    <w:rsid w:val="00C051E1"/>
    <w:rsid w:val="00C064AF"/>
    <w:rsid w:val="00C067A0"/>
    <w:rsid w:val="00C06DCB"/>
    <w:rsid w:val="00C073D0"/>
    <w:rsid w:val="00C075B7"/>
    <w:rsid w:val="00C07CC7"/>
    <w:rsid w:val="00C07E93"/>
    <w:rsid w:val="00C103C0"/>
    <w:rsid w:val="00C10C9F"/>
    <w:rsid w:val="00C10D5B"/>
    <w:rsid w:val="00C10DE3"/>
    <w:rsid w:val="00C10EC5"/>
    <w:rsid w:val="00C12991"/>
    <w:rsid w:val="00C13130"/>
    <w:rsid w:val="00C14A4F"/>
    <w:rsid w:val="00C1612D"/>
    <w:rsid w:val="00C166D2"/>
    <w:rsid w:val="00C16784"/>
    <w:rsid w:val="00C16D76"/>
    <w:rsid w:val="00C1708C"/>
    <w:rsid w:val="00C205EE"/>
    <w:rsid w:val="00C21814"/>
    <w:rsid w:val="00C21C81"/>
    <w:rsid w:val="00C21F57"/>
    <w:rsid w:val="00C22B2D"/>
    <w:rsid w:val="00C22EC0"/>
    <w:rsid w:val="00C239A0"/>
    <w:rsid w:val="00C23D50"/>
    <w:rsid w:val="00C24087"/>
    <w:rsid w:val="00C24792"/>
    <w:rsid w:val="00C24F8B"/>
    <w:rsid w:val="00C25203"/>
    <w:rsid w:val="00C268D3"/>
    <w:rsid w:val="00C26BDE"/>
    <w:rsid w:val="00C2786C"/>
    <w:rsid w:val="00C27A82"/>
    <w:rsid w:val="00C27C91"/>
    <w:rsid w:val="00C30D4B"/>
    <w:rsid w:val="00C310DB"/>
    <w:rsid w:val="00C31135"/>
    <w:rsid w:val="00C31825"/>
    <w:rsid w:val="00C319BF"/>
    <w:rsid w:val="00C333D1"/>
    <w:rsid w:val="00C3420C"/>
    <w:rsid w:val="00C34571"/>
    <w:rsid w:val="00C3499F"/>
    <w:rsid w:val="00C35252"/>
    <w:rsid w:val="00C35B68"/>
    <w:rsid w:val="00C36561"/>
    <w:rsid w:val="00C36839"/>
    <w:rsid w:val="00C36A98"/>
    <w:rsid w:val="00C36C93"/>
    <w:rsid w:val="00C4014B"/>
    <w:rsid w:val="00C414F5"/>
    <w:rsid w:val="00C41C9B"/>
    <w:rsid w:val="00C4325E"/>
    <w:rsid w:val="00C44760"/>
    <w:rsid w:val="00C4550C"/>
    <w:rsid w:val="00C45715"/>
    <w:rsid w:val="00C4611A"/>
    <w:rsid w:val="00C50A19"/>
    <w:rsid w:val="00C510A1"/>
    <w:rsid w:val="00C51983"/>
    <w:rsid w:val="00C523EC"/>
    <w:rsid w:val="00C52619"/>
    <w:rsid w:val="00C527B0"/>
    <w:rsid w:val="00C5295F"/>
    <w:rsid w:val="00C52B69"/>
    <w:rsid w:val="00C539EE"/>
    <w:rsid w:val="00C539FB"/>
    <w:rsid w:val="00C53B92"/>
    <w:rsid w:val="00C547E8"/>
    <w:rsid w:val="00C54CFA"/>
    <w:rsid w:val="00C55DD0"/>
    <w:rsid w:val="00C560CA"/>
    <w:rsid w:val="00C564EC"/>
    <w:rsid w:val="00C56994"/>
    <w:rsid w:val="00C56EF9"/>
    <w:rsid w:val="00C57050"/>
    <w:rsid w:val="00C6055F"/>
    <w:rsid w:val="00C60B66"/>
    <w:rsid w:val="00C60D41"/>
    <w:rsid w:val="00C61A57"/>
    <w:rsid w:val="00C61F18"/>
    <w:rsid w:val="00C63C8F"/>
    <w:rsid w:val="00C64983"/>
    <w:rsid w:val="00C66051"/>
    <w:rsid w:val="00C6762E"/>
    <w:rsid w:val="00C67AA3"/>
    <w:rsid w:val="00C67CA2"/>
    <w:rsid w:val="00C67D1E"/>
    <w:rsid w:val="00C703C6"/>
    <w:rsid w:val="00C7055B"/>
    <w:rsid w:val="00C70829"/>
    <w:rsid w:val="00C71304"/>
    <w:rsid w:val="00C719BD"/>
    <w:rsid w:val="00C737A7"/>
    <w:rsid w:val="00C739DB"/>
    <w:rsid w:val="00C73CB8"/>
    <w:rsid w:val="00C73E9D"/>
    <w:rsid w:val="00C74043"/>
    <w:rsid w:val="00C742BF"/>
    <w:rsid w:val="00C74576"/>
    <w:rsid w:val="00C74687"/>
    <w:rsid w:val="00C74814"/>
    <w:rsid w:val="00C74D34"/>
    <w:rsid w:val="00C74D53"/>
    <w:rsid w:val="00C75543"/>
    <w:rsid w:val="00C75E13"/>
    <w:rsid w:val="00C75F84"/>
    <w:rsid w:val="00C762E4"/>
    <w:rsid w:val="00C77D2F"/>
    <w:rsid w:val="00C80D06"/>
    <w:rsid w:val="00C81103"/>
    <w:rsid w:val="00C8255F"/>
    <w:rsid w:val="00C826CC"/>
    <w:rsid w:val="00C8356C"/>
    <w:rsid w:val="00C83952"/>
    <w:rsid w:val="00C8462D"/>
    <w:rsid w:val="00C85295"/>
    <w:rsid w:val="00C85C25"/>
    <w:rsid w:val="00C85F32"/>
    <w:rsid w:val="00C87681"/>
    <w:rsid w:val="00C90296"/>
    <w:rsid w:val="00C9036D"/>
    <w:rsid w:val="00C908CB"/>
    <w:rsid w:val="00C90EDF"/>
    <w:rsid w:val="00C91A80"/>
    <w:rsid w:val="00C92373"/>
    <w:rsid w:val="00C92AF3"/>
    <w:rsid w:val="00C92E70"/>
    <w:rsid w:val="00C936BA"/>
    <w:rsid w:val="00C950F0"/>
    <w:rsid w:val="00C95D30"/>
    <w:rsid w:val="00C96AA3"/>
    <w:rsid w:val="00C97028"/>
    <w:rsid w:val="00C978AA"/>
    <w:rsid w:val="00C9791D"/>
    <w:rsid w:val="00C97E44"/>
    <w:rsid w:val="00CA079D"/>
    <w:rsid w:val="00CA0959"/>
    <w:rsid w:val="00CA21C7"/>
    <w:rsid w:val="00CA3248"/>
    <w:rsid w:val="00CA38DD"/>
    <w:rsid w:val="00CA44D0"/>
    <w:rsid w:val="00CA4D83"/>
    <w:rsid w:val="00CA516D"/>
    <w:rsid w:val="00CA5597"/>
    <w:rsid w:val="00CA598D"/>
    <w:rsid w:val="00CA60F7"/>
    <w:rsid w:val="00CA67D5"/>
    <w:rsid w:val="00CA6EDC"/>
    <w:rsid w:val="00CB02C4"/>
    <w:rsid w:val="00CB03AD"/>
    <w:rsid w:val="00CB0615"/>
    <w:rsid w:val="00CB1F24"/>
    <w:rsid w:val="00CB2367"/>
    <w:rsid w:val="00CB258B"/>
    <w:rsid w:val="00CB34FB"/>
    <w:rsid w:val="00CB36ED"/>
    <w:rsid w:val="00CB4BC5"/>
    <w:rsid w:val="00CB5586"/>
    <w:rsid w:val="00CB64CD"/>
    <w:rsid w:val="00CB6865"/>
    <w:rsid w:val="00CB71DB"/>
    <w:rsid w:val="00CB7C3D"/>
    <w:rsid w:val="00CC2046"/>
    <w:rsid w:val="00CC22D4"/>
    <w:rsid w:val="00CC2999"/>
    <w:rsid w:val="00CC332C"/>
    <w:rsid w:val="00CC33BD"/>
    <w:rsid w:val="00CC3A2E"/>
    <w:rsid w:val="00CC4255"/>
    <w:rsid w:val="00CC44A6"/>
    <w:rsid w:val="00CC46A6"/>
    <w:rsid w:val="00CC4870"/>
    <w:rsid w:val="00CC51BB"/>
    <w:rsid w:val="00CC5210"/>
    <w:rsid w:val="00CC5F15"/>
    <w:rsid w:val="00CC6AA2"/>
    <w:rsid w:val="00CC7558"/>
    <w:rsid w:val="00CC7CA8"/>
    <w:rsid w:val="00CD07F8"/>
    <w:rsid w:val="00CD08FB"/>
    <w:rsid w:val="00CD0B81"/>
    <w:rsid w:val="00CD136E"/>
    <w:rsid w:val="00CD13E8"/>
    <w:rsid w:val="00CD1AAE"/>
    <w:rsid w:val="00CD358B"/>
    <w:rsid w:val="00CD3CF4"/>
    <w:rsid w:val="00CD3D08"/>
    <w:rsid w:val="00CD547D"/>
    <w:rsid w:val="00CD5EBE"/>
    <w:rsid w:val="00CD623C"/>
    <w:rsid w:val="00CE0AB3"/>
    <w:rsid w:val="00CE13BD"/>
    <w:rsid w:val="00CE1C32"/>
    <w:rsid w:val="00CE2701"/>
    <w:rsid w:val="00CE270E"/>
    <w:rsid w:val="00CE2BA5"/>
    <w:rsid w:val="00CE2C31"/>
    <w:rsid w:val="00CE30D4"/>
    <w:rsid w:val="00CE3A23"/>
    <w:rsid w:val="00CE3AB0"/>
    <w:rsid w:val="00CE3B66"/>
    <w:rsid w:val="00CE42A8"/>
    <w:rsid w:val="00CE4BDB"/>
    <w:rsid w:val="00CE5970"/>
    <w:rsid w:val="00CE641F"/>
    <w:rsid w:val="00CF048E"/>
    <w:rsid w:val="00CF0554"/>
    <w:rsid w:val="00CF115E"/>
    <w:rsid w:val="00CF12A9"/>
    <w:rsid w:val="00CF1FC0"/>
    <w:rsid w:val="00CF1FC1"/>
    <w:rsid w:val="00CF21BF"/>
    <w:rsid w:val="00CF23F6"/>
    <w:rsid w:val="00CF24EC"/>
    <w:rsid w:val="00CF2830"/>
    <w:rsid w:val="00CF2A12"/>
    <w:rsid w:val="00CF35CC"/>
    <w:rsid w:val="00CF3AFC"/>
    <w:rsid w:val="00CF3DFD"/>
    <w:rsid w:val="00CF4BE7"/>
    <w:rsid w:val="00CF4D65"/>
    <w:rsid w:val="00CF5E7D"/>
    <w:rsid w:val="00CF61C5"/>
    <w:rsid w:val="00CF68E1"/>
    <w:rsid w:val="00CF6AD4"/>
    <w:rsid w:val="00CF71A8"/>
    <w:rsid w:val="00CF74B1"/>
    <w:rsid w:val="00CF773D"/>
    <w:rsid w:val="00CF7936"/>
    <w:rsid w:val="00CF7C10"/>
    <w:rsid w:val="00D00ACE"/>
    <w:rsid w:val="00D00E58"/>
    <w:rsid w:val="00D017E8"/>
    <w:rsid w:val="00D02C56"/>
    <w:rsid w:val="00D03055"/>
    <w:rsid w:val="00D031B6"/>
    <w:rsid w:val="00D03E1F"/>
    <w:rsid w:val="00D0445E"/>
    <w:rsid w:val="00D045FC"/>
    <w:rsid w:val="00D05735"/>
    <w:rsid w:val="00D10390"/>
    <w:rsid w:val="00D11ED0"/>
    <w:rsid w:val="00D1256B"/>
    <w:rsid w:val="00D12C94"/>
    <w:rsid w:val="00D12E1B"/>
    <w:rsid w:val="00D13CED"/>
    <w:rsid w:val="00D13F13"/>
    <w:rsid w:val="00D1483D"/>
    <w:rsid w:val="00D16130"/>
    <w:rsid w:val="00D1661B"/>
    <w:rsid w:val="00D16C9E"/>
    <w:rsid w:val="00D17E18"/>
    <w:rsid w:val="00D2029B"/>
    <w:rsid w:val="00D209D0"/>
    <w:rsid w:val="00D217D9"/>
    <w:rsid w:val="00D21A88"/>
    <w:rsid w:val="00D22E9C"/>
    <w:rsid w:val="00D23115"/>
    <w:rsid w:val="00D241D5"/>
    <w:rsid w:val="00D242F4"/>
    <w:rsid w:val="00D24920"/>
    <w:rsid w:val="00D24A65"/>
    <w:rsid w:val="00D25391"/>
    <w:rsid w:val="00D254BA"/>
    <w:rsid w:val="00D258D1"/>
    <w:rsid w:val="00D25DDC"/>
    <w:rsid w:val="00D26D3C"/>
    <w:rsid w:val="00D27271"/>
    <w:rsid w:val="00D2795F"/>
    <w:rsid w:val="00D30525"/>
    <w:rsid w:val="00D3100E"/>
    <w:rsid w:val="00D3171D"/>
    <w:rsid w:val="00D317F4"/>
    <w:rsid w:val="00D32251"/>
    <w:rsid w:val="00D3235C"/>
    <w:rsid w:val="00D32751"/>
    <w:rsid w:val="00D348F0"/>
    <w:rsid w:val="00D34CA8"/>
    <w:rsid w:val="00D3515A"/>
    <w:rsid w:val="00D35658"/>
    <w:rsid w:val="00D35B0E"/>
    <w:rsid w:val="00D36102"/>
    <w:rsid w:val="00D36650"/>
    <w:rsid w:val="00D369F3"/>
    <w:rsid w:val="00D40BF8"/>
    <w:rsid w:val="00D40DC5"/>
    <w:rsid w:val="00D42C42"/>
    <w:rsid w:val="00D42ED4"/>
    <w:rsid w:val="00D42FBE"/>
    <w:rsid w:val="00D441B8"/>
    <w:rsid w:val="00D444FD"/>
    <w:rsid w:val="00D446F4"/>
    <w:rsid w:val="00D44B6F"/>
    <w:rsid w:val="00D44DAF"/>
    <w:rsid w:val="00D453B6"/>
    <w:rsid w:val="00D45A08"/>
    <w:rsid w:val="00D45EE1"/>
    <w:rsid w:val="00D46026"/>
    <w:rsid w:val="00D467A0"/>
    <w:rsid w:val="00D47121"/>
    <w:rsid w:val="00D477B4"/>
    <w:rsid w:val="00D47C84"/>
    <w:rsid w:val="00D47FE0"/>
    <w:rsid w:val="00D50018"/>
    <w:rsid w:val="00D5062A"/>
    <w:rsid w:val="00D534AD"/>
    <w:rsid w:val="00D536CB"/>
    <w:rsid w:val="00D54CE3"/>
    <w:rsid w:val="00D568C2"/>
    <w:rsid w:val="00D5690E"/>
    <w:rsid w:val="00D57090"/>
    <w:rsid w:val="00D57FD8"/>
    <w:rsid w:val="00D61E07"/>
    <w:rsid w:val="00D62CC0"/>
    <w:rsid w:val="00D62E78"/>
    <w:rsid w:val="00D62E7C"/>
    <w:rsid w:val="00D63396"/>
    <w:rsid w:val="00D63A8D"/>
    <w:rsid w:val="00D642F6"/>
    <w:rsid w:val="00D64FA6"/>
    <w:rsid w:val="00D6597C"/>
    <w:rsid w:val="00D659BA"/>
    <w:rsid w:val="00D660F9"/>
    <w:rsid w:val="00D6662E"/>
    <w:rsid w:val="00D668CE"/>
    <w:rsid w:val="00D66FAE"/>
    <w:rsid w:val="00D670C8"/>
    <w:rsid w:val="00D6735F"/>
    <w:rsid w:val="00D704D3"/>
    <w:rsid w:val="00D70ADA"/>
    <w:rsid w:val="00D70FD6"/>
    <w:rsid w:val="00D719BD"/>
    <w:rsid w:val="00D71E8D"/>
    <w:rsid w:val="00D729DC"/>
    <w:rsid w:val="00D73117"/>
    <w:rsid w:val="00D73455"/>
    <w:rsid w:val="00D73480"/>
    <w:rsid w:val="00D740DB"/>
    <w:rsid w:val="00D74237"/>
    <w:rsid w:val="00D74429"/>
    <w:rsid w:val="00D74499"/>
    <w:rsid w:val="00D7460B"/>
    <w:rsid w:val="00D746AA"/>
    <w:rsid w:val="00D7490F"/>
    <w:rsid w:val="00D74E7D"/>
    <w:rsid w:val="00D75962"/>
    <w:rsid w:val="00D80371"/>
    <w:rsid w:val="00D807B6"/>
    <w:rsid w:val="00D81415"/>
    <w:rsid w:val="00D814B7"/>
    <w:rsid w:val="00D818B7"/>
    <w:rsid w:val="00D820E8"/>
    <w:rsid w:val="00D8323C"/>
    <w:rsid w:val="00D83C8E"/>
    <w:rsid w:val="00D8442E"/>
    <w:rsid w:val="00D86FE7"/>
    <w:rsid w:val="00D875F8"/>
    <w:rsid w:val="00D90192"/>
    <w:rsid w:val="00D90B83"/>
    <w:rsid w:val="00D913EA"/>
    <w:rsid w:val="00D91470"/>
    <w:rsid w:val="00D91775"/>
    <w:rsid w:val="00D91BC7"/>
    <w:rsid w:val="00D92343"/>
    <w:rsid w:val="00D92A65"/>
    <w:rsid w:val="00D92E1E"/>
    <w:rsid w:val="00D930D9"/>
    <w:rsid w:val="00D930F7"/>
    <w:rsid w:val="00D93699"/>
    <w:rsid w:val="00D939F0"/>
    <w:rsid w:val="00D9411C"/>
    <w:rsid w:val="00D94B53"/>
    <w:rsid w:val="00D94EE1"/>
    <w:rsid w:val="00D9572B"/>
    <w:rsid w:val="00D9614C"/>
    <w:rsid w:val="00D96357"/>
    <w:rsid w:val="00D97195"/>
    <w:rsid w:val="00D97CB3"/>
    <w:rsid w:val="00D97DF1"/>
    <w:rsid w:val="00DA05EC"/>
    <w:rsid w:val="00DA0A2B"/>
    <w:rsid w:val="00DA0B27"/>
    <w:rsid w:val="00DA0BF0"/>
    <w:rsid w:val="00DA1222"/>
    <w:rsid w:val="00DA1CE2"/>
    <w:rsid w:val="00DA1FC4"/>
    <w:rsid w:val="00DA23A2"/>
    <w:rsid w:val="00DA256E"/>
    <w:rsid w:val="00DA27B8"/>
    <w:rsid w:val="00DA3133"/>
    <w:rsid w:val="00DA38AF"/>
    <w:rsid w:val="00DA38E2"/>
    <w:rsid w:val="00DA415A"/>
    <w:rsid w:val="00DA417E"/>
    <w:rsid w:val="00DA44FC"/>
    <w:rsid w:val="00DA48A4"/>
    <w:rsid w:val="00DA6341"/>
    <w:rsid w:val="00DA6348"/>
    <w:rsid w:val="00DA6A47"/>
    <w:rsid w:val="00DA6CE5"/>
    <w:rsid w:val="00DA7597"/>
    <w:rsid w:val="00DB06F1"/>
    <w:rsid w:val="00DB0832"/>
    <w:rsid w:val="00DB0DD4"/>
    <w:rsid w:val="00DB3256"/>
    <w:rsid w:val="00DB617D"/>
    <w:rsid w:val="00DB6B19"/>
    <w:rsid w:val="00DB6B1E"/>
    <w:rsid w:val="00DB7281"/>
    <w:rsid w:val="00DC0347"/>
    <w:rsid w:val="00DC0B1B"/>
    <w:rsid w:val="00DC125F"/>
    <w:rsid w:val="00DC1421"/>
    <w:rsid w:val="00DC18E9"/>
    <w:rsid w:val="00DC24AA"/>
    <w:rsid w:val="00DC2D1B"/>
    <w:rsid w:val="00DC306F"/>
    <w:rsid w:val="00DC3561"/>
    <w:rsid w:val="00DC3962"/>
    <w:rsid w:val="00DC3F35"/>
    <w:rsid w:val="00DC4F7D"/>
    <w:rsid w:val="00DC5011"/>
    <w:rsid w:val="00DC503D"/>
    <w:rsid w:val="00DC51A5"/>
    <w:rsid w:val="00DC5A40"/>
    <w:rsid w:val="00DC5F52"/>
    <w:rsid w:val="00DC73CC"/>
    <w:rsid w:val="00DC755C"/>
    <w:rsid w:val="00DC7724"/>
    <w:rsid w:val="00DD08EF"/>
    <w:rsid w:val="00DD1D22"/>
    <w:rsid w:val="00DD202B"/>
    <w:rsid w:val="00DD31D9"/>
    <w:rsid w:val="00DD37DB"/>
    <w:rsid w:val="00DD393F"/>
    <w:rsid w:val="00DD4A2F"/>
    <w:rsid w:val="00DD4CBE"/>
    <w:rsid w:val="00DD5ED1"/>
    <w:rsid w:val="00DD6209"/>
    <w:rsid w:val="00DD668B"/>
    <w:rsid w:val="00DD6F5A"/>
    <w:rsid w:val="00DD7C7C"/>
    <w:rsid w:val="00DD7CE1"/>
    <w:rsid w:val="00DE0A8E"/>
    <w:rsid w:val="00DE17FB"/>
    <w:rsid w:val="00DE1A9A"/>
    <w:rsid w:val="00DE24AF"/>
    <w:rsid w:val="00DE29A1"/>
    <w:rsid w:val="00DE386B"/>
    <w:rsid w:val="00DE3FEC"/>
    <w:rsid w:val="00DE4763"/>
    <w:rsid w:val="00DE4834"/>
    <w:rsid w:val="00DE4CC4"/>
    <w:rsid w:val="00DE4DA2"/>
    <w:rsid w:val="00DE59AE"/>
    <w:rsid w:val="00DE6017"/>
    <w:rsid w:val="00DE6A52"/>
    <w:rsid w:val="00DF0853"/>
    <w:rsid w:val="00DF1776"/>
    <w:rsid w:val="00DF196A"/>
    <w:rsid w:val="00DF2412"/>
    <w:rsid w:val="00DF26CF"/>
    <w:rsid w:val="00DF2F07"/>
    <w:rsid w:val="00DF32F5"/>
    <w:rsid w:val="00DF3306"/>
    <w:rsid w:val="00DF3351"/>
    <w:rsid w:val="00DF52B6"/>
    <w:rsid w:val="00DF5537"/>
    <w:rsid w:val="00DF66D2"/>
    <w:rsid w:val="00DF78B4"/>
    <w:rsid w:val="00DF79FD"/>
    <w:rsid w:val="00E00C7A"/>
    <w:rsid w:val="00E00ED9"/>
    <w:rsid w:val="00E02047"/>
    <w:rsid w:val="00E028D9"/>
    <w:rsid w:val="00E029B1"/>
    <w:rsid w:val="00E02B85"/>
    <w:rsid w:val="00E02D28"/>
    <w:rsid w:val="00E02FA5"/>
    <w:rsid w:val="00E0447F"/>
    <w:rsid w:val="00E050BF"/>
    <w:rsid w:val="00E05EAB"/>
    <w:rsid w:val="00E0613F"/>
    <w:rsid w:val="00E065EE"/>
    <w:rsid w:val="00E07459"/>
    <w:rsid w:val="00E075A3"/>
    <w:rsid w:val="00E077B3"/>
    <w:rsid w:val="00E07CCA"/>
    <w:rsid w:val="00E10D02"/>
    <w:rsid w:val="00E12604"/>
    <w:rsid w:val="00E129E1"/>
    <w:rsid w:val="00E14245"/>
    <w:rsid w:val="00E143D1"/>
    <w:rsid w:val="00E143F0"/>
    <w:rsid w:val="00E148CB"/>
    <w:rsid w:val="00E148EA"/>
    <w:rsid w:val="00E14A6A"/>
    <w:rsid w:val="00E159AF"/>
    <w:rsid w:val="00E1676B"/>
    <w:rsid w:val="00E16A16"/>
    <w:rsid w:val="00E2109D"/>
    <w:rsid w:val="00E21DB3"/>
    <w:rsid w:val="00E23553"/>
    <w:rsid w:val="00E236BB"/>
    <w:rsid w:val="00E236C9"/>
    <w:rsid w:val="00E2374D"/>
    <w:rsid w:val="00E23E0C"/>
    <w:rsid w:val="00E242F3"/>
    <w:rsid w:val="00E24F1B"/>
    <w:rsid w:val="00E25024"/>
    <w:rsid w:val="00E25192"/>
    <w:rsid w:val="00E25D3C"/>
    <w:rsid w:val="00E26E47"/>
    <w:rsid w:val="00E27A2C"/>
    <w:rsid w:val="00E27E31"/>
    <w:rsid w:val="00E300E5"/>
    <w:rsid w:val="00E30901"/>
    <w:rsid w:val="00E30AB6"/>
    <w:rsid w:val="00E30B37"/>
    <w:rsid w:val="00E31041"/>
    <w:rsid w:val="00E3376B"/>
    <w:rsid w:val="00E33D43"/>
    <w:rsid w:val="00E3443A"/>
    <w:rsid w:val="00E352D8"/>
    <w:rsid w:val="00E35812"/>
    <w:rsid w:val="00E35EA7"/>
    <w:rsid w:val="00E378A2"/>
    <w:rsid w:val="00E37E1C"/>
    <w:rsid w:val="00E415C4"/>
    <w:rsid w:val="00E426B0"/>
    <w:rsid w:val="00E42A5E"/>
    <w:rsid w:val="00E44591"/>
    <w:rsid w:val="00E44711"/>
    <w:rsid w:val="00E45470"/>
    <w:rsid w:val="00E454BF"/>
    <w:rsid w:val="00E4556B"/>
    <w:rsid w:val="00E459D5"/>
    <w:rsid w:val="00E45FCC"/>
    <w:rsid w:val="00E4613E"/>
    <w:rsid w:val="00E463EB"/>
    <w:rsid w:val="00E46C5D"/>
    <w:rsid w:val="00E46D86"/>
    <w:rsid w:val="00E4785E"/>
    <w:rsid w:val="00E50808"/>
    <w:rsid w:val="00E50D3A"/>
    <w:rsid w:val="00E5121C"/>
    <w:rsid w:val="00E520F9"/>
    <w:rsid w:val="00E52431"/>
    <w:rsid w:val="00E52C93"/>
    <w:rsid w:val="00E52D9A"/>
    <w:rsid w:val="00E5473C"/>
    <w:rsid w:val="00E54C06"/>
    <w:rsid w:val="00E551C4"/>
    <w:rsid w:val="00E560E7"/>
    <w:rsid w:val="00E5697A"/>
    <w:rsid w:val="00E56D1D"/>
    <w:rsid w:val="00E56D89"/>
    <w:rsid w:val="00E57288"/>
    <w:rsid w:val="00E57CBA"/>
    <w:rsid w:val="00E57D34"/>
    <w:rsid w:val="00E6095D"/>
    <w:rsid w:val="00E618FA"/>
    <w:rsid w:val="00E61D09"/>
    <w:rsid w:val="00E62034"/>
    <w:rsid w:val="00E62594"/>
    <w:rsid w:val="00E62599"/>
    <w:rsid w:val="00E625A4"/>
    <w:rsid w:val="00E62E16"/>
    <w:rsid w:val="00E63484"/>
    <w:rsid w:val="00E65094"/>
    <w:rsid w:val="00E657E8"/>
    <w:rsid w:val="00E665D8"/>
    <w:rsid w:val="00E6759F"/>
    <w:rsid w:val="00E677E0"/>
    <w:rsid w:val="00E70C9B"/>
    <w:rsid w:val="00E71463"/>
    <w:rsid w:val="00E717B2"/>
    <w:rsid w:val="00E72F1B"/>
    <w:rsid w:val="00E72FCC"/>
    <w:rsid w:val="00E75B13"/>
    <w:rsid w:val="00E75CCA"/>
    <w:rsid w:val="00E75ED5"/>
    <w:rsid w:val="00E75F0B"/>
    <w:rsid w:val="00E76DB5"/>
    <w:rsid w:val="00E76EE1"/>
    <w:rsid w:val="00E77E15"/>
    <w:rsid w:val="00E816B2"/>
    <w:rsid w:val="00E81C4C"/>
    <w:rsid w:val="00E8315E"/>
    <w:rsid w:val="00E83C48"/>
    <w:rsid w:val="00E84365"/>
    <w:rsid w:val="00E84600"/>
    <w:rsid w:val="00E848D1"/>
    <w:rsid w:val="00E84DCF"/>
    <w:rsid w:val="00E8568C"/>
    <w:rsid w:val="00E85DF5"/>
    <w:rsid w:val="00E8705F"/>
    <w:rsid w:val="00E90C54"/>
    <w:rsid w:val="00E91C3B"/>
    <w:rsid w:val="00E91F0C"/>
    <w:rsid w:val="00E91F11"/>
    <w:rsid w:val="00E92025"/>
    <w:rsid w:val="00E920EC"/>
    <w:rsid w:val="00E922B2"/>
    <w:rsid w:val="00E92629"/>
    <w:rsid w:val="00E9332D"/>
    <w:rsid w:val="00E933F5"/>
    <w:rsid w:val="00E935B1"/>
    <w:rsid w:val="00E95B14"/>
    <w:rsid w:val="00E973A6"/>
    <w:rsid w:val="00E97768"/>
    <w:rsid w:val="00EA060A"/>
    <w:rsid w:val="00EA2089"/>
    <w:rsid w:val="00EA2461"/>
    <w:rsid w:val="00EA3F87"/>
    <w:rsid w:val="00EA4221"/>
    <w:rsid w:val="00EA45B4"/>
    <w:rsid w:val="00EA4673"/>
    <w:rsid w:val="00EA4703"/>
    <w:rsid w:val="00EA4C12"/>
    <w:rsid w:val="00EA4E62"/>
    <w:rsid w:val="00EA5941"/>
    <w:rsid w:val="00EA5AE5"/>
    <w:rsid w:val="00EA6253"/>
    <w:rsid w:val="00EA65AE"/>
    <w:rsid w:val="00EA6990"/>
    <w:rsid w:val="00EA6AAA"/>
    <w:rsid w:val="00EA73C1"/>
    <w:rsid w:val="00EA7435"/>
    <w:rsid w:val="00EA7818"/>
    <w:rsid w:val="00EA7965"/>
    <w:rsid w:val="00EB0776"/>
    <w:rsid w:val="00EB087F"/>
    <w:rsid w:val="00EB09AA"/>
    <w:rsid w:val="00EB14AE"/>
    <w:rsid w:val="00EB223E"/>
    <w:rsid w:val="00EB2D50"/>
    <w:rsid w:val="00EB3596"/>
    <w:rsid w:val="00EB35EE"/>
    <w:rsid w:val="00EB424B"/>
    <w:rsid w:val="00EB4CD0"/>
    <w:rsid w:val="00EB53D1"/>
    <w:rsid w:val="00EB61D3"/>
    <w:rsid w:val="00EB6E92"/>
    <w:rsid w:val="00EC07F5"/>
    <w:rsid w:val="00EC0D27"/>
    <w:rsid w:val="00EC0E2F"/>
    <w:rsid w:val="00EC178B"/>
    <w:rsid w:val="00EC1F42"/>
    <w:rsid w:val="00EC216B"/>
    <w:rsid w:val="00EC24B4"/>
    <w:rsid w:val="00EC2BA8"/>
    <w:rsid w:val="00EC2C31"/>
    <w:rsid w:val="00EC333A"/>
    <w:rsid w:val="00EC3DA3"/>
    <w:rsid w:val="00EC4BB7"/>
    <w:rsid w:val="00EC51B0"/>
    <w:rsid w:val="00EC5400"/>
    <w:rsid w:val="00EC5A8A"/>
    <w:rsid w:val="00EC5C23"/>
    <w:rsid w:val="00EC620F"/>
    <w:rsid w:val="00EC6EF9"/>
    <w:rsid w:val="00EC72BF"/>
    <w:rsid w:val="00EC72F7"/>
    <w:rsid w:val="00EC7DEE"/>
    <w:rsid w:val="00ED0AA5"/>
    <w:rsid w:val="00ED0D35"/>
    <w:rsid w:val="00ED1404"/>
    <w:rsid w:val="00ED173F"/>
    <w:rsid w:val="00ED1ED6"/>
    <w:rsid w:val="00ED354A"/>
    <w:rsid w:val="00ED4128"/>
    <w:rsid w:val="00ED43F4"/>
    <w:rsid w:val="00ED4AE4"/>
    <w:rsid w:val="00ED4DFB"/>
    <w:rsid w:val="00ED4EF5"/>
    <w:rsid w:val="00ED568A"/>
    <w:rsid w:val="00ED57F9"/>
    <w:rsid w:val="00ED5898"/>
    <w:rsid w:val="00ED6054"/>
    <w:rsid w:val="00ED67A1"/>
    <w:rsid w:val="00ED67DB"/>
    <w:rsid w:val="00ED76CB"/>
    <w:rsid w:val="00ED770C"/>
    <w:rsid w:val="00ED7A15"/>
    <w:rsid w:val="00ED7B00"/>
    <w:rsid w:val="00EE0859"/>
    <w:rsid w:val="00EE089A"/>
    <w:rsid w:val="00EE1A67"/>
    <w:rsid w:val="00EE2927"/>
    <w:rsid w:val="00EE2AA7"/>
    <w:rsid w:val="00EE3719"/>
    <w:rsid w:val="00EE3D19"/>
    <w:rsid w:val="00EE468C"/>
    <w:rsid w:val="00EE468D"/>
    <w:rsid w:val="00EE46EC"/>
    <w:rsid w:val="00EE479D"/>
    <w:rsid w:val="00EE5F8C"/>
    <w:rsid w:val="00EE67E3"/>
    <w:rsid w:val="00EE7A59"/>
    <w:rsid w:val="00EF0413"/>
    <w:rsid w:val="00EF094F"/>
    <w:rsid w:val="00EF0DF6"/>
    <w:rsid w:val="00EF1DAB"/>
    <w:rsid w:val="00EF2405"/>
    <w:rsid w:val="00EF272B"/>
    <w:rsid w:val="00EF2BF5"/>
    <w:rsid w:val="00EF353A"/>
    <w:rsid w:val="00EF36DB"/>
    <w:rsid w:val="00EF3F43"/>
    <w:rsid w:val="00EF452F"/>
    <w:rsid w:val="00EF48EB"/>
    <w:rsid w:val="00EF556D"/>
    <w:rsid w:val="00EF5F3D"/>
    <w:rsid w:val="00EF721B"/>
    <w:rsid w:val="00EF7A21"/>
    <w:rsid w:val="00EF7F26"/>
    <w:rsid w:val="00F01955"/>
    <w:rsid w:val="00F01ACA"/>
    <w:rsid w:val="00F01B13"/>
    <w:rsid w:val="00F01D38"/>
    <w:rsid w:val="00F038D4"/>
    <w:rsid w:val="00F03AC9"/>
    <w:rsid w:val="00F04046"/>
    <w:rsid w:val="00F04C24"/>
    <w:rsid w:val="00F04C51"/>
    <w:rsid w:val="00F0528C"/>
    <w:rsid w:val="00F065A9"/>
    <w:rsid w:val="00F07012"/>
    <w:rsid w:val="00F075ED"/>
    <w:rsid w:val="00F10D44"/>
    <w:rsid w:val="00F1133A"/>
    <w:rsid w:val="00F11E3D"/>
    <w:rsid w:val="00F12129"/>
    <w:rsid w:val="00F12585"/>
    <w:rsid w:val="00F130A7"/>
    <w:rsid w:val="00F13212"/>
    <w:rsid w:val="00F13318"/>
    <w:rsid w:val="00F13619"/>
    <w:rsid w:val="00F13C35"/>
    <w:rsid w:val="00F142D1"/>
    <w:rsid w:val="00F142D3"/>
    <w:rsid w:val="00F1469E"/>
    <w:rsid w:val="00F15BE9"/>
    <w:rsid w:val="00F1647A"/>
    <w:rsid w:val="00F1690C"/>
    <w:rsid w:val="00F17177"/>
    <w:rsid w:val="00F17230"/>
    <w:rsid w:val="00F201FB"/>
    <w:rsid w:val="00F20E18"/>
    <w:rsid w:val="00F212A2"/>
    <w:rsid w:val="00F21A2D"/>
    <w:rsid w:val="00F22414"/>
    <w:rsid w:val="00F22DBA"/>
    <w:rsid w:val="00F22FF7"/>
    <w:rsid w:val="00F23078"/>
    <w:rsid w:val="00F2334E"/>
    <w:rsid w:val="00F2374D"/>
    <w:rsid w:val="00F23A04"/>
    <w:rsid w:val="00F23C56"/>
    <w:rsid w:val="00F23C6A"/>
    <w:rsid w:val="00F24A78"/>
    <w:rsid w:val="00F24C00"/>
    <w:rsid w:val="00F250E2"/>
    <w:rsid w:val="00F2618C"/>
    <w:rsid w:val="00F26D83"/>
    <w:rsid w:val="00F26F3E"/>
    <w:rsid w:val="00F27E76"/>
    <w:rsid w:val="00F3091F"/>
    <w:rsid w:val="00F30E54"/>
    <w:rsid w:val="00F31408"/>
    <w:rsid w:val="00F314EC"/>
    <w:rsid w:val="00F316EB"/>
    <w:rsid w:val="00F318F1"/>
    <w:rsid w:val="00F32DD4"/>
    <w:rsid w:val="00F33AD5"/>
    <w:rsid w:val="00F34745"/>
    <w:rsid w:val="00F34905"/>
    <w:rsid w:val="00F35659"/>
    <w:rsid w:val="00F367B1"/>
    <w:rsid w:val="00F36FCE"/>
    <w:rsid w:val="00F37127"/>
    <w:rsid w:val="00F3714C"/>
    <w:rsid w:val="00F3719F"/>
    <w:rsid w:val="00F374E1"/>
    <w:rsid w:val="00F4037D"/>
    <w:rsid w:val="00F416E8"/>
    <w:rsid w:val="00F4195C"/>
    <w:rsid w:val="00F4292A"/>
    <w:rsid w:val="00F42E19"/>
    <w:rsid w:val="00F4309A"/>
    <w:rsid w:val="00F43132"/>
    <w:rsid w:val="00F45123"/>
    <w:rsid w:val="00F45277"/>
    <w:rsid w:val="00F45534"/>
    <w:rsid w:val="00F45BE8"/>
    <w:rsid w:val="00F461D1"/>
    <w:rsid w:val="00F4694F"/>
    <w:rsid w:val="00F46F50"/>
    <w:rsid w:val="00F47169"/>
    <w:rsid w:val="00F472F1"/>
    <w:rsid w:val="00F47772"/>
    <w:rsid w:val="00F50828"/>
    <w:rsid w:val="00F51055"/>
    <w:rsid w:val="00F51C08"/>
    <w:rsid w:val="00F520E4"/>
    <w:rsid w:val="00F53022"/>
    <w:rsid w:val="00F536CF"/>
    <w:rsid w:val="00F54456"/>
    <w:rsid w:val="00F55489"/>
    <w:rsid w:val="00F55697"/>
    <w:rsid w:val="00F5611F"/>
    <w:rsid w:val="00F56F56"/>
    <w:rsid w:val="00F57C9D"/>
    <w:rsid w:val="00F60666"/>
    <w:rsid w:val="00F60B83"/>
    <w:rsid w:val="00F6120F"/>
    <w:rsid w:val="00F638A5"/>
    <w:rsid w:val="00F63CA8"/>
    <w:rsid w:val="00F65587"/>
    <w:rsid w:val="00F66665"/>
    <w:rsid w:val="00F670F6"/>
    <w:rsid w:val="00F67682"/>
    <w:rsid w:val="00F67C68"/>
    <w:rsid w:val="00F706D9"/>
    <w:rsid w:val="00F70B25"/>
    <w:rsid w:val="00F712C8"/>
    <w:rsid w:val="00F71433"/>
    <w:rsid w:val="00F71718"/>
    <w:rsid w:val="00F7175A"/>
    <w:rsid w:val="00F71CAE"/>
    <w:rsid w:val="00F72743"/>
    <w:rsid w:val="00F727BC"/>
    <w:rsid w:val="00F72C10"/>
    <w:rsid w:val="00F72DC2"/>
    <w:rsid w:val="00F749B8"/>
    <w:rsid w:val="00F74C54"/>
    <w:rsid w:val="00F74DA3"/>
    <w:rsid w:val="00F760F5"/>
    <w:rsid w:val="00F7621D"/>
    <w:rsid w:val="00F763B6"/>
    <w:rsid w:val="00F76720"/>
    <w:rsid w:val="00F77618"/>
    <w:rsid w:val="00F779D7"/>
    <w:rsid w:val="00F80248"/>
    <w:rsid w:val="00F80E41"/>
    <w:rsid w:val="00F811F1"/>
    <w:rsid w:val="00F82534"/>
    <w:rsid w:val="00F82648"/>
    <w:rsid w:val="00F82AC6"/>
    <w:rsid w:val="00F832B7"/>
    <w:rsid w:val="00F83731"/>
    <w:rsid w:val="00F83EBE"/>
    <w:rsid w:val="00F84424"/>
    <w:rsid w:val="00F8455E"/>
    <w:rsid w:val="00F846B0"/>
    <w:rsid w:val="00F866BB"/>
    <w:rsid w:val="00F86D78"/>
    <w:rsid w:val="00F87720"/>
    <w:rsid w:val="00F90D02"/>
    <w:rsid w:val="00F91555"/>
    <w:rsid w:val="00F915CC"/>
    <w:rsid w:val="00F91B79"/>
    <w:rsid w:val="00F91F1A"/>
    <w:rsid w:val="00F92B3C"/>
    <w:rsid w:val="00F937FC"/>
    <w:rsid w:val="00F93832"/>
    <w:rsid w:val="00F938E6"/>
    <w:rsid w:val="00F94A4B"/>
    <w:rsid w:val="00F94D97"/>
    <w:rsid w:val="00F953BF"/>
    <w:rsid w:val="00F95865"/>
    <w:rsid w:val="00F95E09"/>
    <w:rsid w:val="00F96030"/>
    <w:rsid w:val="00F9664A"/>
    <w:rsid w:val="00F972AE"/>
    <w:rsid w:val="00FA0BA6"/>
    <w:rsid w:val="00FA0E36"/>
    <w:rsid w:val="00FA1367"/>
    <w:rsid w:val="00FA2A54"/>
    <w:rsid w:val="00FA41C4"/>
    <w:rsid w:val="00FA4300"/>
    <w:rsid w:val="00FA5396"/>
    <w:rsid w:val="00FA5DCA"/>
    <w:rsid w:val="00FA5DCD"/>
    <w:rsid w:val="00FA5DE6"/>
    <w:rsid w:val="00FA6D81"/>
    <w:rsid w:val="00FB054E"/>
    <w:rsid w:val="00FB1DB4"/>
    <w:rsid w:val="00FB3361"/>
    <w:rsid w:val="00FB49C8"/>
    <w:rsid w:val="00FB4D39"/>
    <w:rsid w:val="00FB55B7"/>
    <w:rsid w:val="00FB5EB0"/>
    <w:rsid w:val="00FB5FFE"/>
    <w:rsid w:val="00FB6422"/>
    <w:rsid w:val="00FB6F80"/>
    <w:rsid w:val="00FC082E"/>
    <w:rsid w:val="00FC0C37"/>
    <w:rsid w:val="00FC1A94"/>
    <w:rsid w:val="00FC245D"/>
    <w:rsid w:val="00FC2597"/>
    <w:rsid w:val="00FC2957"/>
    <w:rsid w:val="00FC2F60"/>
    <w:rsid w:val="00FC2F81"/>
    <w:rsid w:val="00FC4411"/>
    <w:rsid w:val="00FC5489"/>
    <w:rsid w:val="00FC615A"/>
    <w:rsid w:val="00FC686D"/>
    <w:rsid w:val="00FC6B42"/>
    <w:rsid w:val="00FC78B3"/>
    <w:rsid w:val="00FC79D5"/>
    <w:rsid w:val="00FD084D"/>
    <w:rsid w:val="00FD0CE8"/>
    <w:rsid w:val="00FD13C6"/>
    <w:rsid w:val="00FD15A3"/>
    <w:rsid w:val="00FD1B29"/>
    <w:rsid w:val="00FD210D"/>
    <w:rsid w:val="00FD2334"/>
    <w:rsid w:val="00FD270B"/>
    <w:rsid w:val="00FD3270"/>
    <w:rsid w:val="00FD39EC"/>
    <w:rsid w:val="00FD3FED"/>
    <w:rsid w:val="00FD469D"/>
    <w:rsid w:val="00FD4D6D"/>
    <w:rsid w:val="00FD4F60"/>
    <w:rsid w:val="00FD5117"/>
    <w:rsid w:val="00FD575B"/>
    <w:rsid w:val="00FD6811"/>
    <w:rsid w:val="00FD6B10"/>
    <w:rsid w:val="00FD6B20"/>
    <w:rsid w:val="00FE0059"/>
    <w:rsid w:val="00FE0311"/>
    <w:rsid w:val="00FE0AF5"/>
    <w:rsid w:val="00FE0B1B"/>
    <w:rsid w:val="00FE0B97"/>
    <w:rsid w:val="00FE21BB"/>
    <w:rsid w:val="00FE2975"/>
    <w:rsid w:val="00FE3A2E"/>
    <w:rsid w:val="00FE3BCB"/>
    <w:rsid w:val="00FE5A16"/>
    <w:rsid w:val="00FE5A2A"/>
    <w:rsid w:val="00FE5F29"/>
    <w:rsid w:val="00FE6270"/>
    <w:rsid w:val="00FE65B5"/>
    <w:rsid w:val="00FE6A0D"/>
    <w:rsid w:val="00FF0D11"/>
    <w:rsid w:val="00FF0DC9"/>
    <w:rsid w:val="00FF1191"/>
    <w:rsid w:val="00FF1193"/>
    <w:rsid w:val="00FF1382"/>
    <w:rsid w:val="00FF13C5"/>
    <w:rsid w:val="00FF1C74"/>
    <w:rsid w:val="00FF27D0"/>
    <w:rsid w:val="00FF281F"/>
    <w:rsid w:val="00FF28A9"/>
    <w:rsid w:val="00FF291C"/>
    <w:rsid w:val="00FF2B22"/>
    <w:rsid w:val="00FF2F42"/>
    <w:rsid w:val="00FF3748"/>
    <w:rsid w:val="00FF5338"/>
    <w:rsid w:val="00FF5773"/>
    <w:rsid w:val="00FF6277"/>
    <w:rsid w:val="00FF6D85"/>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qFormat="1"/>
    <w:lsdException w:name="Title" w:semiHidden="0" w:uiPriority="10" w:unhideWhenUsed="0" w:qFormat="1"/>
    <w:lsdException w:name="Default Paragraph Font" w:uiPriority="1"/>
    <w:lsdException w:name="Subtitle" w:semiHidden="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82F78"/>
    <w:pPr>
      <w:spacing w:after="200" w:line="276" w:lineRule="auto"/>
    </w:pPr>
    <w:rPr>
      <w:rFonts w:ascii="Arial" w:eastAsia="Calibri" w:hAnsi="Arial" w:cs="Arial"/>
      <w:sz w:val="22"/>
      <w:szCs w:val="22"/>
      <w:lang w:eastAsia="en-US"/>
    </w:rPr>
  </w:style>
  <w:style w:type="paragraph" w:styleId="Nadpis1">
    <w:name w:val="heading 1"/>
    <w:basedOn w:val="Normln"/>
    <w:next w:val="Normln"/>
    <w:link w:val="Nadpis1Char"/>
    <w:qFormat/>
    <w:rsid w:val="00582F78"/>
    <w:pPr>
      <w:keepNext/>
      <w:numPr>
        <w:numId w:val="1"/>
      </w:numPr>
      <w:spacing w:before="240" w:after="60" w:line="240" w:lineRule="auto"/>
      <w:jc w:val="both"/>
      <w:outlineLvl w:val="0"/>
    </w:pPr>
    <w:rPr>
      <w:rFonts w:eastAsia="Times New Roman"/>
      <w:b/>
      <w:bCs/>
      <w:kern w:val="32"/>
      <w:sz w:val="32"/>
      <w:szCs w:val="32"/>
      <w:lang w:eastAsia="cs-CZ"/>
    </w:rPr>
  </w:style>
  <w:style w:type="paragraph" w:styleId="Nadpis2">
    <w:name w:val="heading 2"/>
    <w:basedOn w:val="Normln"/>
    <w:next w:val="Normln"/>
    <w:link w:val="Nadpis2Char"/>
    <w:autoRedefine/>
    <w:uiPriority w:val="9"/>
    <w:qFormat/>
    <w:rsid w:val="000B521F"/>
    <w:pPr>
      <w:keepNext/>
      <w:keepLines/>
      <w:numPr>
        <w:ilvl w:val="1"/>
        <w:numId w:val="1"/>
      </w:numPr>
      <w:spacing w:before="240" w:after="120" w:line="240" w:lineRule="auto"/>
      <w:ind w:left="578" w:hanging="578"/>
      <w:jc w:val="both"/>
      <w:outlineLvl w:val="1"/>
    </w:pPr>
    <w:rPr>
      <w:rFonts w:ascii="Times New Roman" w:eastAsia="Times New Roman" w:hAnsi="Times New Roman" w:cs="Times New Roman"/>
      <w:b/>
      <w:bCs/>
      <w:color w:val="4F81BD"/>
      <w:sz w:val="26"/>
      <w:szCs w:val="26"/>
      <w:lang w:eastAsia="cs-CZ"/>
    </w:rPr>
  </w:style>
  <w:style w:type="paragraph" w:styleId="Nadpis3">
    <w:name w:val="heading 3"/>
    <w:basedOn w:val="Normln"/>
    <w:next w:val="Normln"/>
    <w:link w:val="Nadpis3Char"/>
    <w:qFormat/>
    <w:rsid w:val="00582F78"/>
    <w:pPr>
      <w:keepNext/>
      <w:numPr>
        <w:ilvl w:val="2"/>
        <w:numId w:val="1"/>
      </w:numPr>
      <w:spacing w:before="240" w:after="60" w:line="240" w:lineRule="auto"/>
      <w:jc w:val="both"/>
      <w:outlineLvl w:val="2"/>
    </w:pPr>
    <w:rPr>
      <w:rFonts w:eastAsia="Times New Roman"/>
      <w:b/>
      <w:bCs/>
      <w:sz w:val="26"/>
      <w:szCs w:val="26"/>
      <w:lang w:eastAsia="cs-CZ"/>
    </w:rPr>
  </w:style>
  <w:style w:type="paragraph" w:styleId="Nadpis4">
    <w:name w:val="heading 4"/>
    <w:basedOn w:val="Normln"/>
    <w:next w:val="Normln"/>
    <w:link w:val="Nadpis4Char"/>
    <w:qFormat/>
    <w:rsid w:val="00582F78"/>
    <w:pPr>
      <w:keepNext/>
      <w:numPr>
        <w:ilvl w:val="3"/>
        <w:numId w:val="1"/>
      </w:numPr>
      <w:spacing w:before="240" w:after="60" w:line="240" w:lineRule="auto"/>
      <w:jc w:val="both"/>
      <w:outlineLvl w:val="3"/>
    </w:pPr>
    <w:rPr>
      <w:rFonts w:eastAsia="Times New Roman"/>
      <w:b/>
      <w:bCs/>
      <w:i/>
      <w:iCs/>
      <w:lang w:eastAsia="cs-CZ"/>
    </w:rPr>
  </w:style>
  <w:style w:type="paragraph" w:styleId="Nadpis5">
    <w:name w:val="heading 5"/>
    <w:basedOn w:val="Normln"/>
    <w:next w:val="Normln"/>
    <w:link w:val="Nadpis5Char"/>
    <w:qFormat/>
    <w:rsid w:val="00582F78"/>
    <w:pPr>
      <w:numPr>
        <w:ilvl w:val="4"/>
        <w:numId w:val="1"/>
      </w:numPr>
      <w:spacing w:before="240" w:after="60" w:line="240" w:lineRule="auto"/>
      <w:jc w:val="both"/>
      <w:outlineLvl w:val="4"/>
    </w:pPr>
    <w:rPr>
      <w:rFonts w:ascii="Calibri" w:eastAsia="Times New Roman" w:hAnsi="Calibri" w:cs="Calibri"/>
      <w:b/>
      <w:bCs/>
      <w:i/>
      <w:iCs/>
      <w:sz w:val="26"/>
      <w:szCs w:val="26"/>
      <w:lang w:eastAsia="cs-CZ"/>
    </w:rPr>
  </w:style>
  <w:style w:type="paragraph" w:styleId="Nadpis6">
    <w:name w:val="heading 6"/>
    <w:basedOn w:val="Normln"/>
    <w:next w:val="Normln"/>
    <w:link w:val="Nadpis6Char"/>
    <w:qFormat/>
    <w:rsid w:val="00582F78"/>
    <w:pPr>
      <w:keepNext/>
      <w:keepLines/>
      <w:numPr>
        <w:ilvl w:val="5"/>
        <w:numId w:val="1"/>
      </w:numPr>
      <w:spacing w:before="200" w:after="0" w:line="240" w:lineRule="auto"/>
      <w:jc w:val="both"/>
      <w:outlineLvl w:val="5"/>
    </w:pPr>
    <w:rPr>
      <w:rFonts w:ascii="Cambria" w:eastAsia="Times New Roman" w:hAnsi="Cambria" w:cs="Cambria"/>
      <w:i/>
      <w:iCs/>
      <w:color w:val="243F60"/>
      <w:lang w:eastAsia="cs-CZ"/>
    </w:rPr>
  </w:style>
  <w:style w:type="paragraph" w:styleId="Nadpis7">
    <w:name w:val="heading 7"/>
    <w:basedOn w:val="Normln"/>
    <w:next w:val="Normln"/>
    <w:link w:val="Nadpis7Char"/>
    <w:qFormat/>
    <w:rsid w:val="00582F78"/>
    <w:pPr>
      <w:numPr>
        <w:ilvl w:val="6"/>
        <w:numId w:val="1"/>
      </w:numPr>
      <w:spacing w:before="240" w:after="60" w:line="240" w:lineRule="auto"/>
      <w:jc w:val="both"/>
      <w:outlineLvl w:val="6"/>
    </w:pPr>
    <w:rPr>
      <w:rFonts w:ascii="Times New Roman" w:eastAsia="Times New Roman" w:hAnsi="Times New Roman" w:cs="Times New Roman"/>
      <w:sz w:val="24"/>
      <w:szCs w:val="24"/>
      <w:lang w:eastAsia="cs-CZ"/>
    </w:rPr>
  </w:style>
  <w:style w:type="paragraph" w:styleId="Nadpis8">
    <w:name w:val="heading 8"/>
    <w:basedOn w:val="Normln"/>
    <w:next w:val="Normln"/>
    <w:link w:val="Nadpis8Char"/>
    <w:qFormat/>
    <w:rsid w:val="00582F78"/>
    <w:pPr>
      <w:numPr>
        <w:ilvl w:val="7"/>
        <w:numId w:val="1"/>
      </w:numPr>
      <w:spacing w:before="240" w:after="60" w:line="240" w:lineRule="auto"/>
      <w:jc w:val="both"/>
      <w:outlineLvl w:val="7"/>
    </w:pPr>
    <w:rPr>
      <w:rFonts w:ascii="Times New Roman" w:eastAsia="Times New Roman" w:hAnsi="Times New Roman" w:cs="Times New Roman"/>
      <w:i/>
      <w:iCs/>
      <w:sz w:val="24"/>
      <w:szCs w:val="24"/>
      <w:lang w:eastAsia="cs-CZ"/>
    </w:rPr>
  </w:style>
  <w:style w:type="paragraph" w:styleId="Nadpis9">
    <w:name w:val="heading 9"/>
    <w:basedOn w:val="Normln"/>
    <w:next w:val="Normln"/>
    <w:link w:val="Nadpis9Char"/>
    <w:qFormat/>
    <w:rsid w:val="00582F78"/>
    <w:pPr>
      <w:numPr>
        <w:ilvl w:val="8"/>
        <w:numId w:val="1"/>
      </w:numPr>
      <w:spacing w:before="240" w:after="60" w:line="240" w:lineRule="auto"/>
      <w:jc w:val="both"/>
      <w:outlineLvl w:val="8"/>
    </w:pPr>
    <w:rPr>
      <w:rFonts w:eastAsia="Times New Roman"/>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582F78"/>
    <w:rPr>
      <w:rFonts w:ascii="Arial" w:hAnsi="Arial" w:cs="Arial"/>
      <w:b/>
      <w:bCs/>
      <w:kern w:val="32"/>
      <w:sz w:val="32"/>
      <w:szCs w:val="32"/>
    </w:rPr>
  </w:style>
  <w:style w:type="character" w:customStyle="1" w:styleId="Nadpis2Char">
    <w:name w:val="Nadpis 2 Char"/>
    <w:link w:val="Nadpis2"/>
    <w:uiPriority w:val="9"/>
    <w:rsid w:val="000B521F"/>
    <w:rPr>
      <w:b/>
      <w:bCs/>
      <w:color w:val="4F81BD"/>
      <w:sz w:val="26"/>
      <w:szCs w:val="26"/>
    </w:rPr>
  </w:style>
  <w:style w:type="character" w:customStyle="1" w:styleId="Nadpis3Char">
    <w:name w:val="Nadpis 3 Char"/>
    <w:link w:val="Nadpis3"/>
    <w:rsid w:val="00582F78"/>
    <w:rPr>
      <w:rFonts w:ascii="Arial" w:hAnsi="Arial" w:cs="Arial"/>
      <w:b/>
      <w:bCs/>
      <w:sz w:val="26"/>
      <w:szCs w:val="26"/>
    </w:rPr>
  </w:style>
  <w:style w:type="character" w:customStyle="1" w:styleId="Nadpis4Char">
    <w:name w:val="Nadpis 4 Char"/>
    <w:link w:val="Nadpis4"/>
    <w:rsid w:val="00582F78"/>
    <w:rPr>
      <w:rFonts w:ascii="Arial" w:hAnsi="Arial" w:cs="Arial"/>
      <w:b/>
      <w:bCs/>
      <w:i/>
      <w:iCs/>
      <w:sz w:val="22"/>
      <w:szCs w:val="22"/>
    </w:rPr>
  </w:style>
  <w:style w:type="character" w:customStyle="1" w:styleId="Nadpis5Char">
    <w:name w:val="Nadpis 5 Char"/>
    <w:link w:val="Nadpis5"/>
    <w:rsid w:val="00582F78"/>
    <w:rPr>
      <w:rFonts w:ascii="Calibri" w:hAnsi="Calibri" w:cs="Calibri"/>
      <w:b/>
      <w:bCs/>
      <w:i/>
      <w:iCs/>
      <w:sz w:val="26"/>
      <w:szCs w:val="26"/>
    </w:rPr>
  </w:style>
  <w:style w:type="character" w:customStyle="1" w:styleId="Nadpis6Char">
    <w:name w:val="Nadpis 6 Char"/>
    <w:link w:val="Nadpis6"/>
    <w:rsid w:val="00582F78"/>
    <w:rPr>
      <w:rFonts w:ascii="Cambria" w:hAnsi="Cambria" w:cs="Cambria"/>
      <w:i/>
      <w:iCs/>
      <w:color w:val="243F60"/>
      <w:sz w:val="22"/>
      <w:szCs w:val="22"/>
    </w:rPr>
  </w:style>
  <w:style w:type="character" w:customStyle="1" w:styleId="Nadpis7Char">
    <w:name w:val="Nadpis 7 Char"/>
    <w:link w:val="Nadpis7"/>
    <w:rsid w:val="00582F78"/>
    <w:rPr>
      <w:sz w:val="24"/>
      <w:szCs w:val="24"/>
    </w:rPr>
  </w:style>
  <w:style w:type="character" w:customStyle="1" w:styleId="Nadpis8Char">
    <w:name w:val="Nadpis 8 Char"/>
    <w:link w:val="Nadpis8"/>
    <w:rsid w:val="00582F78"/>
    <w:rPr>
      <w:i/>
      <w:iCs/>
      <w:sz w:val="24"/>
      <w:szCs w:val="24"/>
    </w:rPr>
  </w:style>
  <w:style w:type="character" w:customStyle="1" w:styleId="Nadpis9Char">
    <w:name w:val="Nadpis 9 Char"/>
    <w:link w:val="Nadpis9"/>
    <w:rsid w:val="00582F78"/>
    <w:rPr>
      <w:rFonts w:ascii="Arial" w:hAnsi="Arial" w:cs="Arial"/>
      <w:sz w:val="22"/>
      <w:szCs w:val="22"/>
    </w:rPr>
  </w:style>
  <w:style w:type="paragraph" w:styleId="Odstavecseseznamem">
    <w:name w:val="List Paragraph"/>
    <w:basedOn w:val="Normln"/>
    <w:link w:val="OdstavecseseznamemChar"/>
    <w:uiPriority w:val="34"/>
    <w:qFormat/>
    <w:rsid w:val="00582F78"/>
    <w:pPr>
      <w:ind w:left="720"/>
      <w:contextualSpacing/>
    </w:pPr>
  </w:style>
  <w:style w:type="character" w:customStyle="1" w:styleId="OdstavecseseznamemChar">
    <w:name w:val="Odstavec se seznamem Char"/>
    <w:link w:val="Odstavecseseznamem"/>
    <w:uiPriority w:val="34"/>
    <w:locked/>
    <w:rsid w:val="00D568C2"/>
    <w:rPr>
      <w:rFonts w:ascii="Arial" w:eastAsia="Calibri" w:hAnsi="Arial" w:cs="Arial"/>
      <w:sz w:val="22"/>
      <w:szCs w:val="22"/>
      <w:lang w:eastAsia="en-US"/>
    </w:rPr>
  </w:style>
  <w:style w:type="character" w:styleId="Znakapoznpodarou">
    <w:name w:val="footnote reference"/>
    <w:aliases w:val="BVI fnr,Footnote symbol,Footnote Reference Superscript,Appel note de bas de p,Appel note de bas de page,Légende,Char Car Car Car Car,Voetnootverwijzing,Légende;Char Car Car Car Car,PGI Fußnote Ziffer,Légende.Char Car Car Car Car"/>
    <w:uiPriority w:val="99"/>
    <w:rsid w:val="00582F78"/>
    <w:rPr>
      <w:rFonts w:ascii="Book Antiqua" w:hAnsi="Book Antiqua"/>
      <w:vertAlign w:val="superscript"/>
    </w:rPr>
  </w:style>
  <w:style w:type="paragraph" w:styleId="Textpoznpodarou">
    <w:name w:val="footnote text"/>
    <w:aliases w:val="Schriftart: 9 pt,Schriftart: 10 pt,Schriftart: 8 pt,Text poznámky pod čiarou 007,Footnote,Fußnotentextf,Geneva 9,Font: Geneva 9,Boston 10,f,pozn. pod čarou,Char,Text pozn. pod čarou1,Char Char Char1,Char Char1,Footnote Text Char1,o"/>
    <w:basedOn w:val="Normln"/>
    <w:link w:val="TextpoznpodarouChar"/>
    <w:uiPriority w:val="99"/>
    <w:qFormat/>
    <w:rsid w:val="00582F78"/>
    <w:pPr>
      <w:overflowPunct w:val="0"/>
      <w:autoSpaceDE w:val="0"/>
      <w:autoSpaceDN w:val="0"/>
      <w:adjustRightInd w:val="0"/>
      <w:spacing w:after="260" w:line="264" w:lineRule="auto"/>
      <w:textAlignment w:val="baseline"/>
    </w:pPr>
    <w:rPr>
      <w:rFonts w:ascii="Corbel" w:eastAsia="SimSun" w:hAnsi="Corbel" w:cs="Times New Roman"/>
      <w:sz w:val="14"/>
      <w:szCs w:val="20"/>
      <w:lang w:val="en-GB"/>
    </w:rPr>
  </w:style>
  <w:style w:type="character" w:customStyle="1" w:styleId="TextpoznpodarouChar">
    <w:name w:val="Text pozn. pod čarou Char"/>
    <w:aliases w:val="Schriftart: 9 pt Char,Schriftart: 10 pt Char,Schriftart: 8 pt Char,Text poznámky pod čiarou 007 Char,Footnote Char,Fußnotentextf Char,Geneva 9 Char,Font: Geneva 9 Char,Boston 10 Char,f Char,pozn. pod čarou Char,Char Char,o Char"/>
    <w:link w:val="Textpoznpodarou"/>
    <w:uiPriority w:val="99"/>
    <w:rsid w:val="00582F78"/>
    <w:rPr>
      <w:rFonts w:ascii="Corbel" w:eastAsia="SimSun" w:hAnsi="Corbel"/>
      <w:sz w:val="14"/>
      <w:lang w:val="en-GB" w:eastAsia="en-US"/>
    </w:rPr>
  </w:style>
  <w:style w:type="character" w:styleId="Odkaznakoment">
    <w:name w:val="annotation reference"/>
    <w:uiPriority w:val="99"/>
    <w:unhideWhenUsed/>
    <w:rsid w:val="00582F78"/>
    <w:rPr>
      <w:sz w:val="16"/>
      <w:szCs w:val="16"/>
    </w:rPr>
  </w:style>
  <w:style w:type="paragraph" w:styleId="Textkomente">
    <w:name w:val="annotation text"/>
    <w:basedOn w:val="Normln"/>
    <w:link w:val="TextkomenteChar"/>
    <w:uiPriority w:val="99"/>
    <w:unhideWhenUsed/>
    <w:rsid w:val="00582F78"/>
    <w:pPr>
      <w:spacing w:line="240" w:lineRule="auto"/>
    </w:pPr>
    <w:rPr>
      <w:sz w:val="20"/>
      <w:szCs w:val="20"/>
    </w:rPr>
  </w:style>
  <w:style w:type="character" w:customStyle="1" w:styleId="TextkomenteChar">
    <w:name w:val="Text komentáře Char"/>
    <w:link w:val="Textkomente"/>
    <w:uiPriority w:val="99"/>
    <w:rsid w:val="00582F78"/>
    <w:rPr>
      <w:rFonts w:ascii="Arial" w:eastAsia="Calibri" w:hAnsi="Arial" w:cs="Arial"/>
      <w:lang w:eastAsia="en-US"/>
    </w:rPr>
  </w:style>
  <w:style w:type="paragraph" w:styleId="Titulek">
    <w:name w:val="caption"/>
    <w:aliases w:val="Schema"/>
    <w:basedOn w:val="Normln"/>
    <w:next w:val="Normln"/>
    <w:link w:val="TitulekChar"/>
    <w:uiPriority w:val="99"/>
    <w:qFormat/>
    <w:rsid w:val="001C432C"/>
    <w:pPr>
      <w:spacing w:line="240" w:lineRule="auto"/>
      <w:jc w:val="both"/>
    </w:pPr>
    <w:rPr>
      <w:rFonts w:ascii="Times New Roman" w:eastAsia="Times New Roman" w:hAnsi="Times New Roman" w:cs="Times New Roman"/>
      <w:b/>
      <w:bCs/>
      <w:color w:val="4F81BD"/>
      <w:sz w:val="20"/>
      <w:szCs w:val="18"/>
      <w:lang w:eastAsia="cs-CZ"/>
    </w:rPr>
  </w:style>
  <w:style w:type="character" w:customStyle="1" w:styleId="TitulekChar">
    <w:name w:val="Titulek Char"/>
    <w:aliases w:val="Schema Char"/>
    <w:link w:val="Titulek"/>
    <w:uiPriority w:val="99"/>
    <w:rsid w:val="001C432C"/>
    <w:rPr>
      <w:b/>
      <w:bCs/>
      <w:color w:val="4F81BD"/>
      <w:szCs w:val="18"/>
    </w:rPr>
  </w:style>
  <w:style w:type="table" w:customStyle="1" w:styleId="Svtlseznamzvraznn11">
    <w:name w:val="Světlý seznam – zvýraznění 11"/>
    <w:basedOn w:val="Normlntabulka"/>
    <w:uiPriority w:val="61"/>
    <w:rsid w:val="00582F78"/>
    <w:rPr>
      <w:rFonts w:ascii="Arial" w:eastAsia="Calibri" w:hAnsi="Arial"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extbubliny">
    <w:name w:val="Balloon Text"/>
    <w:basedOn w:val="Normln"/>
    <w:link w:val="TextbublinyChar"/>
    <w:uiPriority w:val="99"/>
    <w:semiHidden/>
    <w:unhideWhenUsed/>
    <w:rsid w:val="00582F78"/>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582F78"/>
    <w:rPr>
      <w:rFonts w:ascii="Tahoma" w:eastAsia="Calibri" w:hAnsi="Tahoma" w:cs="Tahoma"/>
      <w:sz w:val="16"/>
      <w:szCs w:val="16"/>
      <w:lang w:eastAsia="en-US"/>
    </w:rPr>
  </w:style>
  <w:style w:type="table" w:styleId="Mkatabulky">
    <w:name w:val="Table Grid"/>
    <w:basedOn w:val="Normlntabulka"/>
    <w:uiPriority w:val="59"/>
    <w:rsid w:val="00582F78"/>
    <w:rPr>
      <w:rFonts w:ascii="Arial" w:eastAsia="Calibri" w:hAnsi="Arial"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Obsah1">
    <w:name w:val="toc 1"/>
    <w:basedOn w:val="Normln"/>
    <w:next w:val="Normln"/>
    <w:autoRedefine/>
    <w:uiPriority w:val="39"/>
    <w:unhideWhenUsed/>
    <w:rsid w:val="008C796F"/>
    <w:pPr>
      <w:spacing w:before="120" w:after="120"/>
    </w:pPr>
    <w:rPr>
      <w:rFonts w:ascii="Calibri" w:hAnsi="Calibri"/>
      <w:b/>
      <w:bCs/>
      <w:caps/>
      <w:sz w:val="20"/>
      <w:szCs w:val="20"/>
    </w:rPr>
  </w:style>
  <w:style w:type="paragraph" w:styleId="Obsah2">
    <w:name w:val="toc 2"/>
    <w:basedOn w:val="Normln"/>
    <w:next w:val="Normln"/>
    <w:autoRedefine/>
    <w:uiPriority w:val="39"/>
    <w:unhideWhenUsed/>
    <w:rsid w:val="004E020C"/>
    <w:pPr>
      <w:spacing w:after="0"/>
      <w:ind w:left="220"/>
    </w:pPr>
    <w:rPr>
      <w:rFonts w:ascii="Calibri" w:hAnsi="Calibri"/>
      <w:smallCaps/>
      <w:sz w:val="20"/>
      <w:szCs w:val="20"/>
    </w:rPr>
  </w:style>
  <w:style w:type="paragraph" w:styleId="Obsah3">
    <w:name w:val="toc 3"/>
    <w:basedOn w:val="Normln"/>
    <w:next w:val="Normln"/>
    <w:autoRedefine/>
    <w:uiPriority w:val="39"/>
    <w:unhideWhenUsed/>
    <w:rsid w:val="00514A0E"/>
    <w:pPr>
      <w:spacing w:after="0"/>
      <w:ind w:left="440"/>
    </w:pPr>
    <w:rPr>
      <w:rFonts w:ascii="Calibri" w:hAnsi="Calibri"/>
      <w:i/>
      <w:iCs/>
      <w:sz w:val="20"/>
      <w:szCs w:val="20"/>
    </w:rPr>
  </w:style>
  <w:style w:type="character" w:styleId="Hypertextovodkaz">
    <w:name w:val="Hyperlink"/>
    <w:uiPriority w:val="99"/>
    <w:unhideWhenUsed/>
    <w:rsid w:val="004E020C"/>
    <w:rPr>
      <w:color w:val="0000FF"/>
      <w:u w:val="single"/>
    </w:rPr>
  </w:style>
  <w:style w:type="paragraph" w:styleId="Obsah4">
    <w:name w:val="toc 4"/>
    <w:basedOn w:val="Normln"/>
    <w:next w:val="Normln"/>
    <w:autoRedefine/>
    <w:uiPriority w:val="39"/>
    <w:unhideWhenUsed/>
    <w:rsid w:val="00256D14"/>
    <w:pPr>
      <w:spacing w:after="0"/>
      <w:ind w:left="660"/>
    </w:pPr>
    <w:rPr>
      <w:rFonts w:ascii="Calibri" w:hAnsi="Calibri"/>
      <w:sz w:val="18"/>
      <w:szCs w:val="18"/>
    </w:rPr>
  </w:style>
  <w:style w:type="paragraph" w:styleId="Pedmtkomente">
    <w:name w:val="annotation subject"/>
    <w:basedOn w:val="Textkomente"/>
    <w:next w:val="Textkomente"/>
    <w:link w:val="PedmtkomenteChar"/>
    <w:uiPriority w:val="99"/>
    <w:semiHidden/>
    <w:unhideWhenUsed/>
    <w:rsid w:val="00256D14"/>
    <w:rPr>
      <w:b/>
      <w:bCs/>
    </w:rPr>
  </w:style>
  <w:style w:type="character" w:customStyle="1" w:styleId="PedmtkomenteChar">
    <w:name w:val="Předmět komentáře Char"/>
    <w:link w:val="Pedmtkomente"/>
    <w:uiPriority w:val="99"/>
    <w:semiHidden/>
    <w:rsid w:val="00256D14"/>
    <w:rPr>
      <w:rFonts w:ascii="Arial" w:eastAsia="Calibri" w:hAnsi="Arial" w:cs="Arial"/>
      <w:b/>
      <w:bCs/>
      <w:lang w:eastAsia="en-US"/>
    </w:rPr>
  </w:style>
  <w:style w:type="paragraph" w:customStyle="1" w:styleId="Tabulka">
    <w:name w:val="Tabulka"/>
    <w:basedOn w:val="Titulek"/>
    <w:link w:val="TabulkaChar"/>
    <w:qFormat/>
    <w:rsid w:val="001C432C"/>
    <w:rPr>
      <w:szCs w:val="24"/>
    </w:rPr>
  </w:style>
  <w:style w:type="character" w:customStyle="1" w:styleId="TabulkaChar">
    <w:name w:val="Tabulka Char"/>
    <w:link w:val="Tabulka"/>
    <w:rsid w:val="001C432C"/>
    <w:rPr>
      <w:b/>
      <w:bCs/>
      <w:color w:val="4F81BD"/>
      <w:szCs w:val="18"/>
    </w:rPr>
  </w:style>
  <w:style w:type="paragraph" w:styleId="Seznamobrzk">
    <w:name w:val="table of figures"/>
    <w:basedOn w:val="Normln"/>
    <w:next w:val="Normln"/>
    <w:uiPriority w:val="99"/>
    <w:unhideWhenUsed/>
    <w:rsid w:val="007D49DC"/>
    <w:pPr>
      <w:spacing w:after="0"/>
      <w:ind w:left="440" w:hanging="440"/>
    </w:pPr>
    <w:rPr>
      <w:rFonts w:ascii="Calibri" w:hAnsi="Calibri"/>
      <w:smallCaps/>
      <w:sz w:val="20"/>
      <w:szCs w:val="20"/>
    </w:rPr>
  </w:style>
  <w:style w:type="paragraph" w:styleId="Podtitul">
    <w:name w:val="Subtitle"/>
    <w:basedOn w:val="Normln"/>
    <w:next w:val="Normln"/>
    <w:link w:val="PodtitulChar"/>
    <w:uiPriority w:val="99"/>
    <w:qFormat/>
    <w:rsid w:val="007D49DC"/>
    <w:pPr>
      <w:numPr>
        <w:ilvl w:val="1"/>
      </w:numPr>
    </w:pPr>
    <w:rPr>
      <w:rFonts w:ascii="Cambria" w:eastAsia="Times New Roman" w:hAnsi="Cambria" w:cs="Times New Roman"/>
      <w:i/>
      <w:iCs/>
      <w:color w:val="4F81BD"/>
      <w:spacing w:val="15"/>
      <w:sz w:val="24"/>
      <w:szCs w:val="24"/>
    </w:rPr>
  </w:style>
  <w:style w:type="character" w:customStyle="1" w:styleId="PodtitulChar">
    <w:name w:val="Podtitul Char"/>
    <w:link w:val="Podtitul"/>
    <w:uiPriority w:val="99"/>
    <w:rsid w:val="007D49DC"/>
    <w:rPr>
      <w:rFonts w:ascii="Cambria" w:eastAsia="Times New Roman" w:hAnsi="Cambria" w:cs="Times New Roman"/>
      <w:i/>
      <w:iCs/>
      <w:color w:val="4F81BD"/>
      <w:spacing w:val="15"/>
      <w:sz w:val="24"/>
      <w:szCs w:val="24"/>
      <w:lang w:eastAsia="en-US"/>
    </w:rPr>
  </w:style>
  <w:style w:type="paragraph" w:styleId="Zhlav">
    <w:name w:val="header"/>
    <w:basedOn w:val="Normln"/>
    <w:link w:val="ZhlavChar"/>
    <w:uiPriority w:val="99"/>
    <w:unhideWhenUsed/>
    <w:rsid w:val="00A474C7"/>
    <w:pPr>
      <w:tabs>
        <w:tab w:val="center" w:pos="4536"/>
        <w:tab w:val="right" w:pos="9072"/>
      </w:tabs>
      <w:spacing w:after="0" w:line="240" w:lineRule="auto"/>
    </w:pPr>
  </w:style>
  <w:style w:type="character" w:customStyle="1" w:styleId="ZhlavChar">
    <w:name w:val="Záhlaví Char"/>
    <w:link w:val="Zhlav"/>
    <w:uiPriority w:val="99"/>
    <w:rsid w:val="00A474C7"/>
    <w:rPr>
      <w:rFonts w:ascii="Arial" w:eastAsia="Calibri" w:hAnsi="Arial" w:cs="Arial"/>
      <w:sz w:val="22"/>
      <w:szCs w:val="22"/>
      <w:lang w:eastAsia="en-US"/>
    </w:rPr>
  </w:style>
  <w:style w:type="paragraph" w:styleId="Zpat">
    <w:name w:val="footer"/>
    <w:basedOn w:val="Normln"/>
    <w:link w:val="ZpatChar"/>
    <w:uiPriority w:val="99"/>
    <w:unhideWhenUsed/>
    <w:rsid w:val="00A474C7"/>
    <w:pPr>
      <w:tabs>
        <w:tab w:val="center" w:pos="4536"/>
        <w:tab w:val="right" w:pos="9072"/>
      </w:tabs>
      <w:spacing w:after="0" w:line="240" w:lineRule="auto"/>
    </w:pPr>
  </w:style>
  <w:style w:type="character" w:customStyle="1" w:styleId="ZpatChar">
    <w:name w:val="Zápatí Char"/>
    <w:link w:val="Zpat"/>
    <w:uiPriority w:val="99"/>
    <w:rsid w:val="00A474C7"/>
    <w:rPr>
      <w:rFonts w:ascii="Arial" w:eastAsia="Calibri" w:hAnsi="Arial" w:cs="Arial"/>
      <w:sz w:val="22"/>
      <w:szCs w:val="22"/>
      <w:lang w:eastAsia="en-US"/>
    </w:rPr>
  </w:style>
  <w:style w:type="paragraph" w:customStyle="1" w:styleId="Default">
    <w:name w:val="Default"/>
    <w:rsid w:val="00481E82"/>
    <w:pPr>
      <w:suppressAutoHyphens/>
      <w:autoSpaceDE w:val="0"/>
    </w:pPr>
    <w:rPr>
      <w:rFonts w:ascii="Calibri" w:hAnsi="Calibri" w:cs="Calibri"/>
      <w:color w:val="000000"/>
      <w:sz w:val="24"/>
      <w:szCs w:val="24"/>
      <w:lang w:eastAsia="ar-SA"/>
    </w:rPr>
  </w:style>
  <w:style w:type="paragraph" w:customStyle="1" w:styleId="DAVA">
    <w:name w:val="DAVA"/>
    <w:basedOn w:val="Normln"/>
    <w:link w:val="DAVAChar"/>
    <w:qFormat/>
    <w:rsid w:val="00481E82"/>
    <w:pPr>
      <w:spacing w:before="120" w:after="0" w:line="240" w:lineRule="auto"/>
      <w:jc w:val="both"/>
    </w:pPr>
    <w:rPr>
      <w:rFonts w:ascii="Calibri" w:hAnsi="Calibri" w:cs="Times New Roman"/>
      <w:sz w:val="24"/>
      <w:szCs w:val="28"/>
    </w:rPr>
  </w:style>
  <w:style w:type="character" w:customStyle="1" w:styleId="DAVAChar">
    <w:name w:val="DAVA Char"/>
    <w:link w:val="DAVA"/>
    <w:rsid w:val="00481E82"/>
    <w:rPr>
      <w:rFonts w:ascii="Calibri" w:eastAsia="Calibri" w:hAnsi="Calibri" w:cs="Times New Roman"/>
      <w:sz w:val="24"/>
      <w:szCs w:val="28"/>
      <w:lang w:eastAsia="en-US"/>
    </w:rPr>
  </w:style>
  <w:style w:type="paragraph" w:customStyle="1" w:styleId="Styl2">
    <w:name w:val="Styl2"/>
    <w:basedOn w:val="Normln"/>
    <w:qFormat/>
    <w:rsid w:val="00481E82"/>
    <w:pPr>
      <w:spacing w:before="60" w:after="60" w:line="288" w:lineRule="auto"/>
      <w:jc w:val="both"/>
    </w:pPr>
    <w:rPr>
      <w:rFonts w:eastAsia="Arial Unicode MS" w:cs="Times New Roman"/>
      <w:sz w:val="20"/>
      <w:lang w:eastAsia="cs-CZ"/>
    </w:rPr>
  </w:style>
  <w:style w:type="character" w:customStyle="1" w:styleId="cizojazycne">
    <w:name w:val="cizojazycne"/>
    <w:basedOn w:val="Standardnpsmoodstavce"/>
    <w:uiPriority w:val="99"/>
    <w:rsid w:val="00481E82"/>
  </w:style>
  <w:style w:type="character" w:styleId="Zdraznnintenzivn">
    <w:name w:val="Intense Emphasis"/>
    <w:uiPriority w:val="99"/>
    <w:qFormat/>
    <w:rsid w:val="00481E82"/>
    <w:rPr>
      <w:rFonts w:ascii="Cambria" w:hAnsi="Cambria" w:cs="Cambria"/>
      <w:b/>
      <w:bCs/>
      <w:i/>
      <w:iCs/>
      <w:color w:val="4F81BD"/>
      <w:sz w:val="26"/>
      <w:szCs w:val="26"/>
    </w:rPr>
  </w:style>
  <w:style w:type="table" w:customStyle="1" w:styleId="Svtlmkazvraznn11">
    <w:name w:val="Světlá mřížka – zvýraznění 11"/>
    <w:basedOn w:val="Normlntabulka"/>
    <w:uiPriority w:val="62"/>
    <w:rsid w:val="008D6BA6"/>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xt">
    <w:name w:val="text"/>
    <w:basedOn w:val="Normln"/>
    <w:qFormat/>
    <w:rsid w:val="00D568C2"/>
    <w:pPr>
      <w:spacing w:before="120" w:after="0" w:line="240" w:lineRule="auto"/>
      <w:jc w:val="both"/>
    </w:pPr>
    <w:rPr>
      <w:rFonts w:ascii="Times New Roman" w:eastAsia="Times New Roman" w:hAnsi="Times New Roman" w:cs="Times New Roman"/>
      <w:sz w:val="24"/>
      <w:szCs w:val="24"/>
      <w:lang w:eastAsia="cs-CZ"/>
    </w:rPr>
  </w:style>
  <w:style w:type="paragraph" w:customStyle="1" w:styleId="Norm-Bold">
    <w:name w:val="Norm-Bold"/>
    <w:basedOn w:val="Normln"/>
    <w:next w:val="Normln"/>
    <w:uiPriority w:val="99"/>
    <w:rsid w:val="00DC73CC"/>
    <w:pPr>
      <w:keepNext/>
      <w:keepLines/>
      <w:widowControl w:val="0"/>
      <w:adjustRightInd w:val="0"/>
      <w:spacing w:before="240" w:after="0" w:line="240" w:lineRule="atLeast"/>
      <w:jc w:val="both"/>
      <w:textAlignment w:val="baseline"/>
    </w:pPr>
    <w:rPr>
      <w:rFonts w:ascii="Times New Roman" w:eastAsia="Times New Roman" w:hAnsi="Times New Roman" w:cs="Times New Roman"/>
      <w:b/>
      <w:sz w:val="24"/>
      <w:szCs w:val="24"/>
      <w:lang w:eastAsia="cs-CZ"/>
    </w:rPr>
  </w:style>
  <w:style w:type="character" w:customStyle="1" w:styleId="Znakypropoznmkupodarou">
    <w:name w:val="Znaky pro poznámku pod čarou"/>
    <w:uiPriority w:val="99"/>
    <w:rsid w:val="00DC73CC"/>
    <w:rPr>
      <w:i/>
      <w:iCs/>
      <w:vertAlign w:val="superscript"/>
    </w:rPr>
  </w:style>
  <w:style w:type="paragraph" w:styleId="Normlnweb">
    <w:name w:val="Normal (Web)"/>
    <w:basedOn w:val="Normln"/>
    <w:uiPriority w:val="99"/>
    <w:unhideWhenUsed/>
    <w:rsid w:val="005177EF"/>
    <w:pPr>
      <w:spacing w:before="100" w:beforeAutospacing="1" w:after="100" w:afterAutospacing="1" w:line="240" w:lineRule="auto"/>
    </w:pPr>
    <w:rPr>
      <w:rFonts w:ascii="Times New Roman" w:hAnsi="Times New Roman" w:cs="Times New Roman"/>
      <w:sz w:val="24"/>
      <w:szCs w:val="24"/>
      <w:lang w:eastAsia="cs-CZ"/>
    </w:rPr>
  </w:style>
  <w:style w:type="character" w:styleId="Siln">
    <w:name w:val="Strong"/>
    <w:uiPriority w:val="22"/>
    <w:qFormat/>
    <w:rsid w:val="005177EF"/>
    <w:rPr>
      <w:b/>
      <w:bCs/>
    </w:rPr>
  </w:style>
  <w:style w:type="paragraph" w:styleId="Revize">
    <w:name w:val="Revision"/>
    <w:hidden/>
    <w:uiPriority w:val="99"/>
    <w:semiHidden/>
    <w:rsid w:val="0093232F"/>
    <w:rPr>
      <w:rFonts w:ascii="Arial" w:eastAsia="Calibri" w:hAnsi="Arial" w:cs="Arial"/>
      <w:sz w:val="22"/>
      <w:szCs w:val="22"/>
      <w:lang w:eastAsia="en-US"/>
    </w:rPr>
  </w:style>
  <w:style w:type="table" w:customStyle="1" w:styleId="Stednstnovn1zvraznn11">
    <w:name w:val="Střední stínování 1 – zvýraznění 11"/>
    <w:basedOn w:val="Normlntabulka"/>
    <w:uiPriority w:val="63"/>
    <w:rsid w:val="00BA6B4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Zvraznn">
    <w:name w:val="Emphasis"/>
    <w:uiPriority w:val="20"/>
    <w:qFormat/>
    <w:rsid w:val="0018040B"/>
    <w:rPr>
      <w:b/>
      <w:bCs/>
      <w:i w:val="0"/>
      <w:iCs w:val="0"/>
    </w:rPr>
  </w:style>
  <w:style w:type="character" w:customStyle="1" w:styleId="st1">
    <w:name w:val="st1"/>
    <w:basedOn w:val="Standardnpsmoodstavce"/>
    <w:rsid w:val="0018040B"/>
  </w:style>
  <w:style w:type="paragraph" w:customStyle="1" w:styleId="Odstavecseseznamem2">
    <w:name w:val="Odstavec se seznamem2"/>
    <w:basedOn w:val="Normln"/>
    <w:uiPriority w:val="99"/>
    <w:rsid w:val="00FC2F81"/>
    <w:pPr>
      <w:spacing w:after="120" w:line="240" w:lineRule="auto"/>
      <w:ind w:left="708"/>
      <w:jc w:val="both"/>
    </w:pPr>
    <w:rPr>
      <w:rFonts w:ascii="Times New Roman" w:eastAsia="Times New Roman" w:hAnsi="Times New Roman" w:cs="Times New Roman"/>
      <w:sz w:val="24"/>
      <w:szCs w:val="24"/>
      <w:lang w:eastAsia="cs-CZ"/>
    </w:rPr>
  </w:style>
  <w:style w:type="paragraph" w:customStyle="1" w:styleId="Odstavecseseznamem1">
    <w:name w:val="Odstavec se seznamem1"/>
    <w:basedOn w:val="Normln"/>
    <w:link w:val="ListParagraphChar1"/>
    <w:rsid w:val="00FC2F81"/>
    <w:pPr>
      <w:spacing w:after="120" w:line="240" w:lineRule="auto"/>
      <w:ind w:left="720"/>
      <w:jc w:val="both"/>
    </w:pPr>
    <w:rPr>
      <w:rFonts w:ascii="Times New Roman" w:eastAsia="Times New Roman" w:hAnsi="Times New Roman" w:cs="Times New Roman"/>
      <w:sz w:val="24"/>
      <w:szCs w:val="24"/>
      <w:lang w:eastAsia="cs-CZ"/>
    </w:rPr>
  </w:style>
  <w:style w:type="character" w:customStyle="1" w:styleId="ListParagraphChar1">
    <w:name w:val="List Paragraph Char1"/>
    <w:link w:val="Odstavecseseznamem1"/>
    <w:rsid w:val="00CA3248"/>
    <w:rPr>
      <w:sz w:val="24"/>
      <w:szCs w:val="24"/>
    </w:rPr>
  </w:style>
  <w:style w:type="paragraph" w:customStyle="1" w:styleId="NorReport">
    <w:name w:val="Nor_Report"/>
    <w:basedOn w:val="Normln"/>
    <w:link w:val="NorReportChar"/>
    <w:qFormat/>
    <w:rsid w:val="002F0067"/>
    <w:pPr>
      <w:spacing w:before="60" w:after="60" w:line="240" w:lineRule="auto"/>
      <w:jc w:val="both"/>
    </w:pPr>
    <w:rPr>
      <w:rFonts w:eastAsia="Times New Roman" w:cs="Times New Roman"/>
      <w:sz w:val="20"/>
      <w:szCs w:val="20"/>
    </w:rPr>
  </w:style>
  <w:style w:type="character" w:customStyle="1" w:styleId="NorReportChar">
    <w:name w:val="Nor_Report Char"/>
    <w:link w:val="NorReport"/>
    <w:rsid w:val="002F0067"/>
    <w:rPr>
      <w:rFonts w:ascii="Arial" w:hAnsi="Arial"/>
    </w:rPr>
  </w:style>
  <w:style w:type="paragraph" w:styleId="Obsah5">
    <w:name w:val="toc 5"/>
    <w:basedOn w:val="Normln"/>
    <w:next w:val="Normln"/>
    <w:autoRedefine/>
    <w:uiPriority w:val="39"/>
    <w:unhideWhenUsed/>
    <w:rsid w:val="008C796F"/>
    <w:pPr>
      <w:spacing w:after="0"/>
      <w:ind w:left="880"/>
    </w:pPr>
    <w:rPr>
      <w:rFonts w:ascii="Calibri" w:hAnsi="Calibri"/>
      <w:sz w:val="18"/>
      <w:szCs w:val="18"/>
    </w:rPr>
  </w:style>
  <w:style w:type="paragraph" w:styleId="Obsah6">
    <w:name w:val="toc 6"/>
    <w:basedOn w:val="Normln"/>
    <w:next w:val="Normln"/>
    <w:autoRedefine/>
    <w:uiPriority w:val="39"/>
    <w:unhideWhenUsed/>
    <w:rsid w:val="008C796F"/>
    <w:pPr>
      <w:spacing w:after="0"/>
      <w:ind w:left="1100"/>
    </w:pPr>
    <w:rPr>
      <w:rFonts w:ascii="Calibri" w:hAnsi="Calibri"/>
      <w:sz w:val="18"/>
      <w:szCs w:val="18"/>
    </w:rPr>
  </w:style>
  <w:style w:type="paragraph" w:styleId="Obsah7">
    <w:name w:val="toc 7"/>
    <w:basedOn w:val="Normln"/>
    <w:next w:val="Normln"/>
    <w:autoRedefine/>
    <w:uiPriority w:val="39"/>
    <w:unhideWhenUsed/>
    <w:rsid w:val="008C796F"/>
    <w:pPr>
      <w:spacing w:after="0"/>
      <w:ind w:left="1320"/>
    </w:pPr>
    <w:rPr>
      <w:rFonts w:ascii="Calibri" w:hAnsi="Calibri"/>
      <w:sz w:val="18"/>
      <w:szCs w:val="18"/>
    </w:rPr>
  </w:style>
  <w:style w:type="paragraph" w:styleId="Obsah8">
    <w:name w:val="toc 8"/>
    <w:basedOn w:val="Normln"/>
    <w:next w:val="Normln"/>
    <w:autoRedefine/>
    <w:uiPriority w:val="39"/>
    <w:unhideWhenUsed/>
    <w:rsid w:val="008C796F"/>
    <w:pPr>
      <w:spacing w:after="0"/>
      <w:ind w:left="1540"/>
    </w:pPr>
    <w:rPr>
      <w:rFonts w:ascii="Calibri" w:hAnsi="Calibri"/>
      <w:sz w:val="18"/>
      <w:szCs w:val="18"/>
    </w:rPr>
  </w:style>
  <w:style w:type="paragraph" w:styleId="Obsah9">
    <w:name w:val="toc 9"/>
    <w:basedOn w:val="Normln"/>
    <w:next w:val="Normln"/>
    <w:autoRedefine/>
    <w:uiPriority w:val="39"/>
    <w:unhideWhenUsed/>
    <w:rsid w:val="008C796F"/>
    <w:pPr>
      <w:spacing w:after="0"/>
      <w:ind w:left="1760"/>
    </w:pPr>
    <w:rPr>
      <w:rFonts w:ascii="Calibri" w:hAnsi="Calibri"/>
      <w:sz w:val="18"/>
      <w:szCs w:val="18"/>
    </w:rPr>
  </w:style>
  <w:style w:type="paragraph" w:styleId="Bezmezer">
    <w:name w:val="No Spacing"/>
    <w:uiPriority w:val="1"/>
    <w:qFormat/>
    <w:rsid w:val="008C796F"/>
    <w:rPr>
      <w:rFonts w:ascii="Arial" w:eastAsia="Calibri" w:hAnsi="Arial" w:cs="Arial"/>
      <w:sz w:val="22"/>
      <w:szCs w:val="22"/>
      <w:lang w:eastAsia="en-US"/>
    </w:rPr>
  </w:style>
  <w:style w:type="paragraph" w:customStyle="1" w:styleId="KRUTEXTODSTAVCE">
    <w:name w:val="_KRU_TEXT_ODSTAVCE"/>
    <w:basedOn w:val="Normln"/>
    <w:uiPriority w:val="99"/>
    <w:rsid w:val="00FA1367"/>
    <w:pPr>
      <w:spacing w:after="0" w:line="288" w:lineRule="auto"/>
    </w:pPr>
    <w:rPr>
      <w:rFonts w:eastAsia="Times New Roman"/>
      <w:szCs w:val="24"/>
      <w:lang w:eastAsia="cs-CZ"/>
    </w:rPr>
  </w:style>
  <w:style w:type="paragraph" w:styleId="Prosttext">
    <w:name w:val="Plain Text"/>
    <w:basedOn w:val="Normln"/>
    <w:link w:val="ProsttextChar"/>
    <w:uiPriority w:val="99"/>
    <w:unhideWhenUsed/>
    <w:rsid w:val="00914EA7"/>
    <w:pPr>
      <w:spacing w:after="0" w:line="240" w:lineRule="auto"/>
    </w:pPr>
    <w:rPr>
      <w:rFonts w:ascii="Consolas" w:hAnsi="Consolas" w:cs="Times New Roman"/>
      <w:sz w:val="21"/>
      <w:szCs w:val="21"/>
    </w:rPr>
  </w:style>
  <w:style w:type="character" w:customStyle="1" w:styleId="ProsttextChar">
    <w:name w:val="Prostý text Char"/>
    <w:link w:val="Prosttext"/>
    <w:uiPriority w:val="99"/>
    <w:rsid w:val="00914EA7"/>
    <w:rPr>
      <w:rFonts w:ascii="Consolas" w:eastAsia="Calibri" w:hAnsi="Consolas" w:cs="Times New Roman"/>
      <w:sz w:val="21"/>
      <w:szCs w:val="21"/>
      <w:lang w:eastAsia="en-US"/>
    </w:rPr>
  </w:style>
  <w:style w:type="character" w:customStyle="1" w:styleId="ListParagraphChar">
    <w:name w:val="List Paragraph Char"/>
    <w:link w:val="Odstavecseseznamem3"/>
    <w:rsid w:val="00A15CE2"/>
    <w:rPr>
      <w:rFonts w:ascii="Calibri" w:hAnsi="Calibri"/>
      <w:sz w:val="22"/>
      <w:szCs w:val="22"/>
      <w:lang w:eastAsia="en-US" w:bidi="ar-SA"/>
    </w:rPr>
  </w:style>
  <w:style w:type="paragraph" w:customStyle="1" w:styleId="Odstavecseseznamem3">
    <w:name w:val="Odstavec se seznamem3"/>
    <w:basedOn w:val="Normln"/>
    <w:link w:val="ListParagraphChar"/>
    <w:rsid w:val="008247DB"/>
    <w:pPr>
      <w:ind w:left="720"/>
      <w:contextualSpacing/>
    </w:pPr>
    <w:rPr>
      <w:rFonts w:ascii="Calibri" w:eastAsia="Times New Roman" w:hAnsi="Calibri" w:cs="Times New Roman"/>
    </w:rPr>
  </w:style>
  <w:style w:type="character" w:customStyle="1" w:styleId="Footnote">
    <w:name w:val="Footnote_"/>
    <w:rsid w:val="003A29E6"/>
    <w:rPr>
      <w:rFonts w:ascii="Times New Roman" w:eastAsia="Times New Roman" w:hAnsi="Times New Roman" w:cs="Times New Roman"/>
      <w:sz w:val="18"/>
      <w:szCs w:val="18"/>
      <w:shd w:val="clear" w:color="auto" w:fill="FFFFFF"/>
    </w:rPr>
  </w:style>
  <w:style w:type="paragraph" w:customStyle="1" w:styleId="Textdopisu">
    <w:name w:val="Text dopisu"/>
    <w:basedOn w:val="Normln"/>
    <w:uiPriority w:val="99"/>
    <w:rsid w:val="00D444FD"/>
    <w:pPr>
      <w:overflowPunct w:val="0"/>
      <w:autoSpaceDE w:val="0"/>
      <w:autoSpaceDN w:val="0"/>
      <w:adjustRightInd w:val="0"/>
      <w:spacing w:after="0" w:line="240" w:lineRule="auto"/>
      <w:ind w:firstLine="544"/>
      <w:jc w:val="both"/>
    </w:pPr>
    <w:rPr>
      <w:rFonts w:ascii="Times New Roman" w:eastAsia="Times New Roman" w:hAnsi="Times New Roman" w:cs="Times New Roman"/>
      <w:sz w:val="24"/>
      <w:szCs w:val="20"/>
      <w:lang w:eastAsia="cs-CZ"/>
    </w:rPr>
  </w:style>
  <w:style w:type="paragraph" w:customStyle="1" w:styleId="ListDash1">
    <w:name w:val="List Dash 1"/>
    <w:basedOn w:val="Normln"/>
    <w:uiPriority w:val="99"/>
    <w:rsid w:val="00D444FD"/>
    <w:pPr>
      <w:tabs>
        <w:tab w:val="num" w:pos="2575"/>
      </w:tabs>
      <w:spacing w:before="120" w:after="120" w:line="240" w:lineRule="auto"/>
      <w:ind w:left="2575" w:hanging="283"/>
      <w:jc w:val="both"/>
    </w:pPr>
    <w:rPr>
      <w:rFonts w:ascii="Times New Roman" w:eastAsia="Times New Roman" w:hAnsi="Times New Roman" w:cs="Times New Roman"/>
      <w:sz w:val="24"/>
      <w:szCs w:val="24"/>
      <w:lang w:eastAsia="de-DE"/>
    </w:rPr>
  </w:style>
  <w:style w:type="character" w:customStyle="1" w:styleId="FontStyle202">
    <w:name w:val="Font Style202"/>
    <w:uiPriority w:val="99"/>
    <w:rsid w:val="00FC1A94"/>
    <w:rPr>
      <w:rFonts w:ascii="Times New Roman" w:hAnsi="Times New Roman" w:cs="Times New Roman"/>
      <w:color w:val="000000"/>
      <w:sz w:val="18"/>
      <w:szCs w:val="18"/>
    </w:rPr>
  </w:style>
  <w:style w:type="paragraph" w:customStyle="1" w:styleId="Style53">
    <w:name w:val="Style53"/>
    <w:basedOn w:val="Normln"/>
    <w:uiPriority w:val="99"/>
    <w:rsid w:val="00FC1A94"/>
    <w:pPr>
      <w:widowControl w:val="0"/>
      <w:autoSpaceDE w:val="0"/>
      <w:autoSpaceDN w:val="0"/>
      <w:adjustRightInd w:val="0"/>
      <w:spacing w:after="0" w:line="229" w:lineRule="exact"/>
    </w:pPr>
    <w:rPr>
      <w:rFonts w:eastAsia="Times New Roman" w:cs="Times New Roman"/>
      <w:sz w:val="24"/>
      <w:szCs w:val="24"/>
      <w:lang w:eastAsia="cs-CZ"/>
    </w:rPr>
  </w:style>
  <w:style w:type="paragraph" w:customStyle="1" w:styleId="Style153">
    <w:name w:val="Style153"/>
    <w:basedOn w:val="Normln"/>
    <w:uiPriority w:val="99"/>
    <w:rsid w:val="0085582C"/>
    <w:pPr>
      <w:widowControl w:val="0"/>
      <w:autoSpaceDE w:val="0"/>
      <w:autoSpaceDN w:val="0"/>
      <w:adjustRightInd w:val="0"/>
      <w:spacing w:after="0" w:line="240" w:lineRule="auto"/>
    </w:pPr>
    <w:rPr>
      <w:rFonts w:eastAsia="Times New Roman" w:cs="Times New Roman"/>
      <w:sz w:val="24"/>
      <w:szCs w:val="24"/>
      <w:lang w:eastAsia="cs-CZ"/>
    </w:rPr>
  </w:style>
  <w:style w:type="character" w:customStyle="1" w:styleId="FontStyle217">
    <w:name w:val="Font Style217"/>
    <w:uiPriority w:val="99"/>
    <w:rsid w:val="0085582C"/>
    <w:rPr>
      <w:rFonts w:ascii="Franklin Gothic Medium" w:hAnsi="Franklin Gothic Medium" w:cs="Franklin Gothic Medium"/>
      <w:color w:val="000000"/>
      <w:sz w:val="26"/>
      <w:szCs w:val="26"/>
    </w:rPr>
  </w:style>
  <w:style w:type="paragraph" w:customStyle="1" w:styleId="Style59">
    <w:name w:val="Style59"/>
    <w:basedOn w:val="Normln"/>
    <w:uiPriority w:val="99"/>
    <w:rsid w:val="00CC7558"/>
    <w:pPr>
      <w:widowControl w:val="0"/>
      <w:autoSpaceDE w:val="0"/>
      <w:autoSpaceDN w:val="0"/>
      <w:adjustRightInd w:val="0"/>
      <w:spacing w:after="0" w:line="230" w:lineRule="exact"/>
      <w:jc w:val="both"/>
    </w:pPr>
    <w:rPr>
      <w:rFonts w:eastAsia="Times New Roman" w:cs="Times New Roman"/>
      <w:sz w:val="24"/>
      <w:szCs w:val="24"/>
      <w:lang w:eastAsia="cs-CZ"/>
    </w:rPr>
  </w:style>
  <w:style w:type="paragraph" w:customStyle="1" w:styleId="Standardntext">
    <w:name w:val="Standardní text"/>
    <w:basedOn w:val="Normln"/>
    <w:link w:val="StandardntextChar"/>
    <w:qFormat/>
    <w:rsid w:val="0077609A"/>
    <w:pPr>
      <w:overflowPunct w:val="0"/>
      <w:autoSpaceDE w:val="0"/>
      <w:autoSpaceDN w:val="0"/>
      <w:adjustRightInd w:val="0"/>
      <w:spacing w:after="240" w:line="240" w:lineRule="auto"/>
      <w:jc w:val="both"/>
      <w:textAlignment w:val="baseline"/>
    </w:pPr>
    <w:rPr>
      <w:rFonts w:ascii="Calibri" w:eastAsia="Times New Roman" w:hAnsi="Calibri" w:cs="Calibri"/>
      <w:sz w:val="24"/>
      <w:szCs w:val="24"/>
      <w:lang w:eastAsia="cs-CZ"/>
    </w:rPr>
  </w:style>
  <w:style w:type="character" w:customStyle="1" w:styleId="StandardntextChar">
    <w:name w:val="Standardní text Char"/>
    <w:link w:val="Standardntext"/>
    <w:rsid w:val="0077609A"/>
    <w:rPr>
      <w:rFonts w:ascii="Calibri" w:hAnsi="Calibri" w:cs="Calibri"/>
      <w:sz w:val="24"/>
      <w:szCs w:val="24"/>
    </w:rPr>
  </w:style>
  <w:style w:type="paragraph" w:styleId="Pokraovnseznamu">
    <w:name w:val="List Continue"/>
    <w:basedOn w:val="Normln"/>
    <w:uiPriority w:val="99"/>
    <w:rsid w:val="00CD547D"/>
    <w:pPr>
      <w:spacing w:after="120" w:line="240" w:lineRule="auto"/>
      <w:ind w:left="283"/>
    </w:pPr>
    <w:rPr>
      <w:rFonts w:ascii="Calibri" w:eastAsia="Times New Roman" w:hAnsi="Calibri" w:cs="Times New Roman"/>
      <w:sz w:val="24"/>
      <w:szCs w:val="24"/>
    </w:rPr>
  </w:style>
  <w:style w:type="character" w:customStyle="1" w:styleId="longtext">
    <w:name w:val="long_text"/>
    <w:uiPriority w:val="99"/>
    <w:rsid w:val="00FF5338"/>
  </w:style>
  <w:style w:type="paragraph" w:styleId="Zkladntextodsazen2">
    <w:name w:val="Body Text Indent 2"/>
    <w:basedOn w:val="Normln"/>
    <w:link w:val="Zkladntextodsazen2Char"/>
    <w:rsid w:val="0046690A"/>
    <w:pPr>
      <w:spacing w:after="120" w:line="480" w:lineRule="auto"/>
      <w:ind w:left="283"/>
      <w:jc w:val="both"/>
    </w:pPr>
    <w:rPr>
      <w:rFonts w:ascii="Times New Roman" w:eastAsia="Times New Roman" w:hAnsi="Times New Roman" w:cs="Times New Roman"/>
      <w:sz w:val="24"/>
      <w:szCs w:val="20"/>
      <w:lang w:val="en-GB"/>
    </w:rPr>
  </w:style>
  <w:style w:type="character" w:customStyle="1" w:styleId="Zkladntextodsazen2Char">
    <w:name w:val="Základní text odsazený 2 Char"/>
    <w:link w:val="Zkladntextodsazen2"/>
    <w:rsid w:val="0046690A"/>
    <w:rPr>
      <w:sz w:val="24"/>
      <w:lang w:val="en-GB" w:eastAsia="en-US"/>
    </w:rPr>
  </w:style>
  <w:style w:type="character" w:customStyle="1" w:styleId="TextpoznpodarouChar1">
    <w:name w:val="Text pozn. pod čarou Char1"/>
    <w:aliases w:val="Schriftart: 9 pt Char1,Schriftart: 10 pt Char1,Schriftart: 8 pt Char1,Text poznámky pod čiarou 007 Char1,Footnote Char1,Fußnotentextf Char1,Geneva 9 Char1,Font: Geneva 9 Char1,Boston 10 Char1,f Char1,pozn. pod čarou Char1"/>
    <w:uiPriority w:val="99"/>
    <w:semiHidden/>
    <w:rsid w:val="00DC5011"/>
    <w:rPr>
      <w:rFonts w:eastAsia="Calibri" w:cs="Arial"/>
    </w:rPr>
  </w:style>
  <w:style w:type="paragraph" w:customStyle="1" w:styleId="Normln1">
    <w:name w:val="Normální1"/>
    <w:uiPriority w:val="99"/>
    <w:rsid w:val="00DC5011"/>
    <w:pPr>
      <w:spacing w:after="200" w:line="276" w:lineRule="auto"/>
    </w:pPr>
    <w:rPr>
      <w:rFonts w:ascii="Calibri" w:eastAsia="Calibri" w:hAnsi="Calibri" w:cs="Calibri"/>
      <w:color w:val="000000"/>
      <w:sz w:val="22"/>
      <w:szCs w:val="24"/>
      <w:lang w:eastAsia="ja-JP"/>
    </w:rPr>
  </w:style>
  <w:style w:type="table" w:styleId="Stednmka1zvraznn2">
    <w:name w:val="Medium Grid 1 Accent 2"/>
    <w:basedOn w:val="Normlntabulka"/>
    <w:link w:val="MediumGrid1-Accent2Char"/>
    <w:uiPriority w:val="99"/>
    <w:rsid w:val="00DC5011"/>
    <w:rPr>
      <w:rFonts w:ascii="Arial" w:eastAsia="Calibri" w:hAnsi="Arial" w:cs="Arial"/>
      <w:sz w:val="22"/>
      <w:szCs w:val="22"/>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character" w:customStyle="1" w:styleId="MediumGrid1-Accent2Char">
    <w:name w:val="Medium Grid 1 - Accent 2 Char"/>
    <w:link w:val="Stednmka1zvraznn2"/>
    <w:uiPriority w:val="99"/>
    <w:locked/>
    <w:rsid w:val="00DC5011"/>
    <w:rPr>
      <w:rFonts w:ascii="Arial" w:eastAsia="Calibri" w:hAnsi="Arial" w:cs="Arial" w:hint="default"/>
      <w:sz w:val="22"/>
      <w:szCs w:val="22"/>
      <w:lang w:eastAsia="en-US"/>
    </w:rPr>
  </w:style>
  <w:style w:type="table" w:customStyle="1" w:styleId="Stednstnovn1zvraznn12">
    <w:name w:val="Střední stínování 1 – zvýraznění 12"/>
    <w:basedOn w:val="Normlntabulka"/>
    <w:uiPriority w:val="63"/>
    <w:rsid w:val="00DC5011"/>
    <w:rPr>
      <w:rFonts w:ascii="Calibri" w:eastAsia="Calibri" w:hAnsi="Calibri"/>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Sledovanodkaz">
    <w:name w:val="FollowedHyperlink"/>
    <w:uiPriority w:val="99"/>
    <w:semiHidden/>
    <w:unhideWhenUsed/>
    <w:rsid w:val="001861FC"/>
    <w:rPr>
      <w:color w:val="800080"/>
      <w:u w:val="single"/>
    </w:rPr>
  </w:style>
  <w:style w:type="paragraph" w:customStyle="1" w:styleId="Azkladn">
    <w:name w:val="A základní"/>
    <w:basedOn w:val="Normln"/>
    <w:rsid w:val="000A6C11"/>
    <w:pPr>
      <w:tabs>
        <w:tab w:val="left" w:pos="851"/>
      </w:tabs>
      <w:spacing w:after="120" w:line="240" w:lineRule="auto"/>
      <w:jc w:val="both"/>
    </w:pPr>
    <w:rPr>
      <w:rFonts w:ascii="Times New Roman" w:eastAsia="Times New Roman" w:hAnsi="Times New Roman" w:cs="Times New Roman"/>
      <w:szCs w:val="24"/>
      <w:lang w:eastAsia="cs-CZ"/>
    </w:rPr>
  </w:style>
  <w:style w:type="character" w:customStyle="1" w:styleId="Text1Char">
    <w:name w:val="Text 1 Char"/>
    <w:link w:val="Text1"/>
    <w:uiPriority w:val="99"/>
    <w:locked/>
    <w:rsid w:val="00F67C68"/>
    <w:rPr>
      <w:sz w:val="24"/>
      <w:lang w:val="en-GB"/>
    </w:rPr>
  </w:style>
  <w:style w:type="paragraph" w:customStyle="1" w:styleId="Text1">
    <w:name w:val="Text 1"/>
    <w:basedOn w:val="Normln"/>
    <w:link w:val="Text1Char"/>
    <w:uiPriority w:val="99"/>
    <w:rsid w:val="00F67C68"/>
    <w:pPr>
      <w:spacing w:after="240" w:line="240" w:lineRule="auto"/>
      <w:ind w:left="482"/>
      <w:jc w:val="both"/>
    </w:pPr>
    <w:rPr>
      <w:rFonts w:ascii="Times New Roman" w:eastAsia="Times New Roman" w:hAnsi="Times New Roman" w:cs="Times New Roman"/>
      <w:sz w:val="24"/>
      <w:szCs w:val="20"/>
      <w:lang w:val="en-GB"/>
    </w:rPr>
  </w:style>
  <w:style w:type="paragraph" w:customStyle="1" w:styleId="Text2">
    <w:name w:val="Text 2"/>
    <w:basedOn w:val="Normln"/>
    <w:uiPriority w:val="99"/>
    <w:rsid w:val="00567824"/>
    <w:pPr>
      <w:tabs>
        <w:tab w:val="left" w:pos="2160"/>
      </w:tabs>
      <w:spacing w:after="0" w:line="240" w:lineRule="auto"/>
      <w:ind w:left="1077"/>
    </w:pPr>
    <w:rPr>
      <w:rFonts w:ascii="Times New Roman" w:eastAsia="Times New Roman" w:hAnsi="Times New Roman" w:cs="Times New Roman"/>
      <w:sz w:val="24"/>
      <w:szCs w:val="24"/>
      <w:lang w:val="en-GB" w:eastAsia="en-GB"/>
    </w:rPr>
  </w:style>
  <w:style w:type="paragraph" w:customStyle="1" w:styleId="NormlnIROP">
    <w:name w:val="Normální IROP"/>
    <w:basedOn w:val="Normln"/>
    <w:uiPriority w:val="99"/>
    <w:rsid w:val="00BC676D"/>
    <w:pPr>
      <w:spacing w:after="240" w:line="312" w:lineRule="auto"/>
      <w:jc w:val="both"/>
    </w:pPr>
    <w:rPr>
      <w:rFonts w:ascii="Times New Roman" w:eastAsia="Times New Roman" w:hAnsi="Times New Roman" w:cs="Times New Roman"/>
      <w:sz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qFormat="1"/>
    <w:lsdException w:name="Title" w:semiHidden="0" w:uiPriority="10" w:unhideWhenUsed="0" w:qFormat="1"/>
    <w:lsdException w:name="Default Paragraph Font" w:uiPriority="1"/>
    <w:lsdException w:name="Subtitle" w:semiHidden="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82F78"/>
    <w:pPr>
      <w:spacing w:after="200" w:line="276" w:lineRule="auto"/>
    </w:pPr>
    <w:rPr>
      <w:rFonts w:ascii="Arial" w:eastAsia="Calibri" w:hAnsi="Arial" w:cs="Arial"/>
      <w:sz w:val="22"/>
      <w:szCs w:val="22"/>
      <w:lang w:eastAsia="en-US"/>
    </w:rPr>
  </w:style>
  <w:style w:type="paragraph" w:styleId="Nadpis1">
    <w:name w:val="heading 1"/>
    <w:basedOn w:val="Normln"/>
    <w:next w:val="Normln"/>
    <w:link w:val="Nadpis1Char"/>
    <w:qFormat/>
    <w:rsid w:val="00582F78"/>
    <w:pPr>
      <w:keepNext/>
      <w:numPr>
        <w:numId w:val="1"/>
      </w:numPr>
      <w:spacing w:before="240" w:after="60" w:line="240" w:lineRule="auto"/>
      <w:jc w:val="both"/>
      <w:outlineLvl w:val="0"/>
    </w:pPr>
    <w:rPr>
      <w:rFonts w:eastAsia="Times New Roman"/>
      <w:b/>
      <w:bCs/>
      <w:kern w:val="32"/>
      <w:sz w:val="32"/>
      <w:szCs w:val="32"/>
      <w:lang w:eastAsia="cs-CZ"/>
    </w:rPr>
  </w:style>
  <w:style w:type="paragraph" w:styleId="Nadpis2">
    <w:name w:val="heading 2"/>
    <w:basedOn w:val="Normln"/>
    <w:next w:val="Normln"/>
    <w:link w:val="Nadpis2Char"/>
    <w:autoRedefine/>
    <w:uiPriority w:val="9"/>
    <w:qFormat/>
    <w:rsid w:val="000B521F"/>
    <w:pPr>
      <w:keepNext/>
      <w:keepLines/>
      <w:numPr>
        <w:ilvl w:val="1"/>
        <w:numId w:val="1"/>
      </w:numPr>
      <w:spacing w:before="240" w:after="120" w:line="240" w:lineRule="auto"/>
      <w:ind w:left="578" w:hanging="578"/>
      <w:jc w:val="both"/>
      <w:outlineLvl w:val="1"/>
    </w:pPr>
    <w:rPr>
      <w:rFonts w:ascii="Times New Roman" w:eastAsia="Times New Roman" w:hAnsi="Times New Roman" w:cs="Times New Roman"/>
      <w:b/>
      <w:bCs/>
      <w:color w:val="4F81BD"/>
      <w:sz w:val="26"/>
      <w:szCs w:val="26"/>
      <w:lang w:eastAsia="cs-CZ"/>
    </w:rPr>
  </w:style>
  <w:style w:type="paragraph" w:styleId="Nadpis3">
    <w:name w:val="heading 3"/>
    <w:basedOn w:val="Normln"/>
    <w:next w:val="Normln"/>
    <w:link w:val="Nadpis3Char"/>
    <w:qFormat/>
    <w:rsid w:val="00582F78"/>
    <w:pPr>
      <w:keepNext/>
      <w:numPr>
        <w:ilvl w:val="2"/>
        <w:numId w:val="1"/>
      </w:numPr>
      <w:spacing w:before="240" w:after="60" w:line="240" w:lineRule="auto"/>
      <w:jc w:val="both"/>
      <w:outlineLvl w:val="2"/>
    </w:pPr>
    <w:rPr>
      <w:rFonts w:eastAsia="Times New Roman"/>
      <w:b/>
      <w:bCs/>
      <w:sz w:val="26"/>
      <w:szCs w:val="26"/>
      <w:lang w:eastAsia="cs-CZ"/>
    </w:rPr>
  </w:style>
  <w:style w:type="paragraph" w:styleId="Nadpis4">
    <w:name w:val="heading 4"/>
    <w:basedOn w:val="Normln"/>
    <w:next w:val="Normln"/>
    <w:link w:val="Nadpis4Char"/>
    <w:qFormat/>
    <w:rsid w:val="00582F78"/>
    <w:pPr>
      <w:keepNext/>
      <w:numPr>
        <w:ilvl w:val="3"/>
        <w:numId w:val="1"/>
      </w:numPr>
      <w:spacing w:before="240" w:after="60" w:line="240" w:lineRule="auto"/>
      <w:jc w:val="both"/>
      <w:outlineLvl w:val="3"/>
    </w:pPr>
    <w:rPr>
      <w:rFonts w:eastAsia="Times New Roman"/>
      <w:b/>
      <w:bCs/>
      <w:i/>
      <w:iCs/>
      <w:lang w:eastAsia="cs-CZ"/>
    </w:rPr>
  </w:style>
  <w:style w:type="paragraph" w:styleId="Nadpis5">
    <w:name w:val="heading 5"/>
    <w:basedOn w:val="Normln"/>
    <w:next w:val="Normln"/>
    <w:link w:val="Nadpis5Char"/>
    <w:qFormat/>
    <w:rsid w:val="00582F78"/>
    <w:pPr>
      <w:numPr>
        <w:ilvl w:val="4"/>
        <w:numId w:val="1"/>
      </w:numPr>
      <w:spacing w:before="240" w:after="60" w:line="240" w:lineRule="auto"/>
      <w:jc w:val="both"/>
      <w:outlineLvl w:val="4"/>
    </w:pPr>
    <w:rPr>
      <w:rFonts w:ascii="Calibri" w:eastAsia="Times New Roman" w:hAnsi="Calibri" w:cs="Calibri"/>
      <w:b/>
      <w:bCs/>
      <w:i/>
      <w:iCs/>
      <w:sz w:val="26"/>
      <w:szCs w:val="26"/>
      <w:lang w:eastAsia="cs-CZ"/>
    </w:rPr>
  </w:style>
  <w:style w:type="paragraph" w:styleId="Nadpis6">
    <w:name w:val="heading 6"/>
    <w:basedOn w:val="Normln"/>
    <w:next w:val="Normln"/>
    <w:link w:val="Nadpis6Char"/>
    <w:qFormat/>
    <w:rsid w:val="00582F78"/>
    <w:pPr>
      <w:keepNext/>
      <w:keepLines/>
      <w:numPr>
        <w:ilvl w:val="5"/>
        <w:numId w:val="1"/>
      </w:numPr>
      <w:spacing w:before="200" w:after="0" w:line="240" w:lineRule="auto"/>
      <w:jc w:val="both"/>
      <w:outlineLvl w:val="5"/>
    </w:pPr>
    <w:rPr>
      <w:rFonts w:ascii="Cambria" w:eastAsia="Times New Roman" w:hAnsi="Cambria" w:cs="Cambria"/>
      <w:i/>
      <w:iCs/>
      <w:color w:val="243F60"/>
      <w:lang w:eastAsia="cs-CZ"/>
    </w:rPr>
  </w:style>
  <w:style w:type="paragraph" w:styleId="Nadpis7">
    <w:name w:val="heading 7"/>
    <w:basedOn w:val="Normln"/>
    <w:next w:val="Normln"/>
    <w:link w:val="Nadpis7Char"/>
    <w:qFormat/>
    <w:rsid w:val="00582F78"/>
    <w:pPr>
      <w:numPr>
        <w:ilvl w:val="6"/>
        <w:numId w:val="1"/>
      </w:numPr>
      <w:spacing w:before="240" w:after="60" w:line="240" w:lineRule="auto"/>
      <w:jc w:val="both"/>
      <w:outlineLvl w:val="6"/>
    </w:pPr>
    <w:rPr>
      <w:rFonts w:ascii="Times New Roman" w:eastAsia="Times New Roman" w:hAnsi="Times New Roman" w:cs="Times New Roman"/>
      <w:sz w:val="24"/>
      <w:szCs w:val="24"/>
      <w:lang w:eastAsia="cs-CZ"/>
    </w:rPr>
  </w:style>
  <w:style w:type="paragraph" w:styleId="Nadpis8">
    <w:name w:val="heading 8"/>
    <w:basedOn w:val="Normln"/>
    <w:next w:val="Normln"/>
    <w:link w:val="Nadpis8Char"/>
    <w:qFormat/>
    <w:rsid w:val="00582F78"/>
    <w:pPr>
      <w:numPr>
        <w:ilvl w:val="7"/>
        <w:numId w:val="1"/>
      </w:numPr>
      <w:spacing w:before="240" w:after="60" w:line="240" w:lineRule="auto"/>
      <w:jc w:val="both"/>
      <w:outlineLvl w:val="7"/>
    </w:pPr>
    <w:rPr>
      <w:rFonts w:ascii="Times New Roman" w:eastAsia="Times New Roman" w:hAnsi="Times New Roman" w:cs="Times New Roman"/>
      <w:i/>
      <w:iCs/>
      <w:sz w:val="24"/>
      <w:szCs w:val="24"/>
      <w:lang w:eastAsia="cs-CZ"/>
    </w:rPr>
  </w:style>
  <w:style w:type="paragraph" w:styleId="Nadpis9">
    <w:name w:val="heading 9"/>
    <w:basedOn w:val="Normln"/>
    <w:next w:val="Normln"/>
    <w:link w:val="Nadpis9Char"/>
    <w:qFormat/>
    <w:rsid w:val="00582F78"/>
    <w:pPr>
      <w:numPr>
        <w:ilvl w:val="8"/>
        <w:numId w:val="1"/>
      </w:numPr>
      <w:spacing w:before="240" w:after="60" w:line="240" w:lineRule="auto"/>
      <w:jc w:val="both"/>
      <w:outlineLvl w:val="8"/>
    </w:pPr>
    <w:rPr>
      <w:rFonts w:eastAsia="Times New Roman"/>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582F78"/>
    <w:rPr>
      <w:rFonts w:ascii="Arial" w:hAnsi="Arial" w:cs="Arial"/>
      <w:b/>
      <w:bCs/>
      <w:kern w:val="32"/>
      <w:sz w:val="32"/>
      <w:szCs w:val="32"/>
    </w:rPr>
  </w:style>
  <w:style w:type="character" w:customStyle="1" w:styleId="Nadpis2Char">
    <w:name w:val="Nadpis 2 Char"/>
    <w:link w:val="Nadpis2"/>
    <w:uiPriority w:val="9"/>
    <w:rsid w:val="000B521F"/>
    <w:rPr>
      <w:b/>
      <w:bCs/>
      <w:color w:val="4F81BD"/>
      <w:sz w:val="26"/>
      <w:szCs w:val="26"/>
    </w:rPr>
  </w:style>
  <w:style w:type="character" w:customStyle="1" w:styleId="Nadpis3Char">
    <w:name w:val="Nadpis 3 Char"/>
    <w:link w:val="Nadpis3"/>
    <w:rsid w:val="00582F78"/>
    <w:rPr>
      <w:rFonts w:ascii="Arial" w:hAnsi="Arial" w:cs="Arial"/>
      <w:b/>
      <w:bCs/>
      <w:sz w:val="26"/>
      <w:szCs w:val="26"/>
    </w:rPr>
  </w:style>
  <w:style w:type="character" w:customStyle="1" w:styleId="Nadpis4Char">
    <w:name w:val="Nadpis 4 Char"/>
    <w:link w:val="Nadpis4"/>
    <w:rsid w:val="00582F78"/>
    <w:rPr>
      <w:rFonts w:ascii="Arial" w:hAnsi="Arial" w:cs="Arial"/>
      <w:b/>
      <w:bCs/>
      <w:i/>
      <w:iCs/>
      <w:sz w:val="22"/>
      <w:szCs w:val="22"/>
    </w:rPr>
  </w:style>
  <w:style w:type="character" w:customStyle="1" w:styleId="Nadpis5Char">
    <w:name w:val="Nadpis 5 Char"/>
    <w:link w:val="Nadpis5"/>
    <w:rsid w:val="00582F78"/>
    <w:rPr>
      <w:rFonts w:ascii="Calibri" w:hAnsi="Calibri" w:cs="Calibri"/>
      <w:b/>
      <w:bCs/>
      <w:i/>
      <w:iCs/>
      <w:sz w:val="26"/>
      <w:szCs w:val="26"/>
    </w:rPr>
  </w:style>
  <w:style w:type="character" w:customStyle="1" w:styleId="Nadpis6Char">
    <w:name w:val="Nadpis 6 Char"/>
    <w:link w:val="Nadpis6"/>
    <w:rsid w:val="00582F78"/>
    <w:rPr>
      <w:rFonts w:ascii="Cambria" w:hAnsi="Cambria" w:cs="Cambria"/>
      <w:i/>
      <w:iCs/>
      <w:color w:val="243F60"/>
      <w:sz w:val="22"/>
      <w:szCs w:val="22"/>
    </w:rPr>
  </w:style>
  <w:style w:type="character" w:customStyle="1" w:styleId="Nadpis7Char">
    <w:name w:val="Nadpis 7 Char"/>
    <w:link w:val="Nadpis7"/>
    <w:rsid w:val="00582F78"/>
    <w:rPr>
      <w:sz w:val="24"/>
      <w:szCs w:val="24"/>
    </w:rPr>
  </w:style>
  <w:style w:type="character" w:customStyle="1" w:styleId="Nadpis8Char">
    <w:name w:val="Nadpis 8 Char"/>
    <w:link w:val="Nadpis8"/>
    <w:rsid w:val="00582F78"/>
    <w:rPr>
      <w:i/>
      <w:iCs/>
      <w:sz w:val="24"/>
      <w:szCs w:val="24"/>
    </w:rPr>
  </w:style>
  <w:style w:type="character" w:customStyle="1" w:styleId="Nadpis9Char">
    <w:name w:val="Nadpis 9 Char"/>
    <w:link w:val="Nadpis9"/>
    <w:rsid w:val="00582F78"/>
    <w:rPr>
      <w:rFonts w:ascii="Arial" w:hAnsi="Arial" w:cs="Arial"/>
      <w:sz w:val="22"/>
      <w:szCs w:val="22"/>
    </w:rPr>
  </w:style>
  <w:style w:type="paragraph" w:styleId="Odstavecseseznamem">
    <w:name w:val="List Paragraph"/>
    <w:basedOn w:val="Normln"/>
    <w:link w:val="OdstavecseseznamemChar"/>
    <w:uiPriority w:val="34"/>
    <w:qFormat/>
    <w:rsid w:val="00582F78"/>
    <w:pPr>
      <w:ind w:left="720"/>
      <w:contextualSpacing/>
    </w:pPr>
  </w:style>
  <w:style w:type="character" w:customStyle="1" w:styleId="OdstavecseseznamemChar">
    <w:name w:val="Odstavec se seznamem Char"/>
    <w:link w:val="Odstavecseseznamem"/>
    <w:uiPriority w:val="34"/>
    <w:locked/>
    <w:rsid w:val="00D568C2"/>
    <w:rPr>
      <w:rFonts w:ascii="Arial" w:eastAsia="Calibri" w:hAnsi="Arial" w:cs="Arial"/>
      <w:sz w:val="22"/>
      <w:szCs w:val="22"/>
      <w:lang w:eastAsia="en-US"/>
    </w:rPr>
  </w:style>
  <w:style w:type="character" w:styleId="Znakapoznpodarou">
    <w:name w:val="footnote reference"/>
    <w:aliases w:val="BVI fnr,Footnote symbol,Footnote Reference Superscript,Appel note de bas de p,Appel note de bas de page,Légende,Char Car Car Car Car,Voetnootverwijzing,Légende;Char Car Car Car Car,PGI Fußnote Ziffer,Légende.Char Car Car Car Car"/>
    <w:uiPriority w:val="99"/>
    <w:rsid w:val="00582F78"/>
    <w:rPr>
      <w:rFonts w:ascii="Book Antiqua" w:hAnsi="Book Antiqua"/>
      <w:vertAlign w:val="superscript"/>
    </w:rPr>
  </w:style>
  <w:style w:type="paragraph" w:styleId="Textpoznpodarou">
    <w:name w:val="footnote text"/>
    <w:aliases w:val="Schriftart: 9 pt,Schriftart: 10 pt,Schriftart: 8 pt,Text poznámky pod čiarou 007,Footnote,Fußnotentextf,Geneva 9,Font: Geneva 9,Boston 10,f,pozn. pod čarou,Char,Text pozn. pod čarou1,Char Char Char1,Char Char1,Footnote Text Char1,o"/>
    <w:basedOn w:val="Normln"/>
    <w:link w:val="TextpoznpodarouChar"/>
    <w:uiPriority w:val="99"/>
    <w:qFormat/>
    <w:rsid w:val="00582F78"/>
    <w:pPr>
      <w:overflowPunct w:val="0"/>
      <w:autoSpaceDE w:val="0"/>
      <w:autoSpaceDN w:val="0"/>
      <w:adjustRightInd w:val="0"/>
      <w:spacing w:after="260" w:line="264" w:lineRule="auto"/>
      <w:textAlignment w:val="baseline"/>
    </w:pPr>
    <w:rPr>
      <w:rFonts w:ascii="Corbel" w:eastAsia="SimSun" w:hAnsi="Corbel" w:cs="Times New Roman"/>
      <w:sz w:val="14"/>
      <w:szCs w:val="20"/>
      <w:lang w:val="en-GB"/>
    </w:rPr>
  </w:style>
  <w:style w:type="character" w:customStyle="1" w:styleId="TextpoznpodarouChar">
    <w:name w:val="Text pozn. pod čarou Char"/>
    <w:aliases w:val="Schriftart: 9 pt Char,Schriftart: 10 pt Char,Schriftart: 8 pt Char,Text poznámky pod čiarou 007 Char,Footnote Char,Fußnotentextf Char,Geneva 9 Char,Font: Geneva 9 Char,Boston 10 Char,f Char,pozn. pod čarou Char,Char Char,o Char"/>
    <w:link w:val="Textpoznpodarou"/>
    <w:uiPriority w:val="99"/>
    <w:rsid w:val="00582F78"/>
    <w:rPr>
      <w:rFonts w:ascii="Corbel" w:eastAsia="SimSun" w:hAnsi="Corbel"/>
      <w:sz w:val="14"/>
      <w:lang w:val="en-GB" w:eastAsia="en-US"/>
    </w:rPr>
  </w:style>
  <w:style w:type="character" w:styleId="Odkaznakoment">
    <w:name w:val="annotation reference"/>
    <w:uiPriority w:val="99"/>
    <w:unhideWhenUsed/>
    <w:rsid w:val="00582F78"/>
    <w:rPr>
      <w:sz w:val="16"/>
      <w:szCs w:val="16"/>
    </w:rPr>
  </w:style>
  <w:style w:type="paragraph" w:styleId="Textkomente">
    <w:name w:val="annotation text"/>
    <w:basedOn w:val="Normln"/>
    <w:link w:val="TextkomenteChar"/>
    <w:uiPriority w:val="99"/>
    <w:unhideWhenUsed/>
    <w:rsid w:val="00582F78"/>
    <w:pPr>
      <w:spacing w:line="240" w:lineRule="auto"/>
    </w:pPr>
    <w:rPr>
      <w:sz w:val="20"/>
      <w:szCs w:val="20"/>
    </w:rPr>
  </w:style>
  <w:style w:type="character" w:customStyle="1" w:styleId="TextkomenteChar">
    <w:name w:val="Text komentáře Char"/>
    <w:link w:val="Textkomente"/>
    <w:uiPriority w:val="99"/>
    <w:rsid w:val="00582F78"/>
    <w:rPr>
      <w:rFonts w:ascii="Arial" w:eastAsia="Calibri" w:hAnsi="Arial" w:cs="Arial"/>
      <w:lang w:eastAsia="en-US"/>
    </w:rPr>
  </w:style>
  <w:style w:type="paragraph" w:styleId="Titulek">
    <w:name w:val="caption"/>
    <w:aliases w:val="Schema"/>
    <w:basedOn w:val="Normln"/>
    <w:next w:val="Normln"/>
    <w:link w:val="TitulekChar"/>
    <w:uiPriority w:val="99"/>
    <w:qFormat/>
    <w:rsid w:val="001C432C"/>
    <w:pPr>
      <w:spacing w:line="240" w:lineRule="auto"/>
      <w:jc w:val="both"/>
    </w:pPr>
    <w:rPr>
      <w:rFonts w:ascii="Times New Roman" w:eastAsia="Times New Roman" w:hAnsi="Times New Roman" w:cs="Times New Roman"/>
      <w:b/>
      <w:bCs/>
      <w:color w:val="4F81BD"/>
      <w:sz w:val="20"/>
      <w:szCs w:val="18"/>
      <w:lang w:eastAsia="cs-CZ"/>
    </w:rPr>
  </w:style>
  <w:style w:type="character" w:customStyle="1" w:styleId="TitulekChar">
    <w:name w:val="Titulek Char"/>
    <w:aliases w:val="Schema Char"/>
    <w:link w:val="Titulek"/>
    <w:uiPriority w:val="99"/>
    <w:rsid w:val="001C432C"/>
    <w:rPr>
      <w:b/>
      <w:bCs/>
      <w:color w:val="4F81BD"/>
      <w:szCs w:val="18"/>
    </w:rPr>
  </w:style>
  <w:style w:type="table" w:customStyle="1" w:styleId="Svtlseznamzvraznn11">
    <w:name w:val="Světlý seznam – zvýraznění 11"/>
    <w:basedOn w:val="Normlntabulka"/>
    <w:uiPriority w:val="61"/>
    <w:rsid w:val="00582F78"/>
    <w:rPr>
      <w:rFonts w:ascii="Arial" w:eastAsia="Calibri" w:hAnsi="Arial"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Textbubliny">
    <w:name w:val="Balloon Text"/>
    <w:basedOn w:val="Normln"/>
    <w:link w:val="TextbublinyChar"/>
    <w:uiPriority w:val="99"/>
    <w:semiHidden/>
    <w:unhideWhenUsed/>
    <w:rsid w:val="00582F78"/>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582F78"/>
    <w:rPr>
      <w:rFonts w:ascii="Tahoma" w:eastAsia="Calibri" w:hAnsi="Tahoma" w:cs="Tahoma"/>
      <w:sz w:val="16"/>
      <w:szCs w:val="16"/>
      <w:lang w:eastAsia="en-US"/>
    </w:rPr>
  </w:style>
  <w:style w:type="table" w:styleId="Mkatabulky">
    <w:name w:val="Table Grid"/>
    <w:basedOn w:val="Normlntabulka"/>
    <w:uiPriority w:val="59"/>
    <w:rsid w:val="00582F78"/>
    <w:rPr>
      <w:rFonts w:ascii="Arial" w:eastAsia="Calibri" w:hAnsi="Arial"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Obsah1">
    <w:name w:val="toc 1"/>
    <w:basedOn w:val="Normln"/>
    <w:next w:val="Normln"/>
    <w:autoRedefine/>
    <w:uiPriority w:val="39"/>
    <w:unhideWhenUsed/>
    <w:rsid w:val="008C796F"/>
    <w:pPr>
      <w:spacing w:before="120" w:after="120"/>
    </w:pPr>
    <w:rPr>
      <w:rFonts w:ascii="Calibri" w:hAnsi="Calibri"/>
      <w:b/>
      <w:bCs/>
      <w:caps/>
      <w:sz w:val="20"/>
      <w:szCs w:val="20"/>
    </w:rPr>
  </w:style>
  <w:style w:type="paragraph" w:styleId="Obsah2">
    <w:name w:val="toc 2"/>
    <w:basedOn w:val="Normln"/>
    <w:next w:val="Normln"/>
    <w:autoRedefine/>
    <w:uiPriority w:val="39"/>
    <w:unhideWhenUsed/>
    <w:rsid w:val="004E020C"/>
    <w:pPr>
      <w:spacing w:after="0"/>
      <w:ind w:left="220"/>
    </w:pPr>
    <w:rPr>
      <w:rFonts w:ascii="Calibri" w:hAnsi="Calibri"/>
      <w:smallCaps/>
      <w:sz w:val="20"/>
      <w:szCs w:val="20"/>
    </w:rPr>
  </w:style>
  <w:style w:type="paragraph" w:styleId="Obsah3">
    <w:name w:val="toc 3"/>
    <w:basedOn w:val="Normln"/>
    <w:next w:val="Normln"/>
    <w:autoRedefine/>
    <w:uiPriority w:val="39"/>
    <w:unhideWhenUsed/>
    <w:rsid w:val="00514A0E"/>
    <w:pPr>
      <w:spacing w:after="0"/>
      <w:ind w:left="440"/>
    </w:pPr>
    <w:rPr>
      <w:rFonts w:ascii="Calibri" w:hAnsi="Calibri"/>
      <w:i/>
      <w:iCs/>
      <w:sz w:val="20"/>
      <w:szCs w:val="20"/>
    </w:rPr>
  </w:style>
  <w:style w:type="character" w:styleId="Hypertextovodkaz">
    <w:name w:val="Hyperlink"/>
    <w:uiPriority w:val="99"/>
    <w:unhideWhenUsed/>
    <w:rsid w:val="004E020C"/>
    <w:rPr>
      <w:color w:val="0000FF"/>
      <w:u w:val="single"/>
    </w:rPr>
  </w:style>
  <w:style w:type="paragraph" w:styleId="Obsah4">
    <w:name w:val="toc 4"/>
    <w:basedOn w:val="Normln"/>
    <w:next w:val="Normln"/>
    <w:autoRedefine/>
    <w:uiPriority w:val="39"/>
    <w:unhideWhenUsed/>
    <w:rsid w:val="00256D14"/>
    <w:pPr>
      <w:spacing w:after="0"/>
      <w:ind w:left="660"/>
    </w:pPr>
    <w:rPr>
      <w:rFonts w:ascii="Calibri" w:hAnsi="Calibri"/>
      <w:sz w:val="18"/>
      <w:szCs w:val="18"/>
    </w:rPr>
  </w:style>
  <w:style w:type="paragraph" w:styleId="Pedmtkomente">
    <w:name w:val="annotation subject"/>
    <w:basedOn w:val="Textkomente"/>
    <w:next w:val="Textkomente"/>
    <w:link w:val="PedmtkomenteChar"/>
    <w:uiPriority w:val="99"/>
    <w:semiHidden/>
    <w:unhideWhenUsed/>
    <w:rsid w:val="00256D14"/>
    <w:rPr>
      <w:b/>
      <w:bCs/>
    </w:rPr>
  </w:style>
  <w:style w:type="character" w:customStyle="1" w:styleId="PedmtkomenteChar">
    <w:name w:val="Předmět komentáře Char"/>
    <w:link w:val="Pedmtkomente"/>
    <w:uiPriority w:val="99"/>
    <w:semiHidden/>
    <w:rsid w:val="00256D14"/>
    <w:rPr>
      <w:rFonts w:ascii="Arial" w:eastAsia="Calibri" w:hAnsi="Arial" w:cs="Arial"/>
      <w:b/>
      <w:bCs/>
      <w:lang w:eastAsia="en-US"/>
    </w:rPr>
  </w:style>
  <w:style w:type="paragraph" w:customStyle="1" w:styleId="Tabulka">
    <w:name w:val="Tabulka"/>
    <w:basedOn w:val="Titulek"/>
    <w:link w:val="TabulkaChar"/>
    <w:qFormat/>
    <w:rsid w:val="001C432C"/>
    <w:rPr>
      <w:szCs w:val="24"/>
    </w:rPr>
  </w:style>
  <w:style w:type="character" w:customStyle="1" w:styleId="TabulkaChar">
    <w:name w:val="Tabulka Char"/>
    <w:link w:val="Tabulka"/>
    <w:rsid w:val="001C432C"/>
    <w:rPr>
      <w:b/>
      <w:bCs/>
      <w:color w:val="4F81BD"/>
      <w:szCs w:val="18"/>
    </w:rPr>
  </w:style>
  <w:style w:type="paragraph" w:styleId="Seznamobrzk">
    <w:name w:val="table of figures"/>
    <w:basedOn w:val="Normln"/>
    <w:next w:val="Normln"/>
    <w:uiPriority w:val="99"/>
    <w:unhideWhenUsed/>
    <w:rsid w:val="007D49DC"/>
    <w:pPr>
      <w:spacing w:after="0"/>
      <w:ind w:left="440" w:hanging="440"/>
    </w:pPr>
    <w:rPr>
      <w:rFonts w:ascii="Calibri" w:hAnsi="Calibri"/>
      <w:smallCaps/>
      <w:sz w:val="20"/>
      <w:szCs w:val="20"/>
    </w:rPr>
  </w:style>
  <w:style w:type="paragraph" w:styleId="Podtitul">
    <w:name w:val="Subtitle"/>
    <w:basedOn w:val="Normln"/>
    <w:next w:val="Normln"/>
    <w:link w:val="PodtitulChar"/>
    <w:uiPriority w:val="99"/>
    <w:qFormat/>
    <w:rsid w:val="007D49DC"/>
    <w:pPr>
      <w:numPr>
        <w:ilvl w:val="1"/>
      </w:numPr>
    </w:pPr>
    <w:rPr>
      <w:rFonts w:ascii="Cambria" w:eastAsia="Times New Roman" w:hAnsi="Cambria" w:cs="Times New Roman"/>
      <w:i/>
      <w:iCs/>
      <w:color w:val="4F81BD"/>
      <w:spacing w:val="15"/>
      <w:sz w:val="24"/>
      <w:szCs w:val="24"/>
    </w:rPr>
  </w:style>
  <w:style w:type="character" w:customStyle="1" w:styleId="PodtitulChar">
    <w:name w:val="Podtitul Char"/>
    <w:link w:val="Podtitul"/>
    <w:uiPriority w:val="99"/>
    <w:rsid w:val="007D49DC"/>
    <w:rPr>
      <w:rFonts w:ascii="Cambria" w:eastAsia="Times New Roman" w:hAnsi="Cambria" w:cs="Times New Roman"/>
      <w:i/>
      <w:iCs/>
      <w:color w:val="4F81BD"/>
      <w:spacing w:val="15"/>
      <w:sz w:val="24"/>
      <w:szCs w:val="24"/>
      <w:lang w:eastAsia="en-US"/>
    </w:rPr>
  </w:style>
  <w:style w:type="paragraph" w:styleId="Zhlav">
    <w:name w:val="header"/>
    <w:basedOn w:val="Normln"/>
    <w:link w:val="ZhlavChar"/>
    <w:uiPriority w:val="99"/>
    <w:unhideWhenUsed/>
    <w:rsid w:val="00A474C7"/>
    <w:pPr>
      <w:tabs>
        <w:tab w:val="center" w:pos="4536"/>
        <w:tab w:val="right" w:pos="9072"/>
      </w:tabs>
      <w:spacing w:after="0" w:line="240" w:lineRule="auto"/>
    </w:pPr>
  </w:style>
  <w:style w:type="character" w:customStyle="1" w:styleId="ZhlavChar">
    <w:name w:val="Záhlaví Char"/>
    <w:link w:val="Zhlav"/>
    <w:uiPriority w:val="99"/>
    <w:rsid w:val="00A474C7"/>
    <w:rPr>
      <w:rFonts w:ascii="Arial" w:eastAsia="Calibri" w:hAnsi="Arial" w:cs="Arial"/>
      <w:sz w:val="22"/>
      <w:szCs w:val="22"/>
      <w:lang w:eastAsia="en-US"/>
    </w:rPr>
  </w:style>
  <w:style w:type="paragraph" w:styleId="Zpat">
    <w:name w:val="footer"/>
    <w:basedOn w:val="Normln"/>
    <w:link w:val="ZpatChar"/>
    <w:uiPriority w:val="99"/>
    <w:unhideWhenUsed/>
    <w:rsid w:val="00A474C7"/>
    <w:pPr>
      <w:tabs>
        <w:tab w:val="center" w:pos="4536"/>
        <w:tab w:val="right" w:pos="9072"/>
      </w:tabs>
      <w:spacing w:after="0" w:line="240" w:lineRule="auto"/>
    </w:pPr>
  </w:style>
  <w:style w:type="character" w:customStyle="1" w:styleId="ZpatChar">
    <w:name w:val="Zápatí Char"/>
    <w:link w:val="Zpat"/>
    <w:uiPriority w:val="99"/>
    <w:rsid w:val="00A474C7"/>
    <w:rPr>
      <w:rFonts w:ascii="Arial" w:eastAsia="Calibri" w:hAnsi="Arial" w:cs="Arial"/>
      <w:sz w:val="22"/>
      <w:szCs w:val="22"/>
      <w:lang w:eastAsia="en-US"/>
    </w:rPr>
  </w:style>
  <w:style w:type="paragraph" w:customStyle="1" w:styleId="Default">
    <w:name w:val="Default"/>
    <w:rsid w:val="00481E82"/>
    <w:pPr>
      <w:suppressAutoHyphens/>
      <w:autoSpaceDE w:val="0"/>
    </w:pPr>
    <w:rPr>
      <w:rFonts w:ascii="Calibri" w:hAnsi="Calibri" w:cs="Calibri"/>
      <w:color w:val="000000"/>
      <w:sz w:val="24"/>
      <w:szCs w:val="24"/>
      <w:lang w:eastAsia="ar-SA"/>
    </w:rPr>
  </w:style>
  <w:style w:type="paragraph" w:customStyle="1" w:styleId="DAVA">
    <w:name w:val="DAVA"/>
    <w:basedOn w:val="Normln"/>
    <w:link w:val="DAVAChar"/>
    <w:qFormat/>
    <w:rsid w:val="00481E82"/>
    <w:pPr>
      <w:spacing w:before="120" w:after="0" w:line="240" w:lineRule="auto"/>
      <w:jc w:val="both"/>
    </w:pPr>
    <w:rPr>
      <w:rFonts w:ascii="Calibri" w:hAnsi="Calibri" w:cs="Times New Roman"/>
      <w:sz w:val="24"/>
      <w:szCs w:val="28"/>
    </w:rPr>
  </w:style>
  <w:style w:type="character" w:customStyle="1" w:styleId="DAVAChar">
    <w:name w:val="DAVA Char"/>
    <w:link w:val="DAVA"/>
    <w:rsid w:val="00481E82"/>
    <w:rPr>
      <w:rFonts w:ascii="Calibri" w:eastAsia="Calibri" w:hAnsi="Calibri" w:cs="Times New Roman"/>
      <w:sz w:val="24"/>
      <w:szCs w:val="28"/>
      <w:lang w:eastAsia="en-US"/>
    </w:rPr>
  </w:style>
  <w:style w:type="paragraph" w:customStyle="1" w:styleId="Styl2">
    <w:name w:val="Styl2"/>
    <w:basedOn w:val="Normln"/>
    <w:qFormat/>
    <w:rsid w:val="00481E82"/>
    <w:pPr>
      <w:spacing w:before="60" w:after="60" w:line="288" w:lineRule="auto"/>
      <w:jc w:val="both"/>
    </w:pPr>
    <w:rPr>
      <w:rFonts w:eastAsia="Arial Unicode MS" w:cs="Times New Roman"/>
      <w:sz w:val="20"/>
      <w:lang w:eastAsia="cs-CZ"/>
    </w:rPr>
  </w:style>
  <w:style w:type="character" w:customStyle="1" w:styleId="cizojazycne">
    <w:name w:val="cizojazycne"/>
    <w:basedOn w:val="Standardnpsmoodstavce"/>
    <w:uiPriority w:val="99"/>
    <w:rsid w:val="00481E82"/>
  </w:style>
  <w:style w:type="character" w:styleId="Zdraznnintenzivn">
    <w:name w:val="Intense Emphasis"/>
    <w:uiPriority w:val="99"/>
    <w:qFormat/>
    <w:rsid w:val="00481E82"/>
    <w:rPr>
      <w:rFonts w:ascii="Cambria" w:hAnsi="Cambria" w:cs="Cambria"/>
      <w:b/>
      <w:bCs/>
      <w:i/>
      <w:iCs/>
      <w:color w:val="4F81BD"/>
      <w:sz w:val="26"/>
      <w:szCs w:val="26"/>
    </w:rPr>
  </w:style>
  <w:style w:type="table" w:customStyle="1" w:styleId="Svtlmkazvraznn11">
    <w:name w:val="Světlá mřížka – zvýraznění 11"/>
    <w:basedOn w:val="Normlntabulka"/>
    <w:uiPriority w:val="62"/>
    <w:rsid w:val="008D6BA6"/>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xt">
    <w:name w:val="text"/>
    <w:basedOn w:val="Normln"/>
    <w:qFormat/>
    <w:rsid w:val="00D568C2"/>
    <w:pPr>
      <w:spacing w:before="120" w:after="0" w:line="240" w:lineRule="auto"/>
      <w:jc w:val="both"/>
    </w:pPr>
    <w:rPr>
      <w:rFonts w:ascii="Times New Roman" w:eastAsia="Times New Roman" w:hAnsi="Times New Roman" w:cs="Times New Roman"/>
      <w:sz w:val="24"/>
      <w:szCs w:val="24"/>
      <w:lang w:eastAsia="cs-CZ"/>
    </w:rPr>
  </w:style>
  <w:style w:type="paragraph" w:customStyle="1" w:styleId="Norm-Bold">
    <w:name w:val="Norm-Bold"/>
    <w:basedOn w:val="Normln"/>
    <w:next w:val="Normln"/>
    <w:uiPriority w:val="99"/>
    <w:rsid w:val="00DC73CC"/>
    <w:pPr>
      <w:keepNext/>
      <w:keepLines/>
      <w:widowControl w:val="0"/>
      <w:adjustRightInd w:val="0"/>
      <w:spacing w:before="240" w:after="0" w:line="240" w:lineRule="atLeast"/>
      <w:jc w:val="both"/>
      <w:textAlignment w:val="baseline"/>
    </w:pPr>
    <w:rPr>
      <w:rFonts w:ascii="Times New Roman" w:eastAsia="Times New Roman" w:hAnsi="Times New Roman" w:cs="Times New Roman"/>
      <w:b/>
      <w:sz w:val="24"/>
      <w:szCs w:val="24"/>
      <w:lang w:eastAsia="cs-CZ"/>
    </w:rPr>
  </w:style>
  <w:style w:type="character" w:customStyle="1" w:styleId="Znakypropoznmkupodarou">
    <w:name w:val="Znaky pro poznámku pod čarou"/>
    <w:uiPriority w:val="99"/>
    <w:rsid w:val="00DC73CC"/>
    <w:rPr>
      <w:i/>
      <w:iCs/>
      <w:vertAlign w:val="superscript"/>
    </w:rPr>
  </w:style>
  <w:style w:type="paragraph" w:styleId="Normlnweb">
    <w:name w:val="Normal (Web)"/>
    <w:basedOn w:val="Normln"/>
    <w:uiPriority w:val="99"/>
    <w:unhideWhenUsed/>
    <w:rsid w:val="005177EF"/>
    <w:pPr>
      <w:spacing w:before="100" w:beforeAutospacing="1" w:after="100" w:afterAutospacing="1" w:line="240" w:lineRule="auto"/>
    </w:pPr>
    <w:rPr>
      <w:rFonts w:ascii="Times New Roman" w:hAnsi="Times New Roman" w:cs="Times New Roman"/>
      <w:sz w:val="24"/>
      <w:szCs w:val="24"/>
      <w:lang w:eastAsia="cs-CZ"/>
    </w:rPr>
  </w:style>
  <w:style w:type="character" w:styleId="Siln">
    <w:name w:val="Strong"/>
    <w:uiPriority w:val="22"/>
    <w:qFormat/>
    <w:rsid w:val="005177EF"/>
    <w:rPr>
      <w:b/>
      <w:bCs/>
    </w:rPr>
  </w:style>
  <w:style w:type="paragraph" w:styleId="Revize">
    <w:name w:val="Revision"/>
    <w:hidden/>
    <w:uiPriority w:val="99"/>
    <w:semiHidden/>
    <w:rsid w:val="0093232F"/>
    <w:rPr>
      <w:rFonts w:ascii="Arial" w:eastAsia="Calibri" w:hAnsi="Arial" w:cs="Arial"/>
      <w:sz w:val="22"/>
      <w:szCs w:val="22"/>
      <w:lang w:eastAsia="en-US"/>
    </w:rPr>
  </w:style>
  <w:style w:type="table" w:customStyle="1" w:styleId="Stednstnovn1zvraznn11">
    <w:name w:val="Střední stínování 1 – zvýraznění 11"/>
    <w:basedOn w:val="Normlntabulka"/>
    <w:uiPriority w:val="63"/>
    <w:rsid w:val="00BA6B4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Zvraznn">
    <w:name w:val="Emphasis"/>
    <w:uiPriority w:val="20"/>
    <w:qFormat/>
    <w:rsid w:val="0018040B"/>
    <w:rPr>
      <w:b/>
      <w:bCs/>
      <w:i w:val="0"/>
      <w:iCs w:val="0"/>
    </w:rPr>
  </w:style>
  <w:style w:type="character" w:customStyle="1" w:styleId="st1">
    <w:name w:val="st1"/>
    <w:basedOn w:val="Standardnpsmoodstavce"/>
    <w:rsid w:val="0018040B"/>
  </w:style>
  <w:style w:type="paragraph" w:customStyle="1" w:styleId="Odstavecseseznamem2">
    <w:name w:val="Odstavec se seznamem2"/>
    <w:basedOn w:val="Normln"/>
    <w:uiPriority w:val="99"/>
    <w:rsid w:val="00FC2F81"/>
    <w:pPr>
      <w:spacing w:after="120" w:line="240" w:lineRule="auto"/>
      <w:ind w:left="708"/>
      <w:jc w:val="both"/>
    </w:pPr>
    <w:rPr>
      <w:rFonts w:ascii="Times New Roman" w:eastAsia="Times New Roman" w:hAnsi="Times New Roman" w:cs="Times New Roman"/>
      <w:sz w:val="24"/>
      <w:szCs w:val="24"/>
      <w:lang w:eastAsia="cs-CZ"/>
    </w:rPr>
  </w:style>
  <w:style w:type="paragraph" w:customStyle="1" w:styleId="Odstavecseseznamem1">
    <w:name w:val="Odstavec se seznamem1"/>
    <w:basedOn w:val="Normln"/>
    <w:link w:val="ListParagraphChar1"/>
    <w:rsid w:val="00FC2F81"/>
    <w:pPr>
      <w:spacing w:after="120" w:line="240" w:lineRule="auto"/>
      <w:ind w:left="720"/>
      <w:jc w:val="both"/>
    </w:pPr>
    <w:rPr>
      <w:rFonts w:ascii="Times New Roman" w:eastAsia="Times New Roman" w:hAnsi="Times New Roman" w:cs="Times New Roman"/>
      <w:sz w:val="24"/>
      <w:szCs w:val="24"/>
      <w:lang w:eastAsia="cs-CZ"/>
    </w:rPr>
  </w:style>
  <w:style w:type="character" w:customStyle="1" w:styleId="ListParagraphChar1">
    <w:name w:val="List Paragraph Char1"/>
    <w:link w:val="Odstavecseseznamem1"/>
    <w:rsid w:val="00CA3248"/>
    <w:rPr>
      <w:sz w:val="24"/>
      <w:szCs w:val="24"/>
    </w:rPr>
  </w:style>
  <w:style w:type="paragraph" w:customStyle="1" w:styleId="NorReport">
    <w:name w:val="Nor_Report"/>
    <w:basedOn w:val="Normln"/>
    <w:link w:val="NorReportChar"/>
    <w:qFormat/>
    <w:rsid w:val="002F0067"/>
    <w:pPr>
      <w:spacing w:before="60" w:after="60" w:line="240" w:lineRule="auto"/>
      <w:jc w:val="both"/>
    </w:pPr>
    <w:rPr>
      <w:rFonts w:eastAsia="Times New Roman" w:cs="Times New Roman"/>
      <w:sz w:val="20"/>
      <w:szCs w:val="20"/>
    </w:rPr>
  </w:style>
  <w:style w:type="character" w:customStyle="1" w:styleId="NorReportChar">
    <w:name w:val="Nor_Report Char"/>
    <w:link w:val="NorReport"/>
    <w:rsid w:val="002F0067"/>
    <w:rPr>
      <w:rFonts w:ascii="Arial" w:hAnsi="Arial"/>
    </w:rPr>
  </w:style>
  <w:style w:type="paragraph" w:styleId="Obsah5">
    <w:name w:val="toc 5"/>
    <w:basedOn w:val="Normln"/>
    <w:next w:val="Normln"/>
    <w:autoRedefine/>
    <w:uiPriority w:val="39"/>
    <w:unhideWhenUsed/>
    <w:rsid w:val="008C796F"/>
    <w:pPr>
      <w:spacing w:after="0"/>
      <w:ind w:left="880"/>
    </w:pPr>
    <w:rPr>
      <w:rFonts w:ascii="Calibri" w:hAnsi="Calibri"/>
      <w:sz w:val="18"/>
      <w:szCs w:val="18"/>
    </w:rPr>
  </w:style>
  <w:style w:type="paragraph" w:styleId="Obsah6">
    <w:name w:val="toc 6"/>
    <w:basedOn w:val="Normln"/>
    <w:next w:val="Normln"/>
    <w:autoRedefine/>
    <w:uiPriority w:val="39"/>
    <w:unhideWhenUsed/>
    <w:rsid w:val="008C796F"/>
    <w:pPr>
      <w:spacing w:after="0"/>
      <w:ind w:left="1100"/>
    </w:pPr>
    <w:rPr>
      <w:rFonts w:ascii="Calibri" w:hAnsi="Calibri"/>
      <w:sz w:val="18"/>
      <w:szCs w:val="18"/>
    </w:rPr>
  </w:style>
  <w:style w:type="paragraph" w:styleId="Obsah7">
    <w:name w:val="toc 7"/>
    <w:basedOn w:val="Normln"/>
    <w:next w:val="Normln"/>
    <w:autoRedefine/>
    <w:uiPriority w:val="39"/>
    <w:unhideWhenUsed/>
    <w:rsid w:val="008C796F"/>
    <w:pPr>
      <w:spacing w:after="0"/>
      <w:ind w:left="1320"/>
    </w:pPr>
    <w:rPr>
      <w:rFonts w:ascii="Calibri" w:hAnsi="Calibri"/>
      <w:sz w:val="18"/>
      <w:szCs w:val="18"/>
    </w:rPr>
  </w:style>
  <w:style w:type="paragraph" w:styleId="Obsah8">
    <w:name w:val="toc 8"/>
    <w:basedOn w:val="Normln"/>
    <w:next w:val="Normln"/>
    <w:autoRedefine/>
    <w:uiPriority w:val="39"/>
    <w:unhideWhenUsed/>
    <w:rsid w:val="008C796F"/>
    <w:pPr>
      <w:spacing w:after="0"/>
      <w:ind w:left="1540"/>
    </w:pPr>
    <w:rPr>
      <w:rFonts w:ascii="Calibri" w:hAnsi="Calibri"/>
      <w:sz w:val="18"/>
      <w:szCs w:val="18"/>
    </w:rPr>
  </w:style>
  <w:style w:type="paragraph" w:styleId="Obsah9">
    <w:name w:val="toc 9"/>
    <w:basedOn w:val="Normln"/>
    <w:next w:val="Normln"/>
    <w:autoRedefine/>
    <w:uiPriority w:val="39"/>
    <w:unhideWhenUsed/>
    <w:rsid w:val="008C796F"/>
    <w:pPr>
      <w:spacing w:after="0"/>
      <w:ind w:left="1760"/>
    </w:pPr>
    <w:rPr>
      <w:rFonts w:ascii="Calibri" w:hAnsi="Calibri"/>
      <w:sz w:val="18"/>
      <w:szCs w:val="18"/>
    </w:rPr>
  </w:style>
  <w:style w:type="paragraph" w:styleId="Bezmezer">
    <w:name w:val="No Spacing"/>
    <w:uiPriority w:val="1"/>
    <w:qFormat/>
    <w:rsid w:val="008C796F"/>
    <w:rPr>
      <w:rFonts w:ascii="Arial" w:eastAsia="Calibri" w:hAnsi="Arial" w:cs="Arial"/>
      <w:sz w:val="22"/>
      <w:szCs w:val="22"/>
      <w:lang w:eastAsia="en-US"/>
    </w:rPr>
  </w:style>
  <w:style w:type="paragraph" w:customStyle="1" w:styleId="KRUTEXTODSTAVCE">
    <w:name w:val="_KRU_TEXT_ODSTAVCE"/>
    <w:basedOn w:val="Normln"/>
    <w:uiPriority w:val="99"/>
    <w:rsid w:val="00FA1367"/>
    <w:pPr>
      <w:spacing w:after="0" w:line="288" w:lineRule="auto"/>
    </w:pPr>
    <w:rPr>
      <w:rFonts w:eastAsia="Times New Roman"/>
      <w:szCs w:val="24"/>
      <w:lang w:eastAsia="cs-CZ"/>
    </w:rPr>
  </w:style>
  <w:style w:type="paragraph" w:styleId="Prosttext">
    <w:name w:val="Plain Text"/>
    <w:basedOn w:val="Normln"/>
    <w:link w:val="ProsttextChar"/>
    <w:uiPriority w:val="99"/>
    <w:unhideWhenUsed/>
    <w:rsid w:val="00914EA7"/>
    <w:pPr>
      <w:spacing w:after="0" w:line="240" w:lineRule="auto"/>
    </w:pPr>
    <w:rPr>
      <w:rFonts w:ascii="Consolas" w:hAnsi="Consolas" w:cs="Times New Roman"/>
      <w:sz w:val="21"/>
      <w:szCs w:val="21"/>
    </w:rPr>
  </w:style>
  <w:style w:type="character" w:customStyle="1" w:styleId="ProsttextChar">
    <w:name w:val="Prostý text Char"/>
    <w:link w:val="Prosttext"/>
    <w:uiPriority w:val="99"/>
    <w:rsid w:val="00914EA7"/>
    <w:rPr>
      <w:rFonts w:ascii="Consolas" w:eastAsia="Calibri" w:hAnsi="Consolas" w:cs="Times New Roman"/>
      <w:sz w:val="21"/>
      <w:szCs w:val="21"/>
      <w:lang w:eastAsia="en-US"/>
    </w:rPr>
  </w:style>
  <w:style w:type="character" w:customStyle="1" w:styleId="ListParagraphChar">
    <w:name w:val="List Paragraph Char"/>
    <w:link w:val="Odstavecseseznamem3"/>
    <w:rsid w:val="00A15CE2"/>
    <w:rPr>
      <w:rFonts w:ascii="Calibri" w:hAnsi="Calibri"/>
      <w:sz w:val="22"/>
      <w:szCs w:val="22"/>
      <w:lang w:eastAsia="en-US" w:bidi="ar-SA"/>
    </w:rPr>
  </w:style>
  <w:style w:type="paragraph" w:customStyle="1" w:styleId="Odstavecseseznamem3">
    <w:name w:val="Odstavec se seznamem3"/>
    <w:basedOn w:val="Normln"/>
    <w:link w:val="ListParagraphChar"/>
    <w:rsid w:val="008247DB"/>
    <w:pPr>
      <w:ind w:left="720"/>
      <w:contextualSpacing/>
    </w:pPr>
    <w:rPr>
      <w:rFonts w:ascii="Calibri" w:eastAsia="Times New Roman" w:hAnsi="Calibri" w:cs="Times New Roman"/>
    </w:rPr>
  </w:style>
  <w:style w:type="character" w:customStyle="1" w:styleId="Footnote">
    <w:name w:val="Footnote_"/>
    <w:rsid w:val="003A29E6"/>
    <w:rPr>
      <w:rFonts w:ascii="Times New Roman" w:eastAsia="Times New Roman" w:hAnsi="Times New Roman" w:cs="Times New Roman"/>
      <w:sz w:val="18"/>
      <w:szCs w:val="18"/>
      <w:shd w:val="clear" w:color="auto" w:fill="FFFFFF"/>
    </w:rPr>
  </w:style>
  <w:style w:type="paragraph" w:customStyle="1" w:styleId="Textdopisu">
    <w:name w:val="Text dopisu"/>
    <w:basedOn w:val="Normln"/>
    <w:uiPriority w:val="99"/>
    <w:rsid w:val="00D444FD"/>
    <w:pPr>
      <w:overflowPunct w:val="0"/>
      <w:autoSpaceDE w:val="0"/>
      <w:autoSpaceDN w:val="0"/>
      <w:adjustRightInd w:val="0"/>
      <w:spacing w:after="0" w:line="240" w:lineRule="auto"/>
      <w:ind w:firstLine="544"/>
      <w:jc w:val="both"/>
    </w:pPr>
    <w:rPr>
      <w:rFonts w:ascii="Times New Roman" w:eastAsia="Times New Roman" w:hAnsi="Times New Roman" w:cs="Times New Roman"/>
      <w:sz w:val="24"/>
      <w:szCs w:val="20"/>
      <w:lang w:eastAsia="cs-CZ"/>
    </w:rPr>
  </w:style>
  <w:style w:type="paragraph" w:customStyle="1" w:styleId="ListDash1">
    <w:name w:val="List Dash 1"/>
    <w:basedOn w:val="Normln"/>
    <w:uiPriority w:val="99"/>
    <w:rsid w:val="00D444FD"/>
    <w:pPr>
      <w:tabs>
        <w:tab w:val="num" w:pos="2575"/>
      </w:tabs>
      <w:spacing w:before="120" w:after="120" w:line="240" w:lineRule="auto"/>
      <w:ind w:left="2575" w:hanging="283"/>
      <w:jc w:val="both"/>
    </w:pPr>
    <w:rPr>
      <w:rFonts w:ascii="Times New Roman" w:eastAsia="Times New Roman" w:hAnsi="Times New Roman" w:cs="Times New Roman"/>
      <w:sz w:val="24"/>
      <w:szCs w:val="24"/>
      <w:lang w:eastAsia="de-DE"/>
    </w:rPr>
  </w:style>
  <w:style w:type="character" w:customStyle="1" w:styleId="FontStyle202">
    <w:name w:val="Font Style202"/>
    <w:uiPriority w:val="99"/>
    <w:rsid w:val="00FC1A94"/>
    <w:rPr>
      <w:rFonts w:ascii="Times New Roman" w:hAnsi="Times New Roman" w:cs="Times New Roman"/>
      <w:color w:val="000000"/>
      <w:sz w:val="18"/>
      <w:szCs w:val="18"/>
    </w:rPr>
  </w:style>
  <w:style w:type="paragraph" w:customStyle="1" w:styleId="Style53">
    <w:name w:val="Style53"/>
    <w:basedOn w:val="Normln"/>
    <w:uiPriority w:val="99"/>
    <w:rsid w:val="00FC1A94"/>
    <w:pPr>
      <w:widowControl w:val="0"/>
      <w:autoSpaceDE w:val="0"/>
      <w:autoSpaceDN w:val="0"/>
      <w:adjustRightInd w:val="0"/>
      <w:spacing w:after="0" w:line="229" w:lineRule="exact"/>
    </w:pPr>
    <w:rPr>
      <w:rFonts w:eastAsia="Times New Roman" w:cs="Times New Roman"/>
      <w:sz w:val="24"/>
      <w:szCs w:val="24"/>
      <w:lang w:eastAsia="cs-CZ"/>
    </w:rPr>
  </w:style>
  <w:style w:type="paragraph" w:customStyle="1" w:styleId="Style153">
    <w:name w:val="Style153"/>
    <w:basedOn w:val="Normln"/>
    <w:uiPriority w:val="99"/>
    <w:rsid w:val="0085582C"/>
    <w:pPr>
      <w:widowControl w:val="0"/>
      <w:autoSpaceDE w:val="0"/>
      <w:autoSpaceDN w:val="0"/>
      <w:adjustRightInd w:val="0"/>
      <w:spacing w:after="0" w:line="240" w:lineRule="auto"/>
    </w:pPr>
    <w:rPr>
      <w:rFonts w:eastAsia="Times New Roman" w:cs="Times New Roman"/>
      <w:sz w:val="24"/>
      <w:szCs w:val="24"/>
      <w:lang w:eastAsia="cs-CZ"/>
    </w:rPr>
  </w:style>
  <w:style w:type="character" w:customStyle="1" w:styleId="FontStyle217">
    <w:name w:val="Font Style217"/>
    <w:uiPriority w:val="99"/>
    <w:rsid w:val="0085582C"/>
    <w:rPr>
      <w:rFonts w:ascii="Franklin Gothic Medium" w:hAnsi="Franklin Gothic Medium" w:cs="Franklin Gothic Medium"/>
      <w:color w:val="000000"/>
      <w:sz w:val="26"/>
      <w:szCs w:val="26"/>
    </w:rPr>
  </w:style>
  <w:style w:type="paragraph" w:customStyle="1" w:styleId="Style59">
    <w:name w:val="Style59"/>
    <w:basedOn w:val="Normln"/>
    <w:uiPriority w:val="99"/>
    <w:rsid w:val="00CC7558"/>
    <w:pPr>
      <w:widowControl w:val="0"/>
      <w:autoSpaceDE w:val="0"/>
      <w:autoSpaceDN w:val="0"/>
      <w:adjustRightInd w:val="0"/>
      <w:spacing w:after="0" w:line="230" w:lineRule="exact"/>
      <w:jc w:val="both"/>
    </w:pPr>
    <w:rPr>
      <w:rFonts w:eastAsia="Times New Roman" w:cs="Times New Roman"/>
      <w:sz w:val="24"/>
      <w:szCs w:val="24"/>
      <w:lang w:eastAsia="cs-CZ"/>
    </w:rPr>
  </w:style>
  <w:style w:type="paragraph" w:customStyle="1" w:styleId="Standardntext">
    <w:name w:val="Standardní text"/>
    <w:basedOn w:val="Normln"/>
    <w:link w:val="StandardntextChar"/>
    <w:qFormat/>
    <w:rsid w:val="0077609A"/>
    <w:pPr>
      <w:overflowPunct w:val="0"/>
      <w:autoSpaceDE w:val="0"/>
      <w:autoSpaceDN w:val="0"/>
      <w:adjustRightInd w:val="0"/>
      <w:spacing w:after="240" w:line="240" w:lineRule="auto"/>
      <w:jc w:val="both"/>
      <w:textAlignment w:val="baseline"/>
    </w:pPr>
    <w:rPr>
      <w:rFonts w:ascii="Calibri" w:eastAsia="Times New Roman" w:hAnsi="Calibri" w:cs="Calibri"/>
      <w:sz w:val="24"/>
      <w:szCs w:val="24"/>
      <w:lang w:eastAsia="cs-CZ"/>
    </w:rPr>
  </w:style>
  <w:style w:type="character" w:customStyle="1" w:styleId="StandardntextChar">
    <w:name w:val="Standardní text Char"/>
    <w:link w:val="Standardntext"/>
    <w:rsid w:val="0077609A"/>
    <w:rPr>
      <w:rFonts w:ascii="Calibri" w:hAnsi="Calibri" w:cs="Calibri"/>
      <w:sz w:val="24"/>
      <w:szCs w:val="24"/>
    </w:rPr>
  </w:style>
  <w:style w:type="paragraph" w:styleId="Pokraovnseznamu">
    <w:name w:val="List Continue"/>
    <w:basedOn w:val="Normln"/>
    <w:uiPriority w:val="99"/>
    <w:rsid w:val="00CD547D"/>
    <w:pPr>
      <w:spacing w:after="120" w:line="240" w:lineRule="auto"/>
      <w:ind w:left="283"/>
    </w:pPr>
    <w:rPr>
      <w:rFonts w:ascii="Calibri" w:eastAsia="Times New Roman" w:hAnsi="Calibri" w:cs="Times New Roman"/>
      <w:sz w:val="24"/>
      <w:szCs w:val="24"/>
    </w:rPr>
  </w:style>
  <w:style w:type="character" w:customStyle="1" w:styleId="longtext">
    <w:name w:val="long_text"/>
    <w:uiPriority w:val="99"/>
    <w:rsid w:val="00FF5338"/>
  </w:style>
  <w:style w:type="paragraph" w:styleId="Zkladntextodsazen2">
    <w:name w:val="Body Text Indent 2"/>
    <w:basedOn w:val="Normln"/>
    <w:link w:val="Zkladntextodsazen2Char"/>
    <w:rsid w:val="0046690A"/>
    <w:pPr>
      <w:spacing w:after="120" w:line="480" w:lineRule="auto"/>
      <w:ind w:left="283"/>
      <w:jc w:val="both"/>
    </w:pPr>
    <w:rPr>
      <w:rFonts w:ascii="Times New Roman" w:eastAsia="Times New Roman" w:hAnsi="Times New Roman" w:cs="Times New Roman"/>
      <w:sz w:val="24"/>
      <w:szCs w:val="20"/>
      <w:lang w:val="en-GB"/>
    </w:rPr>
  </w:style>
  <w:style w:type="character" w:customStyle="1" w:styleId="Zkladntextodsazen2Char">
    <w:name w:val="Základní text odsazený 2 Char"/>
    <w:link w:val="Zkladntextodsazen2"/>
    <w:rsid w:val="0046690A"/>
    <w:rPr>
      <w:sz w:val="24"/>
      <w:lang w:val="en-GB" w:eastAsia="en-US"/>
    </w:rPr>
  </w:style>
  <w:style w:type="character" w:customStyle="1" w:styleId="TextpoznpodarouChar1">
    <w:name w:val="Text pozn. pod čarou Char1"/>
    <w:aliases w:val="Schriftart: 9 pt Char1,Schriftart: 10 pt Char1,Schriftart: 8 pt Char1,Text poznámky pod čiarou 007 Char1,Footnote Char1,Fußnotentextf Char1,Geneva 9 Char1,Font: Geneva 9 Char1,Boston 10 Char1,f Char1,pozn. pod čarou Char1"/>
    <w:uiPriority w:val="99"/>
    <w:semiHidden/>
    <w:rsid w:val="00DC5011"/>
    <w:rPr>
      <w:rFonts w:eastAsia="Calibri" w:cs="Arial"/>
    </w:rPr>
  </w:style>
  <w:style w:type="paragraph" w:customStyle="1" w:styleId="Normln1">
    <w:name w:val="Normální1"/>
    <w:uiPriority w:val="99"/>
    <w:rsid w:val="00DC5011"/>
    <w:pPr>
      <w:spacing w:after="200" w:line="276" w:lineRule="auto"/>
    </w:pPr>
    <w:rPr>
      <w:rFonts w:ascii="Calibri" w:eastAsia="Calibri" w:hAnsi="Calibri" w:cs="Calibri"/>
      <w:color w:val="000000"/>
      <w:sz w:val="22"/>
      <w:szCs w:val="24"/>
      <w:lang w:eastAsia="ja-JP"/>
    </w:rPr>
  </w:style>
  <w:style w:type="table" w:styleId="Stednmka1zvraznn2">
    <w:name w:val="Medium Grid 1 Accent 2"/>
    <w:basedOn w:val="Normlntabulka"/>
    <w:link w:val="MediumGrid1-Accent2Char"/>
    <w:uiPriority w:val="99"/>
    <w:rsid w:val="00DC5011"/>
    <w:rPr>
      <w:rFonts w:ascii="Arial" w:eastAsia="Calibri" w:hAnsi="Arial" w:cs="Arial"/>
      <w:sz w:val="22"/>
      <w:szCs w:val="22"/>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character" w:customStyle="1" w:styleId="MediumGrid1-Accent2Char">
    <w:name w:val="Medium Grid 1 - Accent 2 Char"/>
    <w:link w:val="Stednmka1zvraznn2"/>
    <w:uiPriority w:val="99"/>
    <w:locked/>
    <w:rsid w:val="00DC5011"/>
    <w:rPr>
      <w:rFonts w:ascii="Arial" w:eastAsia="Calibri" w:hAnsi="Arial" w:cs="Arial" w:hint="default"/>
      <w:sz w:val="22"/>
      <w:szCs w:val="22"/>
      <w:lang w:eastAsia="en-US"/>
    </w:rPr>
  </w:style>
  <w:style w:type="table" w:customStyle="1" w:styleId="Stednstnovn1zvraznn12">
    <w:name w:val="Střední stínování 1 – zvýraznění 12"/>
    <w:basedOn w:val="Normlntabulka"/>
    <w:uiPriority w:val="63"/>
    <w:rsid w:val="00DC5011"/>
    <w:rPr>
      <w:rFonts w:ascii="Calibri" w:eastAsia="Calibri" w:hAnsi="Calibri"/>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Sledovanodkaz">
    <w:name w:val="FollowedHyperlink"/>
    <w:uiPriority w:val="99"/>
    <w:semiHidden/>
    <w:unhideWhenUsed/>
    <w:rsid w:val="001861FC"/>
    <w:rPr>
      <w:color w:val="800080"/>
      <w:u w:val="single"/>
    </w:rPr>
  </w:style>
  <w:style w:type="paragraph" w:customStyle="1" w:styleId="Azkladn">
    <w:name w:val="A základní"/>
    <w:basedOn w:val="Normln"/>
    <w:rsid w:val="000A6C11"/>
    <w:pPr>
      <w:tabs>
        <w:tab w:val="left" w:pos="851"/>
      </w:tabs>
      <w:spacing w:after="120" w:line="240" w:lineRule="auto"/>
      <w:jc w:val="both"/>
    </w:pPr>
    <w:rPr>
      <w:rFonts w:ascii="Times New Roman" w:eastAsia="Times New Roman" w:hAnsi="Times New Roman" w:cs="Times New Roman"/>
      <w:szCs w:val="24"/>
      <w:lang w:eastAsia="cs-CZ"/>
    </w:rPr>
  </w:style>
  <w:style w:type="character" w:customStyle="1" w:styleId="Text1Char">
    <w:name w:val="Text 1 Char"/>
    <w:link w:val="Text1"/>
    <w:uiPriority w:val="99"/>
    <w:locked/>
    <w:rsid w:val="00F67C68"/>
    <w:rPr>
      <w:sz w:val="24"/>
      <w:lang w:val="en-GB"/>
    </w:rPr>
  </w:style>
  <w:style w:type="paragraph" w:customStyle="1" w:styleId="Text1">
    <w:name w:val="Text 1"/>
    <w:basedOn w:val="Normln"/>
    <w:link w:val="Text1Char"/>
    <w:uiPriority w:val="99"/>
    <w:rsid w:val="00F67C68"/>
    <w:pPr>
      <w:spacing w:after="240" w:line="240" w:lineRule="auto"/>
      <w:ind w:left="482"/>
      <w:jc w:val="both"/>
    </w:pPr>
    <w:rPr>
      <w:rFonts w:ascii="Times New Roman" w:eastAsia="Times New Roman" w:hAnsi="Times New Roman" w:cs="Times New Roman"/>
      <w:sz w:val="24"/>
      <w:szCs w:val="20"/>
      <w:lang w:val="en-GB"/>
    </w:rPr>
  </w:style>
  <w:style w:type="paragraph" w:customStyle="1" w:styleId="Text2">
    <w:name w:val="Text 2"/>
    <w:basedOn w:val="Normln"/>
    <w:uiPriority w:val="99"/>
    <w:rsid w:val="00567824"/>
    <w:pPr>
      <w:tabs>
        <w:tab w:val="left" w:pos="2160"/>
      </w:tabs>
      <w:spacing w:after="0" w:line="240" w:lineRule="auto"/>
      <w:ind w:left="1077"/>
    </w:pPr>
    <w:rPr>
      <w:rFonts w:ascii="Times New Roman" w:eastAsia="Times New Roman" w:hAnsi="Times New Roman" w:cs="Times New Roman"/>
      <w:sz w:val="24"/>
      <w:szCs w:val="24"/>
      <w:lang w:val="en-GB" w:eastAsia="en-GB"/>
    </w:rPr>
  </w:style>
  <w:style w:type="paragraph" w:customStyle="1" w:styleId="NormlnIROP">
    <w:name w:val="Normální IROP"/>
    <w:basedOn w:val="Normln"/>
    <w:uiPriority w:val="99"/>
    <w:rsid w:val="00BC676D"/>
    <w:pPr>
      <w:spacing w:after="240" w:line="312" w:lineRule="auto"/>
      <w:jc w:val="both"/>
    </w:pPr>
    <w:rPr>
      <w:rFonts w:ascii="Times New Roman" w:eastAsia="Times New Roman" w:hAnsi="Times New Roman" w:cs="Times New Roman"/>
      <w:sz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18121">
      <w:bodyDiv w:val="1"/>
      <w:marLeft w:val="0"/>
      <w:marRight w:val="0"/>
      <w:marTop w:val="0"/>
      <w:marBottom w:val="0"/>
      <w:divBdr>
        <w:top w:val="none" w:sz="0" w:space="0" w:color="auto"/>
        <w:left w:val="none" w:sz="0" w:space="0" w:color="auto"/>
        <w:bottom w:val="none" w:sz="0" w:space="0" w:color="auto"/>
        <w:right w:val="none" w:sz="0" w:space="0" w:color="auto"/>
      </w:divBdr>
    </w:div>
    <w:div w:id="102842636">
      <w:bodyDiv w:val="1"/>
      <w:marLeft w:val="0"/>
      <w:marRight w:val="0"/>
      <w:marTop w:val="0"/>
      <w:marBottom w:val="0"/>
      <w:divBdr>
        <w:top w:val="none" w:sz="0" w:space="0" w:color="auto"/>
        <w:left w:val="none" w:sz="0" w:space="0" w:color="auto"/>
        <w:bottom w:val="none" w:sz="0" w:space="0" w:color="auto"/>
        <w:right w:val="none" w:sz="0" w:space="0" w:color="auto"/>
      </w:divBdr>
    </w:div>
    <w:div w:id="115414672">
      <w:bodyDiv w:val="1"/>
      <w:marLeft w:val="0"/>
      <w:marRight w:val="0"/>
      <w:marTop w:val="0"/>
      <w:marBottom w:val="0"/>
      <w:divBdr>
        <w:top w:val="none" w:sz="0" w:space="0" w:color="auto"/>
        <w:left w:val="none" w:sz="0" w:space="0" w:color="auto"/>
        <w:bottom w:val="none" w:sz="0" w:space="0" w:color="auto"/>
        <w:right w:val="none" w:sz="0" w:space="0" w:color="auto"/>
      </w:divBdr>
    </w:div>
    <w:div w:id="118577348">
      <w:bodyDiv w:val="1"/>
      <w:marLeft w:val="0"/>
      <w:marRight w:val="0"/>
      <w:marTop w:val="0"/>
      <w:marBottom w:val="0"/>
      <w:divBdr>
        <w:top w:val="none" w:sz="0" w:space="0" w:color="auto"/>
        <w:left w:val="none" w:sz="0" w:space="0" w:color="auto"/>
        <w:bottom w:val="none" w:sz="0" w:space="0" w:color="auto"/>
        <w:right w:val="none" w:sz="0" w:space="0" w:color="auto"/>
      </w:divBdr>
    </w:div>
    <w:div w:id="139663028">
      <w:bodyDiv w:val="1"/>
      <w:marLeft w:val="0"/>
      <w:marRight w:val="0"/>
      <w:marTop w:val="0"/>
      <w:marBottom w:val="0"/>
      <w:divBdr>
        <w:top w:val="none" w:sz="0" w:space="0" w:color="auto"/>
        <w:left w:val="none" w:sz="0" w:space="0" w:color="auto"/>
        <w:bottom w:val="none" w:sz="0" w:space="0" w:color="auto"/>
        <w:right w:val="none" w:sz="0" w:space="0" w:color="auto"/>
      </w:divBdr>
    </w:div>
    <w:div w:id="163594660">
      <w:bodyDiv w:val="1"/>
      <w:marLeft w:val="0"/>
      <w:marRight w:val="0"/>
      <w:marTop w:val="0"/>
      <w:marBottom w:val="0"/>
      <w:divBdr>
        <w:top w:val="none" w:sz="0" w:space="0" w:color="auto"/>
        <w:left w:val="none" w:sz="0" w:space="0" w:color="auto"/>
        <w:bottom w:val="none" w:sz="0" w:space="0" w:color="auto"/>
        <w:right w:val="none" w:sz="0" w:space="0" w:color="auto"/>
      </w:divBdr>
    </w:div>
    <w:div w:id="182942211">
      <w:bodyDiv w:val="1"/>
      <w:marLeft w:val="0"/>
      <w:marRight w:val="0"/>
      <w:marTop w:val="0"/>
      <w:marBottom w:val="0"/>
      <w:divBdr>
        <w:top w:val="none" w:sz="0" w:space="0" w:color="auto"/>
        <w:left w:val="none" w:sz="0" w:space="0" w:color="auto"/>
        <w:bottom w:val="none" w:sz="0" w:space="0" w:color="auto"/>
        <w:right w:val="none" w:sz="0" w:space="0" w:color="auto"/>
      </w:divBdr>
    </w:div>
    <w:div w:id="251010040">
      <w:bodyDiv w:val="1"/>
      <w:marLeft w:val="0"/>
      <w:marRight w:val="0"/>
      <w:marTop w:val="0"/>
      <w:marBottom w:val="0"/>
      <w:divBdr>
        <w:top w:val="none" w:sz="0" w:space="0" w:color="auto"/>
        <w:left w:val="none" w:sz="0" w:space="0" w:color="auto"/>
        <w:bottom w:val="none" w:sz="0" w:space="0" w:color="auto"/>
        <w:right w:val="none" w:sz="0" w:space="0" w:color="auto"/>
      </w:divBdr>
    </w:div>
    <w:div w:id="297957394">
      <w:bodyDiv w:val="1"/>
      <w:marLeft w:val="0"/>
      <w:marRight w:val="0"/>
      <w:marTop w:val="0"/>
      <w:marBottom w:val="0"/>
      <w:divBdr>
        <w:top w:val="none" w:sz="0" w:space="0" w:color="auto"/>
        <w:left w:val="none" w:sz="0" w:space="0" w:color="auto"/>
        <w:bottom w:val="none" w:sz="0" w:space="0" w:color="auto"/>
        <w:right w:val="none" w:sz="0" w:space="0" w:color="auto"/>
      </w:divBdr>
    </w:div>
    <w:div w:id="370958178">
      <w:bodyDiv w:val="1"/>
      <w:marLeft w:val="0"/>
      <w:marRight w:val="0"/>
      <w:marTop w:val="0"/>
      <w:marBottom w:val="0"/>
      <w:divBdr>
        <w:top w:val="none" w:sz="0" w:space="0" w:color="auto"/>
        <w:left w:val="none" w:sz="0" w:space="0" w:color="auto"/>
        <w:bottom w:val="none" w:sz="0" w:space="0" w:color="auto"/>
        <w:right w:val="none" w:sz="0" w:space="0" w:color="auto"/>
      </w:divBdr>
    </w:div>
    <w:div w:id="399523576">
      <w:bodyDiv w:val="1"/>
      <w:marLeft w:val="0"/>
      <w:marRight w:val="0"/>
      <w:marTop w:val="0"/>
      <w:marBottom w:val="0"/>
      <w:divBdr>
        <w:top w:val="none" w:sz="0" w:space="0" w:color="auto"/>
        <w:left w:val="none" w:sz="0" w:space="0" w:color="auto"/>
        <w:bottom w:val="none" w:sz="0" w:space="0" w:color="auto"/>
        <w:right w:val="none" w:sz="0" w:space="0" w:color="auto"/>
      </w:divBdr>
    </w:div>
    <w:div w:id="401878375">
      <w:bodyDiv w:val="1"/>
      <w:marLeft w:val="0"/>
      <w:marRight w:val="0"/>
      <w:marTop w:val="0"/>
      <w:marBottom w:val="0"/>
      <w:divBdr>
        <w:top w:val="none" w:sz="0" w:space="0" w:color="auto"/>
        <w:left w:val="none" w:sz="0" w:space="0" w:color="auto"/>
        <w:bottom w:val="none" w:sz="0" w:space="0" w:color="auto"/>
        <w:right w:val="none" w:sz="0" w:space="0" w:color="auto"/>
      </w:divBdr>
    </w:div>
    <w:div w:id="408231443">
      <w:bodyDiv w:val="1"/>
      <w:marLeft w:val="0"/>
      <w:marRight w:val="0"/>
      <w:marTop w:val="0"/>
      <w:marBottom w:val="0"/>
      <w:divBdr>
        <w:top w:val="none" w:sz="0" w:space="0" w:color="auto"/>
        <w:left w:val="none" w:sz="0" w:space="0" w:color="auto"/>
        <w:bottom w:val="none" w:sz="0" w:space="0" w:color="auto"/>
        <w:right w:val="none" w:sz="0" w:space="0" w:color="auto"/>
      </w:divBdr>
    </w:div>
    <w:div w:id="408885663">
      <w:bodyDiv w:val="1"/>
      <w:marLeft w:val="0"/>
      <w:marRight w:val="0"/>
      <w:marTop w:val="0"/>
      <w:marBottom w:val="0"/>
      <w:divBdr>
        <w:top w:val="none" w:sz="0" w:space="0" w:color="auto"/>
        <w:left w:val="none" w:sz="0" w:space="0" w:color="auto"/>
        <w:bottom w:val="none" w:sz="0" w:space="0" w:color="auto"/>
        <w:right w:val="none" w:sz="0" w:space="0" w:color="auto"/>
      </w:divBdr>
    </w:div>
    <w:div w:id="459107966">
      <w:bodyDiv w:val="1"/>
      <w:marLeft w:val="0"/>
      <w:marRight w:val="0"/>
      <w:marTop w:val="0"/>
      <w:marBottom w:val="0"/>
      <w:divBdr>
        <w:top w:val="none" w:sz="0" w:space="0" w:color="auto"/>
        <w:left w:val="none" w:sz="0" w:space="0" w:color="auto"/>
        <w:bottom w:val="none" w:sz="0" w:space="0" w:color="auto"/>
        <w:right w:val="none" w:sz="0" w:space="0" w:color="auto"/>
      </w:divBdr>
    </w:div>
    <w:div w:id="476606159">
      <w:bodyDiv w:val="1"/>
      <w:marLeft w:val="0"/>
      <w:marRight w:val="0"/>
      <w:marTop w:val="0"/>
      <w:marBottom w:val="0"/>
      <w:divBdr>
        <w:top w:val="none" w:sz="0" w:space="0" w:color="auto"/>
        <w:left w:val="none" w:sz="0" w:space="0" w:color="auto"/>
        <w:bottom w:val="none" w:sz="0" w:space="0" w:color="auto"/>
        <w:right w:val="none" w:sz="0" w:space="0" w:color="auto"/>
      </w:divBdr>
    </w:div>
    <w:div w:id="478301930">
      <w:bodyDiv w:val="1"/>
      <w:marLeft w:val="0"/>
      <w:marRight w:val="0"/>
      <w:marTop w:val="0"/>
      <w:marBottom w:val="0"/>
      <w:divBdr>
        <w:top w:val="none" w:sz="0" w:space="0" w:color="auto"/>
        <w:left w:val="none" w:sz="0" w:space="0" w:color="auto"/>
        <w:bottom w:val="none" w:sz="0" w:space="0" w:color="auto"/>
        <w:right w:val="none" w:sz="0" w:space="0" w:color="auto"/>
      </w:divBdr>
    </w:div>
    <w:div w:id="487089389">
      <w:bodyDiv w:val="1"/>
      <w:marLeft w:val="0"/>
      <w:marRight w:val="0"/>
      <w:marTop w:val="0"/>
      <w:marBottom w:val="0"/>
      <w:divBdr>
        <w:top w:val="none" w:sz="0" w:space="0" w:color="auto"/>
        <w:left w:val="none" w:sz="0" w:space="0" w:color="auto"/>
        <w:bottom w:val="none" w:sz="0" w:space="0" w:color="auto"/>
        <w:right w:val="none" w:sz="0" w:space="0" w:color="auto"/>
      </w:divBdr>
    </w:div>
    <w:div w:id="500244515">
      <w:bodyDiv w:val="1"/>
      <w:marLeft w:val="0"/>
      <w:marRight w:val="0"/>
      <w:marTop w:val="0"/>
      <w:marBottom w:val="0"/>
      <w:divBdr>
        <w:top w:val="none" w:sz="0" w:space="0" w:color="auto"/>
        <w:left w:val="none" w:sz="0" w:space="0" w:color="auto"/>
        <w:bottom w:val="none" w:sz="0" w:space="0" w:color="auto"/>
        <w:right w:val="none" w:sz="0" w:space="0" w:color="auto"/>
      </w:divBdr>
    </w:div>
    <w:div w:id="501747029">
      <w:bodyDiv w:val="1"/>
      <w:marLeft w:val="0"/>
      <w:marRight w:val="0"/>
      <w:marTop w:val="0"/>
      <w:marBottom w:val="0"/>
      <w:divBdr>
        <w:top w:val="none" w:sz="0" w:space="0" w:color="auto"/>
        <w:left w:val="none" w:sz="0" w:space="0" w:color="auto"/>
        <w:bottom w:val="none" w:sz="0" w:space="0" w:color="auto"/>
        <w:right w:val="none" w:sz="0" w:space="0" w:color="auto"/>
      </w:divBdr>
    </w:div>
    <w:div w:id="514809420">
      <w:bodyDiv w:val="1"/>
      <w:marLeft w:val="0"/>
      <w:marRight w:val="0"/>
      <w:marTop w:val="0"/>
      <w:marBottom w:val="0"/>
      <w:divBdr>
        <w:top w:val="none" w:sz="0" w:space="0" w:color="auto"/>
        <w:left w:val="none" w:sz="0" w:space="0" w:color="auto"/>
        <w:bottom w:val="none" w:sz="0" w:space="0" w:color="auto"/>
        <w:right w:val="none" w:sz="0" w:space="0" w:color="auto"/>
      </w:divBdr>
    </w:div>
    <w:div w:id="530726127">
      <w:bodyDiv w:val="1"/>
      <w:marLeft w:val="0"/>
      <w:marRight w:val="0"/>
      <w:marTop w:val="0"/>
      <w:marBottom w:val="0"/>
      <w:divBdr>
        <w:top w:val="none" w:sz="0" w:space="0" w:color="auto"/>
        <w:left w:val="none" w:sz="0" w:space="0" w:color="auto"/>
        <w:bottom w:val="none" w:sz="0" w:space="0" w:color="auto"/>
        <w:right w:val="none" w:sz="0" w:space="0" w:color="auto"/>
      </w:divBdr>
    </w:div>
    <w:div w:id="607203246">
      <w:bodyDiv w:val="1"/>
      <w:marLeft w:val="0"/>
      <w:marRight w:val="0"/>
      <w:marTop w:val="0"/>
      <w:marBottom w:val="0"/>
      <w:divBdr>
        <w:top w:val="none" w:sz="0" w:space="0" w:color="auto"/>
        <w:left w:val="none" w:sz="0" w:space="0" w:color="auto"/>
        <w:bottom w:val="none" w:sz="0" w:space="0" w:color="auto"/>
        <w:right w:val="none" w:sz="0" w:space="0" w:color="auto"/>
      </w:divBdr>
    </w:div>
    <w:div w:id="636379931">
      <w:bodyDiv w:val="1"/>
      <w:marLeft w:val="0"/>
      <w:marRight w:val="0"/>
      <w:marTop w:val="0"/>
      <w:marBottom w:val="0"/>
      <w:divBdr>
        <w:top w:val="none" w:sz="0" w:space="0" w:color="auto"/>
        <w:left w:val="none" w:sz="0" w:space="0" w:color="auto"/>
        <w:bottom w:val="none" w:sz="0" w:space="0" w:color="auto"/>
        <w:right w:val="none" w:sz="0" w:space="0" w:color="auto"/>
      </w:divBdr>
    </w:div>
    <w:div w:id="705639781">
      <w:bodyDiv w:val="1"/>
      <w:marLeft w:val="0"/>
      <w:marRight w:val="0"/>
      <w:marTop w:val="0"/>
      <w:marBottom w:val="0"/>
      <w:divBdr>
        <w:top w:val="none" w:sz="0" w:space="0" w:color="auto"/>
        <w:left w:val="none" w:sz="0" w:space="0" w:color="auto"/>
        <w:bottom w:val="none" w:sz="0" w:space="0" w:color="auto"/>
        <w:right w:val="none" w:sz="0" w:space="0" w:color="auto"/>
      </w:divBdr>
    </w:div>
    <w:div w:id="712652748">
      <w:bodyDiv w:val="1"/>
      <w:marLeft w:val="0"/>
      <w:marRight w:val="0"/>
      <w:marTop w:val="0"/>
      <w:marBottom w:val="0"/>
      <w:divBdr>
        <w:top w:val="none" w:sz="0" w:space="0" w:color="auto"/>
        <w:left w:val="none" w:sz="0" w:space="0" w:color="auto"/>
        <w:bottom w:val="none" w:sz="0" w:space="0" w:color="auto"/>
        <w:right w:val="none" w:sz="0" w:space="0" w:color="auto"/>
      </w:divBdr>
    </w:div>
    <w:div w:id="735082163">
      <w:bodyDiv w:val="1"/>
      <w:marLeft w:val="0"/>
      <w:marRight w:val="0"/>
      <w:marTop w:val="0"/>
      <w:marBottom w:val="0"/>
      <w:divBdr>
        <w:top w:val="none" w:sz="0" w:space="0" w:color="auto"/>
        <w:left w:val="none" w:sz="0" w:space="0" w:color="auto"/>
        <w:bottom w:val="none" w:sz="0" w:space="0" w:color="auto"/>
        <w:right w:val="none" w:sz="0" w:space="0" w:color="auto"/>
      </w:divBdr>
    </w:div>
    <w:div w:id="745149319">
      <w:bodyDiv w:val="1"/>
      <w:marLeft w:val="0"/>
      <w:marRight w:val="0"/>
      <w:marTop w:val="0"/>
      <w:marBottom w:val="0"/>
      <w:divBdr>
        <w:top w:val="none" w:sz="0" w:space="0" w:color="auto"/>
        <w:left w:val="none" w:sz="0" w:space="0" w:color="auto"/>
        <w:bottom w:val="none" w:sz="0" w:space="0" w:color="auto"/>
        <w:right w:val="none" w:sz="0" w:space="0" w:color="auto"/>
      </w:divBdr>
    </w:div>
    <w:div w:id="749275847">
      <w:bodyDiv w:val="1"/>
      <w:marLeft w:val="0"/>
      <w:marRight w:val="0"/>
      <w:marTop w:val="0"/>
      <w:marBottom w:val="0"/>
      <w:divBdr>
        <w:top w:val="none" w:sz="0" w:space="0" w:color="auto"/>
        <w:left w:val="none" w:sz="0" w:space="0" w:color="auto"/>
        <w:bottom w:val="none" w:sz="0" w:space="0" w:color="auto"/>
        <w:right w:val="none" w:sz="0" w:space="0" w:color="auto"/>
      </w:divBdr>
    </w:div>
    <w:div w:id="751506385">
      <w:bodyDiv w:val="1"/>
      <w:marLeft w:val="0"/>
      <w:marRight w:val="0"/>
      <w:marTop w:val="0"/>
      <w:marBottom w:val="0"/>
      <w:divBdr>
        <w:top w:val="none" w:sz="0" w:space="0" w:color="auto"/>
        <w:left w:val="none" w:sz="0" w:space="0" w:color="auto"/>
        <w:bottom w:val="none" w:sz="0" w:space="0" w:color="auto"/>
        <w:right w:val="none" w:sz="0" w:space="0" w:color="auto"/>
      </w:divBdr>
    </w:div>
    <w:div w:id="776603269">
      <w:bodyDiv w:val="1"/>
      <w:marLeft w:val="0"/>
      <w:marRight w:val="0"/>
      <w:marTop w:val="0"/>
      <w:marBottom w:val="0"/>
      <w:divBdr>
        <w:top w:val="none" w:sz="0" w:space="0" w:color="auto"/>
        <w:left w:val="none" w:sz="0" w:space="0" w:color="auto"/>
        <w:bottom w:val="none" w:sz="0" w:space="0" w:color="auto"/>
        <w:right w:val="none" w:sz="0" w:space="0" w:color="auto"/>
      </w:divBdr>
    </w:div>
    <w:div w:id="781220853">
      <w:bodyDiv w:val="1"/>
      <w:marLeft w:val="0"/>
      <w:marRight w:val="0"/>
      <w:marTop w:val="0"/>
      <w:marBottom w:val="0"/>
      <w:divBdr>
        <w:top w:val="none" w:sz="0" w:space="0" w:color="auto"/>
        <w:left w:val="none" w:sz="0" w:space="0" w:color="auto"/>
        <w:bottom w:val="none" w:sz="0" w:space="0" w:color="auto"/>
        <w:right w:val="none" w:sz="0" w:space="0" w:color="auto"/>
      </w:divBdr>
    </w:div>
    <w:div w:id="977760954">
      <w:bodyDiv w:val="1"/>
      <w:marLeft w:val="0"/>
      <w:marRight w:val="0"/>
      <w:marTop w:val="0"/>
      <w:marBottom w:val="0"/>
      <w:divBdr>
        <w:top w:val="none" w:sz="0" w:space="0" w:color="auto"/>
        <w:left w:val="none" w:sz="0" w:space="0" w:color="auto"/>
        <w:bottom w:val="none" w:sz="0" w:space="0" w:color="auto"/>
        <w:right w:val="none" w:sz="0" w:space="0" w:color="auto"/>
      </w:divBdr>
    </w:div>
    <w:div w:id="1019698402">
      <w:bodyDiv w:val="1"/>
      <w:marLeft w:val="0"/>
      <w:marRight w:val="0"/>
      <w:marTop w:val="0"/>
      <w:marBottom w:val="0"/>
      <w:divBdr>
        <w:top w:val="none" w:sz="0" w:space="0" w:color="auto"/>
        <w:left w:val="none" w:sz="0" w:space="0" w:color="auto"/>
        <w:bottom w:val="none" w:sz="0" w:space="0" w:color="auto"/>
        <w:right w:val="none" w:sz="0" w:space="0" w:color="auto"/>
      </w:divBdr>
    </w:div>
    <w:div w:id="1021587269">
      <w:bodyDiv w:val="1"/>
      <w:marLeft w:val="0"/>
      <w:marRight w:val="0"/>
      <w:marTop w:val="0"/>
      <w:marBottom w:val="0"/>
      <w:divBdr>
        <w:top w:val="none" w:sz="0" w:space="0" w:color="auto"/>
        <w:left w:val="none" w:sz="0" w:space="0" w:color="auto"/>
        <w:bottom w:val="none" w:sz="0" w:space="0" w:color="auto"/>
        <w:right w:val="none" w:sz="0" w:space="0" w:color="auto"/>
      </w:divBdr>
    </w:div>
    <w:div w:id="1031415180">
      <w:bodyDiv w:val="1"/>
      <w:marLeft w:val="0"/>
      <w:marRight w:val="0"/>
      <w:marTop w:val="0"/>
      <w:marBottom w:val="0"/>
      <w:divBdr>
        <w:top w:val="none" w:sz="0" w:space="0" w:color="auto"/>
        <w:left w:val="none" w:sz="0" w:space="0" w:color="auto"/>
        <w:bottom w:val="none" w:sz="0" w:space="0" w:color="auto"/>
        <w:right w:val="none" w:sz="0" w:space="0" w:color="auto"/>
      </w:divBdr>
    </w:div>
    <w:div w:id="1032153322">
      <w:bodyDiv w:val="1"/>
      <w:marLeft w:val="0"/>
      <w:marRight w:val="0"/>
      <w:marTop w:val="0"/>
      <w:marBottom w:val="0"/>
      <w:divBdr>
        <w:top w:val="none" w:sz="0" w:space="0" w:color="auto"/>
        <w:left w:val="none" w:sz="0" w:space="0" w:color="auto"/>
        <w:bottom w:val="none" w:sz="0" w:space="0" w:color="auto"/>
        <w:right w:val="none" w:sz="0" w:space="0" w:color="auto"/>
      </w:divBdr>
    </w:div>
    <w:div w:id="1067999888">
      <w:bodyDiv w:val="1"/>
      <w:marLeft w:val="0"/>
      <w:marRight w:val="0"/>
      <w:marTop w:val="0"/>
      <w:marBottom w:val="0"/>
      <w:divBdr>
        <w:top w:val="none" w:sz="0" w:space="0" w:color="auto"/>
        <w:left w:val="none" w:sz="0" w:space="0" w:color="auto"/>
        <w:bottom w:val="none" w:sz="0" w:space="0" w:color="auto"/>
        <w:right w:val="none" w:sz="0" w:space="0" w:color="auto"/>
      </w:divBdr>
    </w:div>
    <w:div w:id="1161309606">
      <w:bodyDiv w:val="1"/>
      <w:marLeft w:val="0"/>
      <w:marRight w:val="0"/>
      <w:marTop w:val="0"/>
      <w:marBottom w:val="0"/>
      <w:divBdr>
        <w:top w:val="none" w:sz="0" w:space="0" w:color="auto"/>
        <w:left w:val="none" w:sz="0" w:space="0" w:color="auto"/>
        <w:bottom w:val="none" w:sz="0" w:space="0" w:color="auto"/>
        <w:right w:val="none" w:sz="0" w:space="0" w:color="auto"/>
      </w:divBdr>
    </w:div>
    <w:div w:id="1174803447">
      <w:bodyDiv w:val="1"/>
      <w:marLeft w:val="0"/>
      <w:marRight w:val="0"/>
      <w:marTop w:val="0"/>
      <w:marBottom w:val="0"/>
      <w:divBdr>
        <w:top w:val="none" w:sz="0" w:space="0" w:color="auto"/>
        <w:left w:val="none" w:sz="0" w:space="0" w:color="auto"/>
        <w:bottom w:val="none" w:sz="0" w:space="0" w:color="auto"/>
        <w:right w:val="none" w:sz="0" w:space="0" w:color="auto"/>
      </w:divBdr>
    </w:div>
    <w:div w:id="1179662615">
      <w:bodyDiv w:val="1"/>
      <w:marLeft w:val="0"/>
      <w:marRight w:val="0"/>
      <w:marTop w:val="0"/>
      <w:marBottom w:val="0"/>
      <w:divBdr>
        <w:top w:val="none" w:sz="0" w:space="0" w:color="auto"/>
        <w:left w:val="none" w:sz="0" w:space="0" w:color="auto"/>
        <w:bottom w:val="none" w:sz="0" w:space="0" w:color="auto"/>
        <w:right w:val="none" w:sz="0" w:space="0" w:color="auto"/>
      </w:divBdr>
    </w:div>
    <w:div w:id="1316766398">
      <w:bodyDiv w:val="1"/>
      <w:marLeft w:val="0"/>
      <w:marRight w:val="0"/>
      <w:marTop w:val="0"/>
      <w:marBottom w:val="0"/>
      <w:divBdr>
        <w:top w:val="none" w:sz="0" w:space="0" w:color="auto"/>
        <w:left w:val="none" w:sz="0" w:space="0" w:color="auto"/>
        <w:bottom w:val="none" w:sz="0" w:space="0" w:color="auto"/>
        <w:right w:val="none" w:sz="0" w:space="0" w:color="auto"/>
      </w:divBdr>
    </w:div>
    <w:div w:id="1340766117">
      <w:bodyDiv w:val="1"/>
      <w:marLeft w:val="0"/>
      <w:marRight w:val="0"/>
      <w:marTop w:val="0"/>
      <w:marBottom w:val="0"/>
      <w:divBdr>
        <w:top w:val="none" w:sz="0" w:space="0" w:color="auto"/>
        <w:left w:val="none" w:sz="0" w:space="0" w:color="auto"/>
        <w:bottom w:val="none" w:sz="0" w:space="0" w:color="auto"/>
        <w:right w:val="none" w:sz="0" w:space="0" w:color="auto"/>
      </w:divBdr>
    </w:div>
    <w:div w:id="1351645132">
      <w:bodyDiv w:val="1"/>
      <w:marLeft w:val="0"/>
      <w:marRight w:val="0"/>
      <w:marTop w:val="0"/>
      <w:marBottom w:val="0"/>
      <w:divBdr>
        <w:top w:val="none" w:sz="0" w:space="0" w:color="auto"/>
        <w:left w:val="none" w:sz="0" w:space="0" w:color="auto"/>
        <w:bottom w:val="none" w:sz="0" w:space="0" w:color="auto"/>
        <w:right w:val="none" w:sz="0" w:space="0" w:color="auto"/>
      </w:divBdr>
    </w:div>
    <w:div w:id="1371615907">
      <w:bodyDiv w:val="1"/>
      <w:marLeft w:val="0"/>
      <w:marRight w:val="0"/>
      <w:marTop w:val="0"/>
      <w:marBottom w:val="0"/>
      <w:divBdr>
        <w:top w:val="none" w:sz="0" w:space="0" w:color="auto"/>
        <w:left w:val="none" w:sz="0" w:space="0" w:color="auto"/>
        <w:bottom w:val="none" w:sz="0" w:space="0" w:color="auto"/>
        <w:right w:val="none" w:sz="0" w:space="0" w:color="auto"/>
      </w:divBdr>
    </w:div>
    <w:div w:id="1374842652">
      <w:bodyDiv w:val="1"/>
      <w:marLeft w:val="0"/>
      <w:marRight w:val="0"/>
      <w:marTop w:val="0"/>
      <w:marBottom w:val="0"/>
      <w:divBdr>
        <w:top w:val="none" w:sz="0" w:space="0" w:color="auto"/>
        <w:left w:val="none" w:sz="0" w:space="0" w:color="auto"/>
        <w:bottom w:val="none" w:sz="0" w:space="0" w:color="auto"/>
        <w:right w:val="none" w:sz="0" w:space="0" w:color="auto"/>
      </w:divBdr>
    </w:div>
    <w:div w:id="1392849590">
      <w:bodyDiv w:val="1"/>
      <w:marLeft w:val="0"/>
      <w:marRight w:val="0"/>
      <w:marTop w:val="0"/>
      <w:marBottom w:val="0"/>
      <w:divBdr>
        <w:top w:val="none" w:sz="0" w:space="0" w:color="auto"/>
        <w:left w:val="none" w:sz="0" w:space="0" w:color="auto"/>
        <w:bottom w:val="none" w:sz="0" w:space="0" w:color="auto"/>
        <w:right w:val="none" w:sz="0" w:space="0" w:color="auto"/>
      </w:divBdr>
    </w:div>
    <w:div w:id="1393772685">
      <w:bodyDiv w:val="1"/>
      <w:marLeft w:val="0"/>
      <w:marRight w:val="0"/>
      <w:marTop w:val="0"/>
      <w:marBottom w:val="0"/>
      <w:divBdr>
        <w:top w:val="none" w:sz="0" w:space="0" w:color="auto"/>
        <w:left w:val="none" w:sz="0" w:space="0" w:color="auto"/>
        <w:bottom w:val="none" w:sz="0" w:space="0" w:color="auto"/>
        <w:right w:val="none" w:sz="0" w:space="0" w:color="auto"/>
      </w:divBdr>
    </w:div>
    <w:div w:id="1401517275">
      <w:bodyDiv w:val="1"/>
      <w:marLeft w:val="0"/>
      <w:marRight w:val="0"/>
      <w:marTop w:val="0"/>
      <w:marBottom w:val="0"/>
      <w:divBdr>
        <w:top w:val="none" w:sz="0" w:space="0" w:color="auto"/>
        <w:left w:val="none" w:sz="0" w:space="0" w:color="auto"/>
        <w:bottom w:val="none" w:sz="0" w:space="0" w:color="auto"/>
        <w:right w:val="none" w:sz="0" w:space="0" w:color="auto"/>
      </w:divBdr>
    </w:div>
    <w:div w:id="1409498683">
      <w:bodyDiv w:val="1"/>
      <w:marLeft w:val="0"/>
      <w:marRight w:val="0"/>
      <w:marTop w:val="0"/>
      <w:marBottom w:val="0"/>
      <w:divBdr>
        <w:top w:val="none" w:sz="0" w:space="0" w:color="auto"/>
        <w:left w:val="none" w:sz="0" w:space="0" w:color="auto"/>
        <w:bottom w:val="none" w:sz="0" w:space="0" w:color="auto"/>
        <w:right w:val="none" w:sz="0" w:space="0" w:color="auto"/>
      </w:divBdr>
    </w:div>
    <w:div w:id="1409578446">
      <w:bodyDiv w:val="1"/>
      <w:marLeft w:val="0"/>
      <w:marRight w:val="0"/>
      <w:marTop w:val="0"/>
      <w:marBottom w:val="0"/>
      <w:divBdr>
        <w:top w:val="none" w:sz="0" w:space="0" w:color="auto"/>
        <w:left w:val="none" w:sz="0" w:space="0" w:color="auto"/>
        <w:bottom w:val="none" w:sz="0" w:space="0" w:color="auto"/>
        <w:right w:val="none" w:sz="0" w:space="0" w:color="auto"/>
      </w:divBdr>
    </w:div>
    <w:div w:id="1425147159">
      <w:bodyDiv w:val="1"/>
      <w:marLeft w:val="0"/>
      <w:marRight w:val="0"/>
      <w:marTop w:val="0"/>
      <w:marBottom w:val="0"/>
      <w:divBdr>
        <w:top w:val="none" w:sz="0" w:space="0" w:color="auto"/>
        <w:left w:val="none" w:sz="0" w:space="0" w:color="auto"/>
        <w:bottom w:val="none" w:sz="0" w:space="0" w:color="auto"/>
        <w:right w:val="none" w:sz="0" w:space="0" w:color="auto"/>
      </w:divBdr>
    </w:div>
    <w:div w:id="1428192656">
      <w:bodyDiv w:val="1"/>
      <w:marLeft w:val="0"/>
      <w:marRight w:val="0"/>
      <w:marTop w:val="0"/>
      <w:marBottom w:val="0"/>
      <w:divBdr>
        <w:top w:val="none" w:sz="0" w:space="0" w:color="auto"/>
        <w:left w:val="none" w:sz="0" w:space="0" w:color="auto"/>
        <w:bottom w:val="none" w:sz="0" w:space="0" w:color="auto"/>
        <w:right w:val="none" w:sz="0" w:space="0" w:color="auto"/>
      </w:divBdr>
    </w:div>
    <w:div w:id="1460296437">
      <w:bodyDiv w:val="1"/>
      <w:marLeft w:val="0"/>
      <w:marRight w:val="0"/>
      <w:marTop w:val="0"/>
      <w:marBottom w:val="0"/>
      <w:divBdr>
        <w:top w:val="none" w:sz="0" w:space="0" w:color="auto"/>
        <w:left w:val="none" w:sz="0" w:space="0" w:color="auto"/>
        <w:bottom w:val="none" w:sz="0" w:space="0" w:color="auto"/>
        <w:right w:val="none" w:sz="0" w:space="0" w:color="auto"/>
      </w:divBdr>
    </w:div>
    <w:div w:id="1464808743">
      <w:bodyDiv w:val="1"/>
      <w:marLeft w:val="0"/>
      <w:marRight w:val="0"/>
      <w:marTop w:val="0"/>
      <w:marBottom w:val="0"/>
      <w:divBdr>
        <w:top w:val="none" w:sz="0" w:space="0" w:color="auto"/>
        <w:left w:val="none" w:sz="0" w:space="0" w:color="auto"/>
        <w:bottom w:val="none" w:sz="0" w:space="0" w:color="auto"/>
        <w:right w:val="none" w:sz="0" w:space="0" w:color="auto"/>
      </w:divBdr>
    </w:div>
    <w:div w:id="1489663092">
      <w:bodyDiv w:val="1"/>
      <w:marLeft w:val="0"/>
      <w:marRight w:val="0"/>
      <w:marTop w:val="0"/>
      <w:marBottom w:val="0"/>
      <w:divBdr>
        <w:top w:val="none" w:sz="0" w:space="0" w:color="auto"/>
        <w:left w:val="none" w:sz="0" w:space="0" w:color="auto"/>
        <w:bottom w:val="none" w:sz="0" w:space="0" w:color="auto"/>
        <w:right w:val="none" w:sz="0" w:space="0" w:color="auto"/>
      </w:divBdr>
    </w:div>
    <w:div w:id="1501236724">
      <w:bodyDiv w:val="1"/>
      <w:marLeft w:val="0"/>
      <w:marRight w:val="0"/>
      <w:marTop w:val="0"/>
      <w:marBottom w:val="0"/>
      <w:divBdr>
        <w:top w:val="none" w:sz="0" w:space="0" w:color="auto"/>
        <w:left w:val="none" w:sz="0" w:space="0" w:color="auto"/>
        <w:bottom w:val="none" w:sz="0" w:space="0" w:color="auto"/>
        <w:right w:val="none" w:sz="0" w:space="0" w:color="auto"/>
      </w:divBdr>
    </w:div>
    <w:div w:id="1505852756">
      <w:bodyDiv w:val="1"/>
      <w:marLeft w:val="0"/>
      <w:marRight w:val="0"/>
      <w:marTop w:val="0"/>
      <w:marBottom w:val="0"/>
      <w:divBdr>
        <w:top w:val="none" w:sz="0" w:space="0" w:color="auto"/>
        <w:left w:val="none" w:sz="0" w:space="0" w:color="auto"/>
        <w:bottom w:val="none" w:sz="0" w:space="0" w:color="auto"/>
        <w:right w:val="none" w:sz="0" w:space="0" w:color="auto"/>
      </w:divBdr>
    </w:div>
    <w:div w:id="1513911961">
      <w:bodyDiv w:val="1"/>
      <w:marLeft w:val="0"/>
      <w:marRight w:val="0"/>
      <w:marTop w:val="0"/>
      <w:marBottom w:val="0"/>
      <w:divBdr>
        <w:top w:val="none" w:sz="0" w:space="0" w:color="auto"/>
        <w:left w:val="none" w:sz="0" w:space="0" w:color="auto"/>
        <w:bottom w:val="none" w:sz="0" w:space="0" w:color="auto"/>
        <w:right w:val="none" w:sz="0" w:space="0" w:color="auto"/>
      </w:divBdr>
    </w:div>
    <w:div w:id="1558858348">
      <w:bodyDiv w:val="1"/>
      <w:marLeft w:val="0"/>
      <w:marRight w:val="0"/>
      <w:marTop w:val="0"/>
      <w:marBottom w:val="0"/>
      <w:divBdr>
        <w:top w:val="none" w:sz="0" w:space="0" w:color="auto"/>
        <w:left w:val="none" w:sz="0" w:space="0" w:color="auto"/>
        <w:bottom w:val="none" w:sz="0" w:space="0" w:color="auto"/>
        <w:right w:val="none" w:sz="0" w:space="0" w:color="auto"/>
      </w:divBdr>
    </w:div>
    <w:div w:id="1563364144">
      <w:bodyDiv w:val="1"/>
      <w:marLeft w:val="0"/>
      <w:marRight w:val="0"/>
      <w:marTop w:val="0"/>
      <w:marBottom w:val="0"/>
      <w:divBdr>
        <w:top w:val="none" w:sz="0" w:space="0" w:color="auto"/>
        <w:left w:val="none" w:sz="0" w:space="0" w:color="auto"/>
        <w:bottom w:val="none" w:sz="0" w:space="0" w:color="auto"/>
        <w:right w:val="none" w:sz="0" w:space="0" w:color="auto"/>
      </w:divBdr>
    </w:div>
    <w:div w:id="1583564737">
      <w:bodyDiv w:val="1"/>
      <w:marLeft w:val="0"/>
      <w:marRight w:val="0"/>
      <w:marTop w:val="0"/>
      <w:marBottom w:val="0"/>
      <w:divBdr>
        <w:top w:val="none" w:sz="0" w:space="0" w:color="auto"/>
        <w:left w:val="none" w:sz="0" w:space="0" w:color="auto"/>
        <w:bottom w:val="none" w:sz="0" w:space="0" w:color="auto"/>
        <w:right w:val="none" w:sz="0" w:space="0" w:color="auto"/>
      </w:divBdr>
    </w:div>
    <w:div w:id="1602958411">
      <w:bodyDiv w:val="1"/>
      <w:marLeft w:val="0"/>
      <w:marRight w:val="0"/>
      <w:marTop w:val="0"/>
      <w:marBottom w:val="0"/>
      <w:divBdr>
        <w:top w:val="none" w:sz="0" w:space="0" w:color="auto"/>
        <w:left w:val="none" w:sz="0" w:space="0" w:color="auto"/>
        <w:bottom w:val="none" w:sz="0" w:space="0" w:color="auto"/>
        <w:right w:val="none" w:sz="0" w:space="0" w:color="auto"/>
      </w:divBdr>
    </w:div>
    <w:div w:id="1663507734">
      <w:bodyDiv w:val="1"/>
      <w:marLeft w:val="0"/>
      <w:marRight w:val="0"/>
      <w:marTop w:val="0"/>
      <w:marBottom w:val="0"/>
      <w:divBdr>
        <w:top w:val="none" w:sz="0" w:space="0" w:color="auto"/>
        <w:left w:val="none" w:sz="0" w:space="0" w:color="auto"/>
        <w:bottom w:val="none" w:sz="0" w:space="0" w:color="auto"/>
        <w:right w:val="none" w:sz="0" w:space="0" w:color="auto"/>
      </w:divBdr>
    </w:div>
    <w:div w:id="1708219866">
      <w:bodyDiv w:val="1"/>
      <w:marLeft w:val="0"/>
      <w:marRight w:val="0"/>
      <w:marTop w:val="0"/>
      <w:marBottom w:val="0"/>
      <w:divBdr>
        <w:top w:val="none" w:sz="0" w:space="0" w:color="auto"/>
        <w:left w:val="none" w:sz="0" w:space="0" w:color="auto"/>
        <w:bottom w:val="none" w:sz="0" w:space="0" w:color="auto"/>
        <w:right w:val="none" w:sz="0" w:space="0" w:color="auto"/>
      </w:divBdr>
    </w:div>
    <w:div w:id="1722560062">
      <w:bodyDiv w:val="1"/>
      <w:marLeft w:val="0"/>
      <w:marRight w:val="0"/>
      <w:marTop w:val="0"/>
      <w:marBottom w:val="0"/>
      <w:divBdr>
        <w:top w:val="none" w:sz="0" w:space="0" w:color="auto"/>
        <w:left w:val="none" w:sz="0" w:space="0" w:color="auto"/>
        <w:bottom w:val="none" w:sz="0" w:space="0" w:color="auto"/>
        <w:right w:val="none" w:sz="0" w:space="0" w:color="auto"/>
      </w:divBdr>
    </w:div>
    <w:div w:id="1725328458">
      <w:bodyDiv w:val="1"/>
      <w:marLeft w:val="0"/>
      <w:marRight w:val="0"/>
      <w:marTop w:val="0"/>
      <w:marBottom w:val="0"/>
      <w:divBdr>
        <w:top w:val="none" w:sz="0" w:space="0" w:color="auto"/>
        <w:left w:val="none" w:sz="0" w:space="0" w:color="auto"/>
        <w:bottom w:val="none" w:sz="0" w:space="0" w:color="auto"/>
        <w:right w:val="none" w:sz="0" w:space="0" w:color="auto"/>
      </w:divBdr>
    </w:div>
    <w:div w:id="1766343827">
      <w:bodyDiv w:val="1"/>
      <w:marLeft w:val="0"/>
      <w:marRight w:val="0"/>
      <w:marTop w:val="0"/>
      <w:marBottom w:val="0"/>
      <w:divBdr>
        <w:top w:val="none" w:sz="0" w:space="0" w:color="auto"/>
        <w:left w:val="none" w:sz="0" w:space="0" w:color="auto"/>
        <w:bottom w:val="none" w:sz="0" w:space="0" w:color="auto"/>
        <w:right w:val="none" w:sz="0" w:space="0" w:color="auto"/>
      </w:divBdr>
    </w:div>
    <w:div w:id="1845708947">
      <w:bodyDiv w:val="1"/>
      <w:marLeft w:val="0"/>
      <w:marRight w:val="0"/>
      <w:marTop w:val="0"/>
      <w:marBottom w:val="0"/>
      <w:divBdr>
        <w:top w:val="none" w:sz="0" w:space="0" w:color="auto"/>
        <w:left w:val="none" w:sz="0" w:space="0" w:color="auto"/>
        <w:bottom w:val="none" w:sz="0" w:space="0" w:color="auto"/>
        <w:right w:val="none" w:sz="0" w:space="0" w:color="auto"/>
      </w:divBdr>
    </w:div>
    <w:div w:id="1884511551">
      <w:bodyDiv w:val="1"/>
      <w:marLeft w:val="0"/>
      <w:marRight w:val="0"/>
      <w:marTop w:val="0"/>
      <w:marBottom w:val="0"/>
      <w:divBdr>
        <w:top w:val="none" w:sz="0" w:space="0" w:color="auto"/>
        <w:left w:val="none" w:sz="0" w:space="0" w:color="auto"/>
        <w:bottom w:val="none" w:sz="0" w:space="0" w:color="auto"/>
        <w:right w:val="none" w:sz="0" w:space="0" w:color="auto"/>
      </w:divBdr>
    </w:div>
    <w:div w:id="1919096525">
      <w:bodyDiv w:val="1"/>
      <w:marLeft w:val="0"/>
      <w:marRight w:val="0"/>
      <w:marTop w:val="0"/>
      <w:marBottom w:val="0"/>
      <w:divBdr>
        <w:top w:val="none" w:sz="0" w:space="0" w:color="auto"/>
        <w:left w:val="none" w:sz="0" w:space="0" w:color="auto"/>
        <w:bottom w:val="none" w:sz="0" w:space="0" w:color="auto"/>
        <w:right w:val="none" w:sz="0" w:space="0" w:color="auto"/>
      </w:divBdr>
    </w:div>
    <w:div w:id="1950043071">
      <w:bodyDiv w:val="1"/>
      <w:marLeft w:val="0"/>
      <w:marRight w:val="0"/>
      <w:marTop w:val="0"/>
      <w:marBottom w:val="0"/>
      <w:divBdr>
        <w:top w:val="none" w:sz="0" w:space="0" w:color="auto"/>
        <w:left w:val="none" w:sz="0" w:space="0" w:color="auto"/>
        <w:bottom w:val="none" w:sz="0" w:space="0" w:color="auto"/>
        <w:right w:val="none" w:sz="0" w:space="0" w:color="auto"/>
      </w:divBdr>
    </w:div>
    <w:div w:id="1964311747">
      <w:bodyDiv w:val="1"/>
      <w:marLeft w:val="0"/>
      <w:marRight w:val="0"/>
      <w:marTop w:val="0"/>
      <w:marBottom w:val="0"/>
      <w:divBdr>
        <w:top w:val="none" w:sz="0" w:space="0" w:color="auto"/>
        <w:left w:val="none" w:sz="0" w:space="0" w:color="auto"/>
        <w:bottom w:val="none" w:sz="0" w:space="0" w:color="auto"/>
        <w:right w:val="none" w:sz="0" w:space="0" w:color="auto"/>
      </w:divBdr>
    </w:div>
    <w:div w:id="1988973495">
      <w:bodyDiv w:val="1"/>
      <w:marLeft w:val="0"/>
      <w:marRight w:val="0"/>
      <w:marTop w:val="0"/>
      <w:marBottom w:val="0"/>
      <w:divBdr>
        <w:top w:val="none" w:sz="0" w:space="0" w:color="auto"/>
        <w:left w:val="none" w:sz="0" w:space="0" w:color="auto"/>
        <w:bottom w:val="none" w:sz="0" w:space="0" w:color="auto"/>
        <w:right w:val="none" w:sz="0" w:space="0" w:color="auto"/>
      </w:divBdr>
    </w:div>
    <w:div w:id="1997759442">
      <w:bodyDiv w:val="1"/>
      <w:marLeft w:val="0"/>
      <w:marRight w:val="0"/>
      <w:marTop w:val="0"/>
      <w:marBottom w:val="0"/>
      <w:divBdr>
        <w:top w:val="none" w:sz="0" w:space="0" w:color="auto"/>
        <w:left w:val="none" w:sz="0" w:space="0" w:color="auto"/>
        <w:bottom w:val="none" w:sz="0" w:space="0" w:color="auto"/>
        <w:right w:val="none" w:sz="0" w:space="0" w:color="auto"/>
      </w:divBdr>
    </w:div>
    <w:div w:id="2006937495">
      <w:bodyDiv w:val="1"/>
      <w:marLeft w:val="0"/>
      <w:marRight w:val="0"/>
      <w:marTop w:val="0"/>
      <w:marBottom w:val="0"/>
      <w:divBdr>
        <w:top w:val="none" w:sz="0" w:space="0" w:color="auto"/>
        <w:left w:val="none" w:sz="0" w:space="0" w:color="auto"/>
        <w:bottom w:val="none" w:sz="0" w:space="0" w:color="auto"/>
        <w:right w:val="none" w:sz="0" w:space="0" w:color="auto"/>
      </w:divBdr>
    </w:div>
    <w:div w:id="2011785161">
      <w:bodyDiv w:val="1"/>
      <w:marLeft w:val="0"/>
      <w:marRight w:val="0"/>
      <w:marTop w:val="0"/>
      <w:marBottom w:val="0"/>
      <w:divBdr>
        <w:top w:val="none" w:sz="0" w:space="0" w:color="auto"/>
        <w:left w:val="none" w:sz="0" w:space="0" w:color="auto"/>
        <w:bottom w:val="none" w:sz="0" w:space="0" w:color="auto"/>
        <w:right w:val="none" w:sz="0" w:space="0" w:color="auto"/>
      </w:divBdr>
    </w:div>
    <w:div w:id="2011835977">
      <w:bodyDiv w:val="1"/>
      <w:marLeft w:val="0"/>
      <w:marRight w:val="0"/>
      <w:marTop w:val="0"/>
      <w:marBottom w:val="0"/>
      <w:divBdr>
        <w:top w:val="none" w:sz="0" w:space="0" w:color="auto"/>
        <w:left w:val="none" w:sz="0" w:space="0" w:color="auto"/>
        <w:bottom w:val="none" w:sz="0" w:space="0" w:color="auto"/>
        <w:right w:val="none" w:sz="0" w:space="0" w:color="auto"/>
      </w:divBdr>
    </w:div>
    <w:div w:id="2016226050">
      <w:bodyDiv w:val="1"/>
      <w:marLeft w:val="0"/>
      <w:marRight w:val="0"/>
      <w:marTop w:val="0"/>
      <w:marBottom w:val="0"/>
      <w:divBdr>
        <w:top w:val="none" w:sz="0" w:space="0" w:color="auto"/>
        <w:left w:val="none" w:sz="0" w:space="0" w:color="auto"/>
        <w:bottom w:val="none" w:sz="0" w:space="0" w:color="auto"/>
        <w:right w:val="none" w:sz="0" w:space="0" w:color="auto"/>
      </w:divBdr>
    </w:div>
    <w:div w:id="2074696909">
      <w:bodyDiv w:val="1"/>
      <w:marLeft w:val="0"/>
      <w:marRight w:val="0"/>
      <w:marTop w:val="0"/>
      <w:marBottom w:val="0"/>
      <w:divBdr>
        <w:top w:val="none" w:sz="0" w:space="0" w:color="auto"/>
        <w:left w:val="none" w:sz="0" w:space="0" w:color="auto"/>
        <w:bottom w:val="none" w:sz="0" w:space="0" w:color="auto"/>
        <w:right w:val="none" w:sz="0" w:space="0" w:color="auto"/>
      </w:divBdr>
    </w:div>
    <w:div w:id="2083987339">
      <w:bodyDiv w:val="1"/>
      <w:marLeft w:val="0"/>
      <w:marRight w:val="0"/>
      <w:marTop w:val="0"/>
      <w:marBottom w:val="0"/>
      <w:divBdr>
        <w:top w:val="none" w:sz="0" w:space="0" w:color="auto"/>
        <w:left w:val="none" w:sz="0" w:space="0" w:color="auto"/>
        <w:bottom w:val="none" w:sz="0" w:space="0" w:color="auto"/>
        <w:right w:val="none" w:sz="0" w:space="0" w:color="auto"/>
      </w:divBdr>
    </w:div>
    <w:div w:id="2089384482">
      <w:bodyDiv w:val="1"/>
      <w:marLeft w:val="0"/>
      <w:marRight w:val="0"/>
      <w:marTop w:val="0"/>
      <w:marBottom w:val="0"/>
      <w:divBdr>
        <w:top w:val="none" w:sz="0" w:space="0" w:color="auto"/>
        <w:left w:val="none" w:sz="0" w:space="0" w:color="auto"/>
        <w:bottom w:val="none" w:sz="0" w:space="0" w:color="auto"/>
        <w:right w:val="none" w:sz="0" w:space="0" w:color="auto"/>
      </w:divBdr>
    </w:div>
    <w:div w:id="2093351067">
      <w:bodyDiv w:val="1"/>
      <w:marLeft w:val="0"/>
      <w:marRight w:val="0"/>
      <w:marTop w:val="0"/>
      <w:marBottom w:val="0"/>
      <w:divBdr>
        <w:top w:val="none" w:sz="0" w:space="0" w:color="auto"/>
        <w:left w:val="none" w:sz="0" w:space="0" w:color="auto"/>
        <w:bottom w:val="none" w:sz="0" w:space="0" w:color="auto"/>
        <w:right w:val="none" w:sz="0" w:space="0" w:color="auto"/>
      </w:divBdr>
    </w:div>
    <w:div w:id="2125805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oleObject" Target="embeddings/oleObject2.bin"/></Relationships>
</file>

<file path=word/_rels/footnotes.xml.rels><?xml version="1.0" encoding="UTF-8" standalone="yes"?>
<Relationships xmlns="http://schemas.openxmlformats.org/package/2006/relationships"><Relationship Id="rId8" Type="http://schemas.openxmlformats.org/officeDocument/2006/relationships/hyperlink" Target="http://www.czechinvest.org/ceske-firmy-trapi-nedostatek-technicky-kvalifikovanych-pracovniku" TargetMode="External"/><Relationship Id="rId13" Type="http://schemas.openxmlformats.org/officeDocument/2006/relationships/hyperlink" Target="http://appsso.eurostat.ec.europa.eu/nui/show.do?dataset=ilc_peps01&amp;lang=en" TargetMode="External"/><Relationship Id="rId3" Type="http://schemas.openxmlformats.org/officeDocument/2006/relationships/hyperlink" Target="http://www.czso.cz/csu/redakce.nsf/i/zam_cr" TargetMode="External"/><Relationship Id="rId7" Type="http://schemas.openxmlformats.org/officeDocument/2006/relationships/hyperlink" Target="http://appsso.eurostat.ec.europa.eu/nui/show.do?dataset=trng_cvts02&amp;lang=en" TargetMode="External"/><Relationship Id="rId12" Type="http://schemas.openxmlformats.org/officeDocument/2006/relationships/hyperlink" Target="http://www.czso.cz/csu/2012edicniplan.nsf/kapitola/8113-12-n_2012-03" TargetMode="External"/><Relationship Id="rId2" Type="http://schemas.openxmlformats.org/officeDocument/2006/relationships/hyperlink" Target="http://epp.eurostat.ec.europa.eu/portal/page/portal/national_accounts/data/database" TargetMode="External"/><Relationship Id="rId1" Type="http://schemas.openxmlformats.org/officeDocument/2006/relationships/hyperlink" Target="http://www.czso.cz/csu/csu.nsf/kalendar/aktual-hdp" TargetMode="External"/><Relationship Id="rId6" Type="http://schemas.openxmlformats.org/officeDocument/2006/relationships/hyperlink" Target="http://appsso.eurostat.ec.europa.eu/nui/show.do?dataset=trng_aes_102&amp;lang=en" TargetMode="External"/><Relationship Id="rId11" Type="http://schemas.openxmlformats.org/officeDocument/2006/relationships/hyperlink" Target="http://www.iea.org/statistics/statisticssearch/report/?country=CZECH&amp;product=balances&amp;year=2011" TargetMode="External"/><Relationship Id="rId5" Type="http://schemas.openxmlformats.org/officeDocument/2006/relationships/hyperlink" Target="http://www.czso.cz/csu/redakce.nsf/i/zam_cr" TargetMode="External"/><Relationship Id="rId10" Type="http://schemas.openxmlformats.org/officeDocument/2006/relationships/hyperlink" Target="http://www.timeshighereducation.co.uk/world-university-rankings/2012-13/world-ranking/range/301-350/order/country%7Casc" TargetMode="External"/><Relationship Id="rId4" Type="http://schemas.openxmlformats.org/officeDocument/2006/relationships/hyperlink" Target="http://www.weforum.org/reports/global-competitiveness-report-2013-2014" TargetMode="External"/><Relationship Id="rId9" Type="http://schemas.openxmlformats.org/officeDocument/2006/relationships/hyperlink" Target="http://www.topuniversities.com/university-rankings/world-university-rankings/2012"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0B253C-02A1-499F-8D81-68D1A4F7A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151</Pages>
  <Words>74567</Words>
  <Characters>439946</Characters>
  <Application>Microsoft Office Word</Application>
  <DocSecurity>0</DocSecurity>
  <Lines>3666</Lines>
  <Paragraphs>1026</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513487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2013-12-18T08:07:00Z</dcterms:created>
  <dcterms:modified xsi:type="dcterms:W3CDTF">2013-12-18T08:07:00Z</dcterms:modified>
</cp:coreProperties>
</file>